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gif" ContentType="image/gif"/>
  <Override PartName="/word/media/image2.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0009" w:type="dxa"/>
        <w:jc w:val="start"/>
        <w:tblInd w:w="-5" w:type="dxa"/>
        <w:tblLayout w:type="fixed"/>
        <w:tblCellMar>
          <w:top w:w="0" w:type="dxa"/>
          <w:start w:w="80" w:type="dxa"/>
          <w:bottom w:w="0" w:type="dxa"/>
          <w:end w:w="80" w:type="dxa"/>
        </w:tblCellMar>
        <w:tblLook w:firstRow="1" w:noVBand="1" w:lastRow="0" w:firstColumn="1" w:lastColumn="0" w:noHBand="0" w:val="04a0"/>
      </w:tblPr>
      <w:tblGrid>
        <w:gridCol w:w="1277"/>
        <w:gridCol w:w="284"/>
        <w:gridCol w:w="4064"/>
        <w:gridCol w:w="187"/>
        <w:gridCol w:w="1558"/>
        <w:gridCol w:w="2638"/>
      </w:tblGrid>
      <w:tr>
        <w:trPr>
          <w:trHeight w:val="1991" w:hRule="atLeast"/>
          <w:cantSplit w:val="true"/>
        </w:trPr>
        <w:tc>
          <w:tcPr>
            <w:tcW w:w="5625" w:type="dxa"/>
            <w:gridSpan w:val="3"/>
            <w:tcBorders/>
          </w:tcPr>
          <w:p>
            <w:pPr>
              <w:pStyle w:val="Normal"/>
              <w:widowControl w:val="false"/>
              <w:spacing w:lineRule="auto" w:line="276"/>
              <w:rPr/>
            </w:pPr>
            <w:r>
              <w:rPr/>
              <w:drawing>
                <wp:inline distT="0" distB="0" distL="0" distR="0">
                  <wp:extent cx="669925" cy="638175"/>
                  <wp:effectExtent l="0" t="0" r="0" b="0"/>
                  <wp:docPr id="1" name="officeArt object" descr="A picture containing ceramic ware&#10;&#10;Description automatically generate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A picture containing ceramic ware&#10;&#10;Description automatically generated" title=""/>
                          <pic:cNvPicPr>
                            <a:picLocks noChangeAspect="1" noChangeArrowheads="1"/>
                          </pic:cNvPicPr>
                        </pic:nvPicPr>
                        <pic:blipFill>
                          <a:blip r:embed="rId2"/>
                          <a:stretch>
                            <a:fillRect/>
                          </a:stretch>
                        </pic:blipFill>
                        <pic:spPr bwMode="auto">
                          <a:xfrm>
                            <a:off x="0" y="0"/>
                            <a:ext cx="669925" cy="638175"/>
                          </a:xfrm>
                          <a:prstGeom prst="rect">
                            <a:avLst/>
                          </a:prstGeom>
                        </pic:spPr>
                      </pic:pic>
                    </a:graphicData>
                  </a:graphic>
                </wp:inline>
              </w:drawing>
            </w:r>
          </w:p>
          <w:p>
            <w:pPr>
              <w:pStyle w:val="Normal"/>
              <w:widowControl w:val="false"/>
              <w:spacing w:lineRule="auto" w:line="276"/>
              <w:rPr/>
            </w:pPr>
            <w:r>
              <w:rPr/>
              <w:t>ΕΛΛΗΝΙΚΗ ΔΗΜΟΚΡΑΤΙΑ</w:t>
            </w:r>
          </w:p>
          <w:p>
            <w:pPr>
              <w:pStyle w:val="Normal"/>
              <w:widowControl w:val="false"/>
              <w:spacing w:lineRule="auto" w:line="276"/>
              <w:rPr/>
            </w:pPr>
            <w:r>
              <w:rPr/>
              <w:t>ΔΗΜΟΣ ΚΑΡΔΙΤΣΑΣ</w:t>
            </w:r>
          </w:p>
          <w:p>
            <w:pPr>
              <w:pStyle w:val="Normal"/>
              <w:widowControl w:val="false"/>
              <w:spacing w:lineRule="auto" w:line="276"/>
              <w:rPr>
                <w:b/>
                <w:b/>
                <w:bCs/>
                <w:lang w:val="el-GR"/>
              </w:rPr>
            </w:pPr>
            <w:r>
              <w:rPr>
                <w:b/>
                <w:bCs/>
              </w:rPr>
              <w:t>Δ/νση Οικονομικών Υπηρεσιών</w:t>
            </w:r>
          </w:p>
          <w:p>
            <w:pPr>
              <w:pStyle w:val="Normal"/>
              <w:widowControl w:val="false"/>
              <w:spacing w:lineRule="auto" w:line="276"/>
              <w:rPr>
                <w:sz w:val="20"/>
                <w:szCs w:val="20"/>
                <w:lang w:val="el-GR"/>
              </w:rPr>
            </w:pPr>
            <w:r>
              <w:rPr>
                <w:sz w:val="20"/>
                <w:szCs w:val="20"/>
                <w:lang w:val="el-GR"/>
              </w:rPr>
              <w:t>Τμήμα Αδειοδοτήσεων, Ρύθμισης Εμπορικών Δραστηριοτήτων &amp; Λαϊκών Αγορών</w:t>
            </w:r>
          </w:p>
        </w:tc>
        <w:tc>
          <w:tcPr>
            <w:tcW w:w="187" w:type="dxa"/>
            <w:vMerge w:val="restart"/>
            <w:tcBorders/>
          </w:tcPr>
          <w:p>
            <w:pPr>
              <w:pStyle w:val="Normal"/>
              <w:widowControl w:val="false"/>
              <w:spacing w:lineRule="auto" w:line="276"/>
              <w:rPr/>
            </w:pPr>
            <w:r>
              <w:rPr/>
            </w:r>
          </w:p>
        </w:tc>
        <w:tc>
          <w:tcPr>
            <w:tcW w:w="1558" w:type="dxa"/>
            <w:vMerge w:val="restart"/>
            <w:tcBorders/>
          </w:tcPr>
          <w:p>
            <w:pPr>
              <w:pStyle w:val="Normal"/>
              <w:widowControl w:val="false"/>
              <w:spacing w:lineRule="auto" w:line="276"/>
              <w:rPr/>
            </w:pPr>
            <w:r>
              <w:rPr/>
              <w:drawing>
                <wp:inline distT="0" distB="0" distL="0" distR="0">
                  <wp:extent cx="828040" cy="1266825"/>
                  <wp:effectExtent l="0" t="0" r="0" b="0"/>
                  <wp:docPr id="2" name="Picture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title=""/>
                          <pic:cNvPicPr>
                            <a:picLocks noChangeAspect="1" noChangeArrowheads="1"/>
                          </pic:cNvPicPr>
                        </pic:nvPicPr>
                        <pic:blipFill>
                          <a:blip r:embed="rId3"/>
                          <a:stretch>
                            <a:fillRect/>
                          </a:stretch>
                        </pic:blipFill>
                        <pic:spPr bwMode="auto">
                          <a:xfrm>
                            <a:off x="0" y="0"/>
                            <a:ext cx="828040" cy="1266825"/>
                          </a:xfrm>
                          <a:prstGeom prst="rect">
                            <a:avLst/>
                          </a:prstGeom>
                        </pic:spPr>
                      </pic:pic>
                    </a:graphicData>
                  </a:graphic>
                </wp:inline>
              </w:drawing>
            </w:r>
          </w:p>
          <w:p>
            <w:pPr>
              <w:pStyle w:val="Normal"/>
              <w:widowControl w:val="false"/>
              <w:spacing w:lineRule="auto" w:line="276"/>
              <w:rPr/>
            </w:pPr>
            <w:r>
              <w:rPr/>
            </w:r>
          </w:p>
          <w:p>
            <w:pPr>
              <w:pStyle w:val="Normal"/>
              <w:widowControl w:val="false"/>
              <w:spacing w:lineRule="auto" w:line="276"/>
              <w:jc w:val="end"/>
              <w:rPr>
                <w:b/>
                <w:b/>
                <w:bCs/>
                <w:u w:val="single"/>
              </w:rPr>
            </w:pPr>
            <w:r>
              <w:rPr>
                <w:b/>
                <w:bCs/>
                <w:u w:val="single"/>
              </w:rPr>
            </w:r>
          </w:p>
          <w:p>
            <w:pPr>
              <w:pStyle w:val="Normal"/>
              <w:widowControl w:val="false"/>
              <w:spacing w:lineRule="auto" w:line="276"/>
              <w:jc w:val="end"/>
              <w:rPr>
                <w:b/>
                <w:b/>
                <w:bCs/>
                <w:u w:val="single"/>
              </w:rPr>
            </w:pPr>
            <w:r>
              <w:rPr>
                <w:b/>
                <w:bCs/>
                <w:u w:val="single"/>
              </w:rPr>
            </w:r>
          </w:p>
        </w:tc>
        <w:tc>
          <w:tcPr>
            <w:tcW w:w="2638" w:type="dxa"/>
            <w:tcBorders/>
            <w:tcMar>
              <w:start w:w="108" w:type="dxa"/>
              <w:end w:w="108" w:type="dxa"/>
            </w:tcMar>
          </w:tcPr>
          <w:p>
            <w:pPr>
              <w:pStyle w:val="Style20"/>
              <w:widowControl w:val="false"/>
              <w:spacing w:lineRule="auto" w:line="276"/>
              <w:rPr>
                <w:rFonts w:ascii="Times New Roman" w:hAnsi="Times New Roman" w:cs="Times New Roman"/>
              </w:rPr>
            </w:pPr>
            <w:r>
              <w:rPr>
                <w:rFonts w:cs="Times New Roman" w:ascii="Times New Roman" w:hAnsi="Times New Roman"/>
              </w:rPr>
            </w:r>
          </w:p>
          <w:p>
            <w:pPr>
              <w:pStyle w:val="Style20"/>
              <w:widowControl w:val="false"/>
              <w:spacing w:lineRule="auto" w:line="276"/>
              <w:rPr>
                <w:rFonts w:ascii="Times New Roman" w:hAnsi="Times New Roman" w:cs="Times New Roman"/>
              </w:rPr>
            </w:pPr>
            <w:r>
              <w:rPr>
                <w:rFonts w:cs="Times New Roman" w:ascii="Times New Roman" w:hAnsi="Times New Roman"/>
              </w:rPr>
            </w:r>
          </w:p>
          <w:p>
            <w:pPr>
              <w:pStyle w:val="Style20"/>
              <w:widowControl w:val="false"/>
              <w:spacing w:lineRule="auto" w:line="276"/>
              <w:rPr>
                <w:rFonts w:ascii="Times New Roman" w:hAnsi="Times New Roman" w:cs="Times New Roman"/>
              </w:rPr>
            </w:pPr>
            <w:r>
              <w:rPr>
                <w:rFonts w:cs="Times New Roman" w:ascii="Times New Roman" w:hAnsi="Times New Roman"/>
              </w:rPr>
            </w:r>
          </w:p>
          <w:p>
            <w:pPr>
              <w:pStyle w:val="Style20"/>
              <w:widowControl w:val="false"/>
              <w:spacing w:lineRule="auto" w:line="276"/>
              <w:rPr>
                <w:rFonts w:ascii="Times New Roman" w:hAnsi="Times New Roman"/>
              </w:rPr>
            </w:pPr>
            <w:r>
              <w:rPr>
                <w:rFonts w:cs="Times New Roman" w:ascii="Times New Roman" w:hAnsi="Times New Roman"/>
              </w:rPr>
              <w:t xml:space="preserve">Καρδίτσα </w:t>
            </w:r>
            <w:r>
              <w:rPr>
                <w:rFonts w:cs="Times New Roman" w:ascii="Times New Roman" w:hAnsi="Times New Roman"/>
                <w:b/>
                <w:bCs/>
              </w:rPr>
              <w:t>24.09.2025</w:t>
            </w:r>
          </w:p>
          <w:p>
            <w:pPr>
              <w:pStyle w:val="Normal"/>
              <w:widowControl w:val="false"/>
              <w:spacing w:lineRule="auto" w:line="276"/>
              <w:rPr>
                <w:lang w:val="el-GR"/>
              </w:rPr>
            </w:pPr>
            <w:r>
              <w:rPr/>
              <w:t>Αρ. Πρωτ.</w:t>
            </w:r>
            <w:r>
              <w:rPr>
                <w:b/>
                <w:bCs/>
              </w:rPr>
              <w:t xml:space="preserve"> </w:t>
            </w:r>
            <w:r>
              <w:rPr>
                <w:b/>
                <w:bCs/>
                <w:lang w:val="el-GR"/>
              </w:rPr>
              <w:t>42305</w:t>
            </w:r>
          </w:p>
        </w:tc>
      </w:tr>
      <w:tr>
        <w:trPr>
          <w:trHeight w:val="1051" w:hRule="atLeast"/>
          <w:cantSplit w:val="true"/>
        </w:trPr>
        <w:tc>
          <w:tcPr>
            <w:tcW w:w="1277" w:type="dxa"/>
            <w:tcBorders/>
            <w:tcMar>
              <w:top w:w="80" w:type="dxa"/>
              <w:bottom w:w="80" w:type="dxa"/>
            </w:tcMar>
          </w:tcPr>
          <w:p>
            <w:pPr>
              <w:pStyle w:val="Style20"/>
              <w:widowControl w:val="false"/>
              <w:spacing w:lineRule="auto" w:line="276"/>
              <w:rPr>
                <w:rFonts w:ascii="Times New Roman" w:hAnsi="Times New Roman" w:eastAsia="American Typewriter" w:cs="Times New Roman"/>
                <w:color w:val="auto"/>
                <w:sz w:val="20"/>
                <w:szCs w:val="20"/>
              </w:rPr>
            </w:pPr>
            <w:r>
              <w:rPr>
                <w:rFonts w:cs="Times New Roman" w:ascii="Times New Roman" w:hAnsi="Times New Roman"/>
                <w:color w:val="auto"/>
                <w:sz w:val="20"/>
                <w:szCs w:val="20"/>
              </w:rPr>
              <w:t>Ταχ. Δ/νση</w:t>
            </w:r>
          </w:p>
          <w:p>
            <w:pPr>
              <w:pStyle w:val="Style20"/>
              <w:widowControl w:val="false"/>
              <w:spacing w:lineRule="auto" w:line="276"/>
              <w:rPr>
                <w:rFonts w:ascii="Times New Roman" w:hAnsi="Times New Roman" w:eastAsia="American Typewriter" w:cs="Times New Roman"/>
                <w:color w:val="auto"/>
                <w:sz w:val="20"/>
                <w:szCs w:val="20"/>
              </w:rPr>
            </w:pPr>
            <w:r>
              <w:rPr>
                <w:rFonts w:cs="Times New Roman" w:ascii="Times New Roman" w:hAnsi="Times New Roman"/>
                <w:color w:val="auto"/>
                <w:sz w:val="20"/>
                <w:szCs w:val="20"/>
              </w:rPr>
              <w:t xml:space="preserve">Πληροφορίες </w:t>
            </w:r>
          </w:p>
          <w:p>
            <w:pPr>
              <w:pStyle w:val="Style20"/>
              <w:widowControl w:val="false"/>
              <w:spacing w:lineRule="auto" w:line="276"/>
              <w:rPr>
                <w:rFonts w:ascii="Times New Roman" w:hAnsi="Times New Roman" w:eastAsia="American Typewriter" w:cs="Times New Roman"/>
                <w:color w:val="auto"/>
                <w:sz w:val="20"/>
                <w:szCs w:val="20"/>
              </w:rPr>
            </w:pPr>
            <w:r>
              <w:rPr>
                <w:rFonts w:cs="Times New Roman" w:ascii="Times New Roman" w:hAnsi="Times New Roman"/>
                <w:color w:val="auto"/>
                <w:sz w:val="20"/>
                <w:szCs w:val="20"/>
              </w:rPr>
              <w:t>Τηλέφωνο</w:t>
            </w:r>
          </w:p>
          <w:p>
            <w:pPr>
              <w:pStyle w:val="Style20"/>
              <w:widowControl w:val="false"/>
              <w:spacing w:lineRule="auto" w:line="276"/>
              <w:rPr>
                <w:rFonts w:ascii="Times New Roman" w:hAnsi="Times New Roman" w:cs="Times New Roman"/>
                <w:color w:val="auto"/>
                <w:sz w:val="20"/>
                <w:szCs w:val="20"/>
              </w:rPr>
            </w:pPr>
            <w:r>
              <w:rPr>
                <w:rFonts w:cs="Times New Roman" w:ascii="Times New Roman" w:hAnsi="Times New Roman"/>
                <w:color w:val="auto"/>
                <w:sz w:val="20"/>
                <w:szCs w:val="20"/>
                <w:lang w:val="en-US"/>
              </w:rPr>
              <w:t>e</w:t>
            </w:r>
            <w:r>
              <w:rPr>
                <w:rFonts w:cs="Times New Roman" w:ascii="Times New Roman" w:hAnsi="Times New Roman"/>
                <w:color w:val="auto"/>
                <w:sz w:val="20"/>
                <w:szCs w:val="20"/>
              </w:rPr>
              <w:t>-</w:t>
            </w:r>
            <w:r>
              <w:rPr>
                <w:rFonts w:cs="Times New Roman" w:ascii="Times New Roman" w:hAnsi="Times New Roman"/>
                <w:color w:val="auto"/>
                <w:sz w:val="20"/>
                <w:szCs w:val="20"/>
                <w:lang w:val="en-US"/>
              </w:rPr>
              <w:t>mail</w:t>
            </w:r>
          </w:p>
        </w:tc>
        <w:tc>
          <w:tcPr>
            <w:tcW w:w="284" w:type="dxa"/>
            <w:tcBorders/>
            <w:tcMar>
              <w:start w:w="108" w:type="dxa"/>
              <w:end w:w="108" w:type="dxa"/>
            </w:tcMar>
          </w:tcPr>
          <w:p>
            <w:pPr>
              <w:pStyle w:val="Style20"/>
              <w:widowControl w:val="false"/>
              <w:spacing w:lineRule="auto" w:line="276"/>
              <w:rPr>
                <w:rFonts w:ascii="Times New Roman" w:hAnsi="Times New Roman" w:eastAsia="Avenir Next" w:cs="Times New Roman"/>
                <w:color w:val="auto"/>
                <w:sz w:val="20"/>
                <w:szCs w:val="20"/>
              </w:rPr>
            </w:pPr>
            <w:r>
              <w:rPr>
                <w:rFonts w:cs="Times New Roman" w:ascii="Times New Roman" w:hAnsi="Times New Roman"/>
                <w:color w:val="auto"/>
                <w:sz w:val="20"/>
                <w:szCs w:val="20"/>
              </w:rPr>
              <w:t>:</w:t>
            </w:r>
          </w:p>
          <w:p>
            <w:pPr>
              <w:pStyle w:val="Style20"/>
              <w:widowControl w:val="false"/>
              <w:spacing w:lineRule="auto" w:line="276"/>
              <w:rPr>
                <w:rFonts w:ascii="Times New Roman" w:hAnsi="Times New Roman" w:eastAsia="Avenir Next" w:cs="Times New Roman"/>
                <w:color w:val="auto"/>
                <w:sz w:val="20"/>
                <w:szCs w:val="20"/>
              </w:rPr>
            </w:pPr>
            <w:r>
              <w:rPr>
                <w:rFonts w:cs="Times New Roman" w:ascii="Times New Roman" w:hAnsi="Times New Roman"/>
                <w:color w:val="auto"/>
                <w:sz w:val="20"/>
                <w:szCs w:val="20"/>
              </w:rPr>
              <w:t>:</w:t>
            </w:r>
          </w:p>
          <w:p>
            <w:pPr>
              <w:pStyle w:val="Style20"/>
              <w:widowControl w:val="false"/>
              <w:spacing w:lineRule="auto" w:line="276"/>
              <w:rPr>
                <w:rFonts w:ascii="Times New Roman" w:hAnsi="Times New Roman" w:eastAsia="Avenir Next" w:cs="Times New Roman"/>
                <w:color w:val="auto"/>
                <w:sz w:val="20"/>
                <w:szCs w:val="20"/>
              </w:rPr>
            </w:pPr>
            <w:r>
              <w:rPr>
                <w:rFonts w:cs="Times New Roman" w:ascii="Times New Roman" w:hAnsi="Times New Roman"/>
                <w:color w:val="auto"/>
                <w:sz w:val="20"/>
                <w:szCs w:val="20"/>
              </w:rPr>
              <w:t>:</w:t>
            </w:r>
          </w:p>
          <w:p>
            <w:pPr>
              <w:pStyle w:val="Style20"/>
              <w:widowControl w:val="false"/>
              <w:spacing w:lineRule="auto" w:line="276"/>
              <w:rPr>
                <w:rFonts w:ascii="Times New Roman" w:hAnsi="Times New Roman" w:cs="Times New Roman"/>
                <w:color w:val="auto"/>
                <w:sz w:val="20"/>
                <w:szCs w:val="20"/>
              </w:rPr>
            </w:pPr>
            <w:r>
              <w:rPr>
                <w:rFonts w:cs="Times New Roman" w:ascii="Times New Roman" w:hAnsi="Times New Roman"/>
                <w:color w:val="auto"/>
                <w:sz w:val="20"/>
                <w:szCs w:val="20"/>
              </w:rPr>
              <w:t>:</w:t>
            </w:r>
          </w:p>
        </w:tc>
        <w:tc>
          <w:tcPr>
            <w:tcW w:w="4064" w:type="dxa"/>
            <w:tcBorders/>
            <w:tcMar>
              <w:start w:w="108" w:type="dxa"/>
              <w:end w:w="108" w:type="dxa"/>
            </w:tcMar>
          </w:tcPr>
          <w:p>
            <w:pPr>
              <w:pStyle w:val="Style20"/>
              <w:widowControl w:val="false"/>
              <w:spacing w:lineRule="auto" w:line="276"/>
              <w:rPr>
                <w:rFonts w:ascii="Times New Roman" w:hAnsi="Times New Roman" w:eastAsia="American Typewriter" w:cs="Times New Roman"/>
                <w:color w:val="auto"/>
                <w:sz w:val="20"/>
                <w:szCs w:val="20"/>
              </w:rPr>
            </w:pPr>
            <w:r>
              <w:rPr>
                <w:rFonts w:cs="Times New Roman" w:ascii="Times New Roman" w:hAnsi="Times New Roman"/>
                <w:color w:val="auto"/>
                <w:sz w:val="20"/>
                <w:szCs w:val="20"/>
              </w:rPr>
              <w:t>Δημοτική Αγορά (Ι.20), 43131, Καρδίτσα</w:t>
            </w:r>
          </w:p>
          <w:p>
            <w:pPr>
              <w:pStyle w:val="Style20"/>
              <w:widowControl w:val="false"/>
              <w:spacing w:lineRule="auto" w:line="276"/>
              <w:rPr>
                <w:rFonts w:ascii="Times New Roman" w:hAnsi="Times New Roman" w:eastAsia="American Typewriter" w:cs="Times New Roman"/>
                <w:color w:val="auto"/>
                <w:sz w:val="20"/>
                <w:szCs w:val="20"/>
              </w:rPr>
            </w:pPr>
            <w:r>
              <w:rPr>
                <w:rFonts w:cs="Times New Roman" w:ascii="Times New Roman" w:hAnsi="Times New Roman"/>
                <w:color w:val="auto"/>
                <w:sz w:val="20"/>
                <w:szCs w:val="20"/>
              </w:rPr>
              <w:t>Ράϊκος Απόστολος</w:t>
            </w:r>
          </w:p>
          <w:p>
            <w:pPr>
              <w:pStyle w:val="Style20"/>
              <w:widowControl w:val="false"/>
              <w:spacing w:lineRule="auto" w:line="276"/>
              <w:rPr>
                <w:rFonts w:ascii="Times New Roman" w:hAnsi="Times New Roman" w:eastAsia="American Typewriter" w:cs="Times New Roman"/>
                <w:color w:val="auto"/>
                <w:sz w:val="20"/>
                <w:szCs w:val="20"/>
                <w:lang w:val="en-US"/>
              </w:rPr>
            </w:pPr>
            <w:r>
              <w:rPr>
                <w:rFonts w:cs="Times New Roman" w:ascii="Times New Roman" w:hAnsi="Times New Roman"/>
                <w:color w:val="auto"/>
                <w:sz w:val="20"/>
                <w:szCs w:val="20"/>
                <w:lang w:val="en-US"/>
              </w:rPr>
              <w:t>2441554074</w:t>
            </w:r>
          </w:p>
          <w:p>
            <w:pPr>
              <w:pStyle w:val="Style20"/>
              <w:widowControl w:val="false"/>
              <w:spacing w:lineRule="auto" w:line="276"/>
              <w:rPr>
                <w:rFonts w:ascii="Times New Roman" w:hAnsi="Times New Roman" w:cs="Times New Roman"/>
                <w:color w:val="auto"/>
                <w:sz w:val="20"/>
                <w:szCs w:val="20"/>
                <w:u w:val="single"/>
                <w:lang w:val="en-US"/>
              </w:rPr>
            </w:pPr>
            <w:hyperlink r:id="rId4">
              <w:r>
                <w:rPr>
                  <w:rFonts w:cs="Times New Roman" w:ascii="Times New Roman" w:hAnsi="Times New Roman"/>
                  <w:color w:val="auto"/>
                  <w:sz w:val="20"/>
                  <w:szCs w:val="20"/>
                  <w:u w:val="none"/>
                  <w:lang w:val="en-US"/>
                </w:rPr>
                <w:t>gealk</w:t>
              </w:r>
              <w:r>
                <w:rPr>
                  <w:rFonts w:cs="Times New Roman" w:ascii="Times New Roman" w:hAnsi="Times New Roman"/>
                  <w:color w:val="auto"/>
                  <w:sz w:val="20"/>
                  <w:szCs w:val="20"/>
                  <w:u w:val="none"/>
                </w:rPr>
                <w:t>@dimoskarditsas.gov.gr</w:t>
              </w:r>
            </w:hyperlink>
          </w:p>
        </w:tc>
        <w:tc>
          <w:tcPr>
            <w:tcW w:w="187" w:type="dxa"/>
            <w:vMerge w:val="continue"/>
            <w:tcBorders/>
            <w:tcMar>
              <w:top w:w="80" w:type="dxa"/>
              <w:bottom w:w="80" w:type="dxa"/>
            </w:tcMar>
          </w:tcPr>
          <w:p>
            <w:pPr>
              <w:pStyle w:val="Normal"/>
              <w:widowControl w:val="false"/>
              <w:spacing w:lineRule="auto" w:line="276"/>
              <w:rPr>
                <w:sz w:val="20"/>
                <w:szCs w:val="20"/>
              </w:rPr>
            </w:pPr>
            <w:r>
              <w:rPr>
                <w:sz w:val="20"/>
                <w:szCs w:val="20"/>
              </w:rPr>
            </w:r>
          </w:p>
        </w:tc>
        <w:tc>
          <w:tcPr>
            <w:tcW w:w="1558" w:type="dxa"/>
            <w:vMerge w:val="continue"/>
            <w:tcBorders/>
            <w:tcMar>
              <w:top w:w="80" w:type="dxa"/>
              <w:bottom w:w="80" w:type="dxa"/>
            </w:tcMar>
          </w:tcPr>
          <w:p>
            <w:pPr>
              <w:pStyle w:val="Style20"/>
              <w:widowControl w:val="false"/>
              <w:spacing w:lineRule="auto" w:line="276"/>
              <w:jc w:val="end"/>
              <w:rPr>
                <w:rFonts w:ascii="Times New Roman" w:hAnsi="Times New Roman" w:eastAsia="American Typewriter" w:cs="Times New Roman"/>
                <w:sz w:val="20"/>
                <w:szCs w:val="20"/>
              </w:rPr>
            </w:pPr>
            <w:r>
              <w:rPr>
                <w:rFonts w:eastAsia="American Typewriter" w:cs="Times New Roman" w:ascii="Times New Roman" w:hAnsi="Times New Roman"/>
                <w:sz w:val="20"/>
                <w:szCs w:val="20"/>
              </w:rPr>
            </w:r>
          </w:p>
        </w:tc>
        <w:tc>
          <w:tcPr>
            <w:tcW w:w="2638" w:type="dxa"/>
            <w:tcBorders/>
            <w:tcMar>
              <w:start w:w="108" w:type="dxa"/>
              <w:end w:w="108" w:type="dxa"/>
            </w:tcMar>
          </w:tcPr>
          <w:p>
            <w:pPr>
              <w:pStyle w:val="Style20"/>
              <w:widowControl w:val="false"/>
              <w:spacing w:lineRule="auto" w:line="276"/>
              <w:rPr>
                <w:rFonts w:ascii="Times New Roman" w:hAnsi="Times New Roman"/>
              </w:rPr>
            </w:pPr>
            <w:r>
              <w:rPr>
                <w:rFonts w:ascii="Times New Roman" w:hAnsi="Times New Roman"/>
              </w:rPr>
            </w:r>
          </w:p>
        </w:tc>
      </w:tr>
    </w:tbl>
    <w:p>
      <w:pPr>
        <w:pStyle w:val="Normal"/>
        <w:jc w:val="center"/>
        <w:rPr>
          <w:b/>
          <w:b/>
          <w:bCs/>
          <w:sz w:val="28"/>
          <w:szCs w:val="28"/>
          <w:u w:val="single"/>
          <w:lang w:val="el-GR"/>
        </w:rPr>
      </w:pPr>
      <w:r>
        <w:rPr>
          <w:b/>
          <w:bCs/>
          <w:sz w:val="28"/>
          <w:szCs w:val="28"/>
          <w:u w:val="single"/>
          <w:lang w:val="el-GR"/>
        </w:rPr>
      </w:r>
    </w:p>
    <w:p>
      <w:pPr>
        <w:pStyle w:val="Normal"/>
        <w:jc w:val="center"/>
        <w:rPr>
          <w:b/>
          <w:b/>
          <w:bCs/>
          <w:sz w:val="28"/>
          <w:szCs w:val="28"/>
          <w:u w:val="single"/>
        </w:rPr>
      </w:pPr>
      <w:r>
        <w:rPr>
          <w:b/>
          <w:bCs/>
          <w:sz w:val="28"/>
          <w:szCs w:val="28"/>
          <w:u w:val="single"/>
        </w:rPr>
        <w:t xml:space="preserve">Προκήρυξη Για Τη Διενέργεια Της Ετήσιας Παραδοσιακής Εμποροπανήγυρης </w:t>
      </w:r>
      <w:r>
        <w:rPr>
          <w:b/>
          <w:bCs/>
          <w:sz w:val="28"/>
          <w:szCs w:val="28"/>
          <w:u w:val="single"/>
          <w:lang w:val="el-GR"/>
        </w:rPr>
        <w:t xml:space="preserve">Καρδίτσας </w:t>
      </w:r>
      <w:r>
        <w:rPr>
          <w:b/>
          <w:bCs/>
          <w:sz w:val="28"/>
          <w:szCs w:val="28"/>
          <w:u w:val="single"/>
        </w:rPr>
        <w:t>202</w:t>
      </w:r>
      <w:r>
        <w:rPr>
          <w:b/>
          <w:bCs/>
          <w:sz w:val="28"/>
          <w:szCs w:val="28"/>
          <w:u w:val="single"/>
          <w:lang w:val="el-GR"/>
        </w:rPr>
        <w:t>5</w:t>
      </w:r>
    </w:p>
    <w:p>
      <w:pPr>
        <w:pStyle w:val="Normal"/>
        <w:rPr/>
      </w:pPr>
      <w:r>
        <w:rPr/>
      </w:r>
    </w:p>
    <w:p>
      <w:pPr>
        <w:pStyle w:val="Normal"/>
        <w:rPr/>
      </w:pPr>
      <w:r>
        <w:rPr>
          <w:lang w:val="el-GR"/>
        </w:rPr>
        <w:t>Η</w:t>
      </w:r>
      <w:r>
        <w:rPr/>
        <w:t xml:space="preserve">  Αντιδήμαρχος </w:t>
      </w:r>
      <w:r>
        <w:rPr>
          <w:lang w:val="el-GR"/>
        </w:rPr>
        <w:t xml:space="preserve">Επιχειρηματικών Δραστηριοτήτων </w:t>
      </w:r>
      <w:r>
        <w:rPr>
          <w:lang w:val="en-US"/>
        </w:rPr>
        <w:t>&amp;</w:t>
      </w:r>
      <w:r>
        <w:rPr>
          <w:lang w:val="el-GR"/>
        </w:rPr>
        <w:t xml:space="preserve"> Δημοτικής Αστυνομίας Δήμου Καρδίτσας</w:t>
      </w:r>
      <w:r>
        <w:rPr/>
        <w:t xml:space="preserve"> έχοντας υπόψη:</w:t>
      </w:r>
    </w:p>
    <w:p>
      <w:pPr>
        <w:pStyle w:val="Normal"/>
        <w:rPr/>
      </w:pPr>
      <w:r>
        <w:rPr/>
      </w:r>
    </w:p>
    <w:p>
      <w:pPr>
        <w:pStyle w:val="ListParagraph"/>
        <w:numPr>
          <w:ilvl w:val="0"/>
          <w:numId w:val="1"/>
        </w:numPr>
        <w:rPr/>
      </w:pPr>
      <w:r>
        <w:rPr>
          <w:lang w:val="el-GR"/>
        </w:rPr>
        <w:t>τ</w:t>
      </w:r>
      <w:r>
        <w:rPr/>
        <w:t>ις διατάξεις του Ν. 4849/2021 (ΦΕΚ 207/Α/5.11.2021) «</w:t>
      </w:r>
      <w:r>
        <w:rPr>
          <w:i/>
          <w:iCs/>
        </w:rPr>
        <w:t>Αναμόρφωση και εκσυγχρονισμός του ρυθμιστικού πλαισίου οργάνωσης &amp; λειτουργίας του υπαιθρίου εμπορίου…</w:t>
      </w:r>
      <w:r>
        <w:rPr/>
        <w:t>»,</w:t>
      </w:r>
    </w:p>
    <w:p>
      <w:pPr>
        <w:pStyle w:val="ListParagraph"/>
        <w:numPr>
          <w:ilvl w:val="0"/>
          <w:numId w:val="1"/>
        </w:numPr>
        <w:rPr>
          <w:color w:val="000000"/>
        </w:rPr>
      </w:pPr>
      <w:r>
        <w:rPr>
          <w:color w:val="000000"/>
        </w:rPr>
        <w:t xml:space="preserve">την υπ’ αριθμ. </w:t>
      </w:r>
      <w:r>
        <w:rPr>
          <w:color w:val="000000"/>
          <w:lang w:val="el-GR"/>
        </w:rPr>
        <w:t>271/2023</w:t>
      </w:r>
      <w:r>
        <w:rPr>
          <w:color w:val="000000"/>
        </w:rPr>
        <w:t xml:space="preserve"> απόφαση του Δημοτικού Συμβουλίου </w:t>
      </w:r>
      <w:r>
        <w:rPr>
          <w:color w:val="000000"/>
          <w:lang w:val="el-GR"/>
        </w:rPr>
        <w:t>Καρδίτσας</w:t>
      </w:r>
      <w:r>
        <w:rPr>
          <w:color w:val="000000"/>
        </w:rPr>
        <w:t xml:space="preserve"> </w:t>
      </w:r>
      <w:r>
        <w:rPr>
          <w:color w:val="000000"/>
          <w:lang w:val="el-GR"/>
        </w:rPr>
        <w:t>«</w:t>
      </w:r>
      <w:r>
        <w:rPr>
          <w:i/>
          <w:iCs/>
          <w:color w:val="000000"/>
          <w:lang w:val="el-GR"/>
        </w:rPr>
        <w:t>Ί</w:t>
      </w:r>
      <w:r>
        <w:rPr>
          <w:i/>
          <w:iCs/>
          <w:color w:val="000000"/>
        </w:rPr>
        <w:t xml:space="preserve">δρυση </w:t>
      </w:r>
      <w:r>
        <w:rPr>
          <w:i/>
          <w:iCs/>
          <w:color w:val="000000"/>
          <w:lang w:val="el-GR"/>
        </w:rPr>
        <w:t>Β</w:t>
      </w:r>
      <w:r>
        <w:rPr>
          <w:i/>
          <w:iCs/>
          <w:color w:val="000000"/>
        </w:rPr>
        <w:t xml:space="preserve">ραχυχρόνιας </w:t>
      </w:r>
      <w:r>
        <w:rPr>
          <w:i/>
          <w:iCs/>
          <w:color w:val="000000"/>
          <w:lang w:val="el-GR"/>
        </w:rPr>
        <w:t>Α</w:t>
      </w:r>
      <w:r>
        <w:rPr>
          <w:i/>
          <w:iCs/>
          <w:color w:val="000000"/>
        </w:rPr>
        <w:t xml:space="preserve">γοράς – </w:t>
      </w:r>
      <w:r>
        <w:rPr>
          <w:i/>
          <w:iCs/>
          <w:color w:val="000000"/>
          <w:lang w:val="el-GR"/>
        </w:rPr>
        <w:t xml:space="preserve">Ετήσιας </w:t>
      </w:r>
      <w:r>
        <w:rPr>
          <w:i/>
          <w:iCs/>
          <w:color w:val="000000"/>
        </w:rPr>
        <w:t xml:space="preserve">παραδοσιακής εμποροπανήγυρης </w:t>
      </w:r>
      <w:r>
        <w:rPr>
          <w:i/>
          <w:iCs/>
          <w:color w:val="000000"/>
          <w:lang w:val="el-GR"/>
        </w:rPr>
        <w:t>Καρδίτσας</w:t>
      </w:r>
      <w:r>
        <w:rPr>
          <w:color w:val="000000"/>
          <w:lang w:val="el-GR"/>
        </w:rPr>
        <w:t>»</w:t>
      </w:r>
      <w:r>
        <w:rPr>
          <w:color w:val="000000"/>
        </w:rPr>
        <w:t xml:space="preserve"> (ΑΔΑ: 6ΗΞΕΩΕΗ-ΦΜΠ), όπως τροποποιήθηκε και ισχύει με την υπ’ αριθ. 154/2024 απόφαση του Δημοτικού Συμβουλίου </w:t>
      </w:r>
      <w:r>
        <w:rPr>
          <w:color w:val="000000"/>
          <w:lang w:val="el-GR"/>
        </w:rPr>
        <w:t xml:space="preserve">Καρδίτσας </w:t>
      </w:r>
      <w:r>
        <w:rPr>
          <w:color w:val="000000"/>
        </w:rPr>
        <w:t>(Α</w:t>
      </w:r>
      <w:r>
        <w:rPr>
          <w:color w:val="000000"/>
          <w:lang w:val="el-GR"/>
        </w:rPr>
        <w:t>ΔΑ</w:t>
      </w:r>
      <w:r>
        <w:rPr>
          <w:color w:val="000000"/>
        </w:rPr>
        <w:t xml:space="preserve">: </w:t>
      </w:r>
      <w:r>
        <w:rPr>
          <w:color w:val="000000"/>
          <w:lang w:val="el-GR"/>
        </w:rPr>
        <w:t>90Μ9ΩΕΗ-5ΚΟ</w:t>
      </w:r>
      <w:r>
        <w:rPr>
          <w:color w:val="000000"/>
        </w:rPr>
        <w:t>),</w:t>
      </w:r>
    </w:p>
    <w:p>
      <w:pPr>
        <w:pStyle w:val="ListParagraph"/>
        <w:numPr>
          <w:ilvl w:val="0"/>
          <w:numId w:val="1"/>
        </w:numPr>
        <w:rPr>
          <w:color w:val="000000"/>
        </w:rPr>
      </w:pPr>
      <w:r>
        <w:rPr>
          <w:color w:val="000000"/>
        </w:rPr>
        <w:t>την υπ’ αριθμ. 345/2023</w:t>
      </w:r>
      <w:r>
        <w:rPr>
          <w:color w:val="000000"/>
          <w:lang w:val="el-GR"/>
        </w:rPr>
        <w:t xml:space="preserve"> </w:t>
      </w:r>
      <w:r>
        <w:rPr>
          <w:color w:val="000000"/>
        </w:rPr>
        <w:t xml:space="preserve">Απόφαση του Δημοτικού Συμβουλίου </w:t>
      </w:r>
      <w:r>
        <w:rPr>
          <w:color w:val="000000"/>
          <w:lang w:val="el-GR"/>
        </w:rPr>
        <w:t>Καρδίτσας</w:t>
      </w:r>
      <w:r>
        <w:rPr>
          <w:color w:val="000000"/>
        </w:rPr>
        <w:t xml:space="preserve"> </w:t>
      </w:r>
      <w:r>
        <w:rPr>
          <w:color w:val="000000"/>
          <w:lang w:val="el-GR"/>
        </w:rPr>
        <w:t>«</w:t>
      </w:r>
      <w:r>
        <w:rPr>
          <w:i/>
          <w:iCs/>
          <w:color w:val="000000"/>
          <w:lang w:val="el-GR"/>
        </w:rPr>
        <w:t>Έ</w:t>
      </w:r>
      <w:r>
        <w:rPr>
          <w:i/>
          <w:iCs/>
          <w:color w:val="000000"/>
        </w:rPr>
        <w:t xml:space="preserve">γκριση Κανονισμού Οργάνωσης &amp; Λειτουργίας Παραδοσιακής Εμποροπανήγυρης </w:t>
      </w:r>
      <w:r>
        <w:rPr>
          <w:i/>
          <w:iCs/>
          <w:color w:val="000000"/>
          <w:lang w:val="el-GR"/>
        </w:rPr>
        <w:t>Καρδίτσας</w:t>
      </w:r>
      <w:r>
        <w:rPr>
          <w:color w:val="000000"/>
          <w:lang w:val="el-GR"/>
        </w:rPr>
        <w:t>»</w:t>
      </w:r>
      <w:r>
        <w:rPr>
          <w:color w:val="000000"/>
        </w:rPr>
        <w:t xml:space="preserve"> (Α</w:t>
      </w:r>
      <w:r>
        <w:rPr>
          <w:color w:val="000000"/>
          <w:lang w:val="el-GR"/>
        </w:rPr>
        <w:t>ΔΑ</w:t>
      </w:r>
      <w:r>
        <w:rPr>
          <w:color w:val="000000"/>
        </w:rPr>
        <w:t>:</w:t>
      </w:r>
      <w:r>
        <w:rPr>
          <w:color w:val="000000"/>
          <w:lang w:val="el-GR"/>
        </w:rPr>
        <w:t xml:space="preserve"> 6ΞΩΚΩΕΗ-6Ι7</w:t>
      </w:r>
      <w:r>
        <w:rPr>
          <w:color w:val="000000"/>
        </w:rPr>
        <w:t xml:space="preserve">), </w:t>
      </w:r>
      <w:r>
        <w:rPr>
          <w:color w:val="000000"/>
          <w:lang w:val="el-GR"/>
        </w:rPr>
        <w:t xml:space="preserve">όπως τροποποιήθηκε και ισχύει τόσο με την </w:t>
      </w:r>
      <w:r>
        <w:rPr>
          <w:color w:val="000000"/>
        </w:rPr>
        <w:t xml:space="preserve">υπ’ αριθμ. </w:t>
      </w:r>
      <w:r>
        <w:rPr>
          <w:color w:val="000000"/>
          <w:lang w:val="el-GR"/>
        </w:rPr>
        <w:t>333/2023 α</w:t>
      </w:r>
      <w:r>
        <w:rPr>
          <w:color w:val="000000"/>
        </w:rPr>
        <w:t>πόφαση</w:t>
      </w:r>
      <w:r>
        <w:rPr>
          <w:color w:val="000000"/>
          <w:lang w:val="el-GR"/>
        </w:rPr>
        <w:t xml:space="preserve"> όσο και με την υπ’ αριθμ. 154/2024 απόφαση του Δημοτικού Συμβουλίου Καρδίτσας </w:t>
      </w:r>
      <w:r>
        <w:rPr>
          <w:color w:val="000000"/>
        </w:rPr>
        <w:t>(Α</w:t>
      </w:r>
      <w:r>
        <w:rPr>
          <w:color w:val="000000"/>
          <w:lang w:val="el-GR"/>
        </w:rPr>
        <w:t>ΔΑ</w:t>
      </w:r>
      <w:r>
        <w:rPr>
          <w:color w:val="000000"/>
        </w:rPr>
        <w:t>:</w:t>
      </w:r>
      <w:r>
        <w:rPr>
          <w:color w:val="000000"/>
          <w:lang w:val="el-GR"/>
        </w:rPr>
        <w:t xml:space="preserve"> ΨΒΤ9ΩΕΗ-273</w:t>
      </w:r>
      <w:r>
        <w:rPr>
          <w:color w:val="000000"/>
        </w:rPr>
        <w:t>)</w:t>
      </w:r>
    </w:p>
    <w:p>
      <w:pPr>
        <w:pStyle w:val="Normal"/>
        <w:rPr/>
      </w:pPr>
      <w:r>
        <w:rPr/>
      </w:r>
    </w:p>
    <w:p>
      <w:pPr>
        <w:pStyle w:val="Normal"/>
        <w:jc w:val="center"/>
        <w:rPr>
          <w:b/>
          <w:b/>
          <w:bCs/>
          <w:sz w:val="28"/>
          <w:szCs w:val="28"/>
        </w:rPr>
      </w:pPr>
      <w:r>
        <w:rPr>
          <w:b/>
          <w:bCs/>
          <w:sz w:val="28"/>
          <w:szCs w:val="28"/>
        </w:rPr>
        <w:t>προκηρύσσει</w:t>
      </w:r>
    </w:p>
    <w:p>
      <w:pPr>
        <w:pStyle w:val="Normal"/>
        <w:jc w:val="center"/>
        <w:rPr>
          <w:sz w:val="28"/>
          <w:szCs w:val="28"/>
        </w:rPr>
      </w:pPr>
      <w:r>
        <w:rPr>
          <w:sz w:val="28"/>
          <w:szCs w:val="28"/>
        </w:rPr>
      </w:r>
    </w:p>
    <w:p>
      <w:pPr>
        <w:pStyle w:val="Normal"/>
        <w:rPr/>
      </w:pPr>
      <w:r>
        <w:rPr>
          <w:lang w:val="el-GR"/>
        </w:rPr>
        <w:t>στο πλαίσιο</w:t>
      </w:r>
      <w:r>
        <w:rPr/>
        <w:t xml:space="preserve"> διενέργειας της </w:t>
      </w:r>
      <w:r>
        <w:rPr>
          <w:lang w:val="el-GR"/>
        </w:rPr>
        <w:t>Ε</w:t>
      </w:r>
      <w:r>
        <w:rPr/>
        <w:t xml:space="preserve">τήσιας </w:t>
      </w:r>
      <w:r>
        <w:rPr>
          <w:lang w:val="el-GR"/>
        </w:rPr>
        <w:t>Π</w:t>
      </w:r>
      <w:r>
        <w:rPr/>
        <w:t xml:space="preserve">αραδοσιακής </w:t>
      </w:r>
      <w:r>
        <w:rPr>
          <w:lang w:val="el-GR"/>
        </w:rPr>
        <w:t>Ε</w:t>
      </w:r>
      <w:r>
        <w:rPr/>
        <w:t>μποροπανήγυρης, την έναρξη της διαδικασίας υποβολής των αιτήσεων συμμετοχής και συγκεκριμένα ως εξής:</w:t>
      </w:r>
    </w:p>
    <w:p>
      <w:pPr>
        <w:pStyle w:val="Normal"/>
        <w:rPr/>
      </w:pPr>
      <w:r>
        <w:rPr/>
      </w:r>
    </w:p>
    <w:p>
      <w:pPr>
        <w:pStyle w:val="Normal"/>
        <w:shd w:val="pct15" w:color="auto" w:fill="auto"/>
        <w:rPr>
          <w:b/>
          <w:b/>
          <w:bCs/>
        </w:rPr>
      </w:pPr>
      <w:r>
        <w:rPr>
          <w:b/>
          <w:bCs/>
        </w:rPr>
        <w:t>Α.  ΧΡΟΝΟΣ, ΧΩΡΟΣ, ΔΙΑΡΚΕΙΑ ΕΜΠΟΡΟΠΑΝΗΓΥΡΗΣ</w:t>
      </w:r>
    </w:p>
    <w:p>
      <w:pPr>
        <w:pStyle w:val="Normal"/>
        <w:rPr/>
      </w:pPr>
      <w:r>
        <w:rPr/>
      </w:r>
    </w:p>
    <w:p>
      <w:pPr>
        <w:pStyle w:val="Normal"/>
        <w:rPr/>
      </w:pPr>
      <w:r>
        <w:rPr/>
        <w:t>Η ετήσια παραδοσιακή Εμποροπανήγυρη Καρδίτσας τελείται μία φορά το χρόνο</w:t>
      </w:r>
      <w:r>
        <w:rPr>
          <w:lang w:val="el-GR"/>
        </w:rPr>
        <w:t xml:space="preserve"> και </w:t>
      </w:r>
      <w:r>
        <w:rPr/>
        <w:t xml:space="preserve">έχει διάρκεια επτά (7) συναπτών ημερών, </w:t>
      </w:r>
      <w:r>
        <w:rPr>
          <w:b/>
          <w:bCs/>
        </w:rPr>
        <w:t xml:space="preserve">το </w:t>
      </w:r>
      <w:r>
        <w:rPr>
          <w:b/>
          <w:bCs/>
          <w:lang w:val="el-GR"/>
        </w:rPr>
        <w:t xml:space="preserve">χρονικό </w:t>
      </w:r>
      <w:r>
        <w:rPr>
          <w:b/>
          <w:bCs/>
        </w:rPr>
        <w:t>διάστημα από 17 Οκτωβρίου έως 23 Οκτωβρίου</w:t>
      </w:r>
      <w:r>
        <w:rPr/>
        <w:t>. Προβλέπεται μία ημέρα εγκατάστασης (</w:t>
      </w:r>
      <w:r>
        <w:rPr>
          <w:i/>
          <w:iCs/>
        </w:rPr>
        <w:t>16 Οκτωβρίου</w:t>
      </w:r>
      <w:r>
        <w:rPr/>
        <w:t>) και μία ημέρα απεγκατάστασης των εμπόρων (</w:t>
      </w:r>
      <w:r>
        <w:rPr>
          <w:i/>
          <w:iCs/>
        </w:rPr>
        <w:t>24 Οκτωβρίου</w:t>
      </w:r>
      <w:r>
        <w:rPr/>
        <w:t xml:space="preserve">). </w:t>
      </w:r>
      <w:r>
        <w:rPr>
          <w:lang w:val="el-GR"/>
        </w:rPr>
        <w:t>Δ</w:t>
      </w:r>
      <w:r>
        <w:rPr/>
        <w:t>ιεξάγεται στην Τοπική Κοινότητα Καρδίτσας της Δημοτικής Ενότητας Καρδίτσας του Δήμου Καρδίτσας και συγκεκριμένα στον κοινόχρηστο χώρο που βρίσκεται νότια του οικισμού της Τοπικής Κοινότητας Καρδιτσομαγούλας στη συμβολή των οδών Περιφερειακού Καρδίτσας – Τρικάλων και Καρδιτσομαγούλας,</w:t>
      </w:r>
    </w:p>
    <w:p>
      <w:pPr>
        <w:pStyle w:val="Normal"/>
        <w:rPr/>
      </w:pPr>
      <w:r>
        <w:rPr/>
      </w:r>
    </w:p>
    <w:p>
      <w:pPr>
        <w:pStyle w:val="Normal"/>
        <w:shd w:val="pct15" w:color="auto" w:fill="auto"/>
        <w:rPr>
          <w:b/>
          <w:b/>
          <w:bCs/>
        </w:rPr>
      </w:pPr>
      <w:r>
        <w:rPr>
          <w:b/>
          <w:bCs/>
        </w:rPr>
        <w:t>B. ΠPΟΘΕΣΜΙΑ &amp; ΤΡΟΠΟΣ ΥΠΟΒΟΛΗΣ ΤΩΝ ΑΙΤΗΣΕΩΝ ΣΥΜΜΕΤΟΧΗΣ</w:t>
      </w:r>
    </w:p>
    <w:p>
      <w:pPr>
        <w:pStyle w:val="Normal"/>
        <w:rPr/>
      </w:pPr>
      <w:r>
        <w:rPr/>
      </w:r>
    </w:p>
    <w:p>
      <w:pPr>
        <w:pStyle w:val="Normal"/>
        <w:rPr/>
      </w:pPr>
      <w:r>
        <w:rPr/>
        <w:t xml:space="preserve">Η προθεσμία υποβολής των αιτήσεων – υπευθύνων δηλώσεων συμμετοχής με τα επισυναπτόμενα δικαιολογητικά, όπως κατωτέρω προβλέπονται, ορίζεται  </w:t>
      </w:r>
      <w:r>
        <w:rPr>
          <w:b/>
          <w:bCs/>
          <w:u w:val="single"/>
        </w:rPr>
        <w:t xml:space="preserve">από την </w:t>
      </w:r>
      <w:r>
        <w:rPr>
          <w:b/>
          <w:bCs/>
          <w:u w:val="single"/>
          <w:lang w:val="el-GR"/>
        </w:rPr>
        <w:t>29</w:t>
      </w:r>
      <w:r>
        <w:rPr>
          <w:b/>
          <w:bCs/>
          <w:u w:val="single"/>
        </w:rPr>
        <w:t xml:space="preserve">η </w:t>
      </w:r>
      <w:r>
        <w:rPr>
          <w:b/>
          <w:bCs/>
          <w:u w:val="single"/>
          <w:lang w:val="el-GR"/>
        </w:rPr>
        <w:t>Σεπτεμβρίου</w:t>
      </w:r>
      <w:r>
        <w:rPr>
          <w:b/>
          <w:bCs/>
          <w:u w:val="single"/>
        </w:rPr>
        <w:t xml:space="preserve"> έως την </w:t>
      </w:r>
      <w:r>
        <w:rPr>
          <w:b/>
          <w:bCs/>
          <w:u w:val="single"/>
          <w:lang w:val="el-GR"/>
        </w:rPr>
        <w:t>10</w:t>
      </w:r>
      <w:r>
        <w:rPr>
          <w:b/>
          <w:bCs/>
          <w:u w:val="single"/>
        </w:rPr>
        <w:t xml:space="preserve">η </w:t>
      </w:r>
      <w:r>
        <w:rPr>
          <w:b/>
          <w:bCs/>
          <w:u w:val="single"/>
          <w:lang w:val="el-GR"/>
        </w:rPr>
        <w:t>Οκτωβρίου</w:t>
      </w:r>
      <w:r>
        <w:rPr>
          <w:b/>
          <w:bCs/>
          <w:u w:val="single"/>
        </w:rPr>
        <w:t xml:space="preserve"> 202</w:t>
      </w:r>
      <w:r>
        <w:rPr>
          <w:b/>
          <w:bCs/>
          <w:u w:val="single"/>
          <w:lang w:val="el-GR"/>
        </w:rPr>
        <w:t>5</w:t>
      </w:r>
      <w:r>
        <w:rPr>
          <w:u w:val="single"/>
        </w:rPr>
        <w:t>.</w:t>
      </w:r>
      <w:r>
        <w:rPr/>
        <w:t xml:space="preserve">  Μετά την πάροδο της ανωτέρω προθεσμίας οι αιτήσεις θα θεωρούνται εκπρόθεσμες.</w:t>
      </w:r>
    </w:p>
    <w:p>
      <w:pPr>
        <w:pStyle w:val="Normal"/>
        <w:rPr/>
      </w:pPr>
      <w:r>
        <w:rPr/>
      </w:r>
    </w:p>
    <w:p>
      <w:pPr>
        <w:pStyle w:val="Normal"/>
        <w:rPr>
          <w:lang w:val="el-GR"/>
        </w:rPr>
      </w:pPr>
      <w:r>
        <w:rPr/>
        <w:t xml:space="preserve">Οι αιτήσεις θα υποβάλλονται αυτοπροσώπως ή μέσω εξουσιοδοτημένου προσώπου κατά τις εργάσιμες ημέρες και ώρες στο αρμόδιο </w:t>
      </w:r>
      <w:r>
        <w:rPr>
          <w:b/>
          <w:bCs/>
        </w:rPr>
        <w:t>Τμήμα Αδειοδοτήσεων, Ρύθμισης Εμπορικών Δραστηριοτήτων &amp; Λαϊκών Αγορών της Δ/νσης Οικονομικών Υπηρεσιών του Δήμου Καρδίτσας.</w:t>
      </w:r>
      <w:r>
        <w:rPr/>
        <w:t xml:space="preserve"> Επίσης, οι αιτήσεις και τα δικαιολογητικά μπορούν να αποστέλλονται και ταχυδρομικώς (δ/νση: </w:t>
      </w:r>
      <w:r>
        <w:rPr>
          <w:b/>
          <w:bCs/>
        </w:rPr>
        <w:t>Δημαρχείο Καρδίτσας, Μυρμιδόνων 2, Καρδίτσα, ΤΚ 43131</w:t>
      </w:r>
      <w:r>
        <w:rPr/>
        <w:t xml:space="preserve">), με δαπάνη που βαρύνει τους ενδιαφερόμενους, ή σκαναρισμένες μέσω ηλεκτρονικού ταχυδρομείου </w:t>
      </w:r>
      <w:r>
        <w:rPr>
          <w:lang w:val="el-GR"/>
        </w:rPr>
        <w:t>φέροντας ηλεκτρονική υπογραφή</w:t>
      </w:r>
    </w:p>
    <w:p>
      <w:pPr>
        <w:pStyle w:val="Normal"/>
        <w:rPr/>
      </w:pPr>
      <w:r>
        <w:rPr/>
        <w:t>(</w:t>
      </w:r>
      <w:r>
        <w:rPr>
          <w:lang w:val="en-US"/>
        </w:rPr>
        <w:t xml:space="preserve"> </w:t>
      </w:r>
      <w:r>
        <w:rPr/>
        <w:t xml:space="preserve">στο e-mail: </w:t>
      </w:r>
      <w:hyperlink r:id="rId5">
        <w:r>
          <w:rPr>
            <w:b/>
            <w:bCs/>
            <w:color w:val="auto"/>
            <w:u w:val="none"/>
          </w:rPr>
          <w:t>municipality@dimoskarditsas.gov.gr</w:t>
        </w:r>
      </w:hyperlink>
      <w:r>
        <w:rPr>
          <w:rStyle w:val="Style14"/>
          <w:color w:val="auto"/>
          <w:u w:val="none"/>
          <w:lang w:val="en-US"/>
        </w:rPr>
        <w:t xml:space="preserve"> </w:t>
      </w:r>
      <w:r>
        <w:rPr/>
        <w:t>).</w:t>
      </w:r>
    </w:p>
    <w:p>
      <w:pPr>
        <w:pStyle w:val="Normal"/>
        <w:rPr/>
      </w:pPr>
      <w:r>
        <w:rPr/>
      </w:r>
    </w:p>
    <w:p>
      <w:pPr>
        <w:pStyle w:val="Normal"/>
        <w:shd w:val="pct15" w:color="auto" w:fill="auto"/>
        <w:rPr>
          <w:b/>
          <w:b/>
          <w:bCs/>
        </w:rPr>
      </w:pPr>
      <w:r>
        <w:rPr>
          <w:b/>
          <w:bCs/>
        </w:rPr>
        <w:t>Γ. ΔΙΚΑΙΟΥΧΟΙ ΣΥΜΜΕΤΟΧΗΣ</w:t>
      </w:r>
    </w:p>
    <w:p>
      <w:pPr>
        <w:pStyle w:val="Normal"/>
        <w:rPr/>
      </w:pPr>
      <w:r>
        <w:rPr/>
      </w:r>
    </w:p>
    <w:p>
      <w:pPr>
        <w:pStyle w:val="Normal"/>
        <w:rPr>
          <w:spacing w:val="2"/>
          <w:lang w:val="el-GR"/>
        </w:rPr>
      </w:pPr>
      <w:r>
        <w:rPr>
          <w:b/>
          <w:bCs/>
          <w:spacing w:val="2"/>
          <w:lang w:val="el-GR"/>
        </w:rPr>
        <w:t>Ι)</w:t>
      </w:r>
      <w:r>
        <w:rPr>
          <w:spacing w:val="2"/>
          <w:lang w:val="el-GR"/>
        </w:rPr>
        <w:t xml:space="preserve"> Στην εμποροπανήγυρη σύμφωνα με το άρθρο 37 του ν.4849/2021 μπορούν να συμμετέχουν ως πωλητές, </w:t>
      </w:r>
      <w:r>
        <w:rPr>
          <w:spacing w:val="2"/>
          <w:u w:val="single"/>
          <w:lang w:val="el-GR"/>
        </w:rPr>
        <w:t>φυσικά και νομικά πρόσωπα</w:t>
      </w:r>
      <w:r>
        <w:rPr>
          <w:spacing w:val="2"/>
          <w:lang w:val="el-GR"/>
        </w:rPr>
        <w:t>, κάτοχοι:</w:t>
      </w:r>
    </w:p>
    <w:p>
      <w:pPr>
        <w:pStyle w:val="Normal"/>
        <w:ind w:start="720" w:hanging="0"/>
        <w:rPr>
          <w:spacing w:val="2"/>
          <w:lang w:val="el-GR"/>
        </w:rPr>
      </w:pPr>
      <w:r>
        <w:rPr>
          <w:b/>
          <w:bCs/>
          <w:spacing w:val="2"/>
          <w:lang w:val="el-GR"/>
        </w:rPr>
        <w:t>α)</w:t>
      </w:r>
      <w:r>
        <w:rPr>
          <w:spacing w:val="2"/>
          <w:lang w:val="el-GR"/>
        </w:rPr>
        <w:t xml:space="preserve"> Βεβαίωσης δραστηριοποίησης ετήσιας διάρκειας στις βραχυχρόνιες αγορές</w:t>
      </w:r>
    </w:p>
    <w:p>
      <w:pPr>
        <w:pStyle w:val="Normal"/>
        <w:ind w:start="720" w:hanging="0"/>
        <w:rPr>
          <w:spacing w:val="2"/>
          <w:lang w:val="el-GR"/>
        </w:rPr>
      </w:pPr>
      <w:r>
        <w:rPr>
          <w:b/>
          <w:bCs/>
          <w:spacing w:val="2"/>
          <w:lang w:val="el-GR"/>
        </w:rPr>
        <w:t>β)</w:t>
      </w:r>
      <w:r>
        <w:rPr>
          <w:spacing w:val="2"/>
          <w:lang w:val="el-GR"/>
        </w:rPr>
        <w:t xml:space="preserve"> Άδειας παραγωγού πωλητή και επαγγελματία πωλητή που δραστηριοποιούνται στις λαϊκές αγορές. [τροπ. με το άρθρο 134 Ν. 4887/4.2.2022 (ΦΕΚ 16 Α)]</w:t>
      </w:r>
    </w:p>
    <w:p>
      <w:pPr>
        <w:pStyle w:val="Normal"/>
        <w:ind w:start="720" w:hanging="0"/>
        <w:rPr>
          <w:spacing w:val="2"/>
          <w:lang w:val="el-GR"/>
        </w:rPr>
      </w:pPr>
      <w:r>
        <w:rPr>
          <w:b/>
          <w:bCs/>
          <w:spacing w:val="2"/>
          <w:lang w:val="el-GR"/>
        </w:rPr>
        <w:t>γ)</w:t>
      </w:r>
      <w:r>
        <w:rPr>
          <w:spacing w:val="2"/>
          <w:lang w:val="el-GR"/>
        </w:rPr>
        <w:t xml:space="preserve"> Άδειας δραστηριοποίησης στο στάσιμο ή στο πλανόδιο εμπόριο</w:t>
      </w:r>
    </w:p>
    <w:p>
      <w:pPr>
        <w:pStyle w:val="Normal"/>
        <w:ind w:start="720" w:hanging="0"/>
        <w:rPr>
          <w:spacing w:val="2"/>
          <w:lang w:val="el-GR"/>
        </w:rPr>
      </w:pPr>
      <w:r>
        <w:rPr>
          <w:b/>
          <w:bCs/>
          <w:spacing w:val="2"/>
          <w:lang w:val="el-GR"/>
        </w:rPr>
        <w:t>δ)</w:t>
      </w:r>
      <w:r>
        <w:rPr>
          <w:spacing w:val="2"/>
          <w:lang w:val="el-GR"/>
        </w:rPr>
        <w:t xml:space="preserve"> Άδειας χειροτέχνη - καλλιτέχνη.</w:t>
      </w:r>
    </w:p>
    <w:p>
      <w:pPr>
        <w:pStyle w:val="Normal"/>
        <w:rPr>
          <w:spacing w:val="2"/>
          <w:lang w:val="el-GR"/>
        </w:rPr>
      </w:pPr>
      <w:r>
        <w:rPr>
          <w:spacing w:val="2"/>
          <w:lang w:val="el-GR"/>
        </w:rPr>
      </w:r>
    </w:p>
    <w:p>
      <w:pPr>
        <w:pStyle w:val="Normal"/>
        <w:rPr>
          <w:spacing w:val="2"/>
          <w:lang w:val="el-GR"/>
        </w:rPr>
      </w:pPr>
      <w:r>
        <w:rPr>
          <w:b/>
          <w:bCs/>
          <w:spacing w:val="2"/>
          <w:lang w:val="el-GR"/>
        </w:rPr>
        <w:t>ΙΙ)</w:t>
      </w:r>
      <w:r>
        <w:rPr>
          <w:spacing w:val="2"/>
          <w:lang w:val="el-GR"/>
        </w:rPr>
        <w:t xml:space="preserve"> Οι παραχωρούμενες θέσεις, </w:t>
      </w:r>
      <w:r>
        <w:rPr>
          <w:spacing w:val="2"/>
          <w:u w:val="single"/>
          <w:lang w:val="el-GR"/>
        </w:rPr>
        <w:t>που ανέρχονται συνολικά στις 310</w:t>
      </w:r>
      <w:r>
        <w:rPr>
          <w:spacing w:val="2"/>
          <w:lang w:val="el-GR"/>
        </w:rPr>
        <w:t>, αποδίδονται στις κατηγορίες των ανωτέρω πωλητών με την ακόλουθη ποσόστωση:</w:t>
      </w:r>
    </w:p>
    <w:p>
      <w:pPr>
        <w:pStyle w:val="Normal"/>
        <w:ind w:start="720" w:hanging="0"/>
        <w:rPr>
          <w:spacing w:val="2"/>
          <w:lang w:val="el-GR"/>
        </w:rPr>
      </w:pPr>
      <w:r>
        <w:rPr>
          <w:b/>
          <w:bCs/>
          <w:spacing w:val="2"/>
          <w:lang w:val="el-GR"/>
        </w:rPr>
        <w:t>α)</w:t>
      </w:r>
      <w:r>
        <w:rPr>
          <w:spacing w:val="2"/>
          <w:lang w:val="el-GR"/>
        </w:rPr>
        <w:t xml:space="preserve"> το εβδομήντα πέντε τοις εκατό (75%) των θέσεων στους κατόχους βεβαίωσης δραστηριοποίησης ετήσιας διάρκειας στις βραχυχρόνιες αγορές,</w:t>
      </w:r>
    </w:p>
    <w:p>
      <w:pPr>
        <w:pStyle w:val="Normal"/>
        <w:ind w:start="720" w:hanging="0"/>
        <w:rPr>
          <w:spacing w:val="2"/>
          <w:lang w:val="el-GR"/>
        </w:rPr>
      </w:pPr>
      <w:r>
        <w:rPr>
          <w:b/>
          <w:bCs/>
          <w:spacing w:val="2"/>
          <w:lang w:val="el-GR"/>
        </w:rPr>
        <w:t>β)</w:t>
      </w:r>
      <w:r>
        <w:rPr>
          <w:spacing w:val="2"/>
          <w:lang w:val="el-GR"/>
        </w:rPr>
        <w:t xml:space="preserve"> το δέκα τοις εκατό (10%) των θέσεων στους κατόχους άδειας παραγωγού πωλητή και επαγγελματία πωλητή που δραστηριοποιούνται στις λαϊκές αγορές (τροπ. με το άρθρο 134 Ν. 4887/4.2.2022 ΦΕΚ 16/Α).</w:t>
      </w:r>
    </w:p>
    <w:p>
      <w:pPr>
        <w:pStyle w:val="Normal"/>
        <w:ind w:start="720" w:hanging="0"/>
        <w:rPr>
          <w:spacing w:val="2"/>
          <w:lang w:val="el-GR"/>
        </w:rPr>
      </w:pPr>
      <w:r>
        <w:rPr>
          <w:b/>
          <w:bCs/>
          <w:spacing w:val="2"/>
          <w:lang w:val="el-GR"/>
        </w:rPr>
        <w:t>γ)</w:t>
      </w:r>
      <w:r>
        <w:rPr>
          <w:spacing w:val="2"/>
          <w:lang w:val="el-GR"/>
        </w:rPr>
        <w:t xml:space="preserve"> το δέκα τοις εκατό (10%) των θέσεων στους κατόχους άδειας δραστηριοποίησης στο στάσιμο ή στο πλανόδιο εμπόριο και</w:t>
      </w:r>
    </w:p>
    <w:p>
      <w:pPr>
        <w:pStyle w:val="Normal"/>
        <w:ind w:start="720" w:hanging="0"/>
        <w:rPr>
          <w:spacing w:val="2"/>
          <w:lang w:val="el-GR"/>
        </w:rPr>
      </w:pPr>
      <w:r>
        <w:rPr>
          <w:b/>
          <w:bCs/>
          <w:spacing w:val="2"/>
          <w:lang w:val="el-GR"/>
        </w:rPr>
        <w:t>δ)</w:t>
      </w:r>
      <w:r>
        <w:rPr>
          <w:spacing w:val="2"/>
          <w:lang w:val="el-GR"/>
        </w:rPr>
        <w:t xml:space="preserve"> το πέντε τοις εκατό (5%) των θέσεων στους κατόχους άδειας χειροτέχνη - καλλιτέχνη.</w:t>
      </w:r>
    </w:p>
    <w:p>
      <w:pPr>
        <w:pStyle w:val="Normal"/>
        <w:rPr>
          <w:spacing w:val="2"/>
          <w:lang w:val="el-GR"/>
        </w:rPr>
      </w:pPr>
      <w:r>
        <w:rPr>
          <w:spacing w:val="2"/>
          <w:lang w:val="el-GR"/>
        </w:rPr>
        <w:t>Για την απόδοση της θέσης οι υποψήφιοι πωλητές υποβάλλουν τη βεβαίωση δραστηριοποίησης ή την άδεια που κατέχουν, ανάλογα με την κατηγορία στην οποία ανήκουν.</w:t>
      </w:r>
    </w:p>
    <w:p>
      <w:pPr>
        <w:pStyle w:val="Normal"/>
        <w:rPr/>
      </w:pPr>
      <w:r>
        <w:rPr/>
      </w:r>
    </w:p>
    <w:p>
      <w:pPr>
        <w:pStyle w:val="Normal"/>
        <w:shd w:val="pct15" w:color="auto" w:fill="auto"/>
        <w:rPr>
          <w:b/>
          <w:b/>
          <w:bCs/>
        </w:rPr>
      </w:pPr>
      <w:r>
        <w:rPr>
          <w:b/>
          <w:bCs/>
        </w:rPr>
        <w:t>Δ. ΚΑΤΗΓΟΡΙΕΣ ΠΩΛΟΥΜΕΝΩΝ ΕΙΔΩΝ ΜΕ ΑΡΙΘΜΗΣΗ ΤΩΝ ΠΑΡΑΧΩΡΟΥΜΕΝΩΝ ΘΕΣΕΩΝ</w:t>
      </w:r>
    </w:p>
    <w:p>
      <w:pPr>
        <w:pStyle w:val="Normal"/>
        <w:rPr/>
      </w:pPr>
      <w:r>
        <w:rPr/>
      </w:r>
    </w:p>
    <w:p>
      <w:pPr>
        <w:pStyle w:val="Normal"/>
        <w:rPr>
          <w:spacing w:val="2"/>
          <w:lang w:val="el-GR"/>
        </w:rPr>
      </w:pPr>
      <w:r>
        <w:rPr>
          <w:spacing w:val="2"/>
          <w:lang w:val="el-GR"/>
        </w:rPr>
        <w:t xml:space="preserve">Οι </w:t>
      </w:r>
      <w:r>
        <w:rPr>
          <w:spacing w:val="2"/>
          <w:u w:val="single"/>
          <w:lang w:val="el-GR"/>
        </w:rPr>
        <w:t>συνολικά 310 παραχωρούμενες θέσεις</w:t>
      </w:r>
      <w:r>
        <w:rPr>
          <w:spacing w:val="2"/>
          <w:lang w:val="el-GR"/>
        </w:rPr>
        <w:t>, σύμφωνα με το τοπογραφικό διάγραμμα της υπηρεσίας, κατατάσσονται, ανάλογα με τα πωλούμενα είδη, στις παρακάτω κατηγορίες:</w:t>
      </w:r>
    </w:p>
    <w:p>
      <w:pPr>
        <w:pStyle w:val="Normal"/>
        <w:rPr>
          <w:spacing w:val="2"/>
          <w:lang w:val="el-GR"/>
        </w:rPr>
      </w:pPr>
      <w:r>
        <w:rPr>
          <w:spacing w:val="2"/>
          <w:lang w:val="el-GR"/>
        </w:rPr>
      </w:r>
    </w:p>
    <w:tbl>
      <w:tblPr>
        <w:tblW w:w="9016" w:type="dxa"/>
        <w:jc w:val="start"/>
        <w:tblInd w:w="0" w:type="dxa"/>
        <w:tblLayout w:type="fixed"/>
        <w:tblCellMar>
          <w:top w:w="0" w:type="dxa"/>
          <w:start w:w="108" w:type="dxa"/>
          <w:bottom w:w="0" w:type="dxa"/>
          <w:end w:w="108" w:type="dxa"/>
        </w:tblCellMar>
        <w:tblLook w:firstRow="1" w:noVBand="1" w:lastRow="0" w:firstColumn="1" w:lastColumn="0" w:noHBand="0" w:val="04a0"/>
      </w:tblPr>
      <w:tblGrid>
        <w:gridCol w:w="797"/>
        <w:gridCol w:w="4938"/>
        <w:gridCol w:w="1265"/>
        <w:gridCol w:w="2015"/>
      </w:tblGrid>
      <w:tr>
        <w:trPr/>
        <w:tc>
          <w:tcPr>
            <w:tcW w:w="797" w:type="dxa"/>
            <w:tcBorders>
              <w:top w:val="single" w:sz="4" w:space="0" w:color="000000"/>
              <w:start w:val="single" w:sz="4" w:space="0" w:color="000000"/>
              <w:bottom w:val="single" w:sz="4" w:space="0" w:color="000000"/>
              <w:end w:val="single" w:sz="4" w:space="0" w:color="000000"/>
            </w:tcBorders>
            <w:shd w:color="000000" w:fill="E7E6E6" w:val="clear"/>
            <w:vAlign w:val="center"/>
          </w:tcPr>
          <w:p>
            <w:pPr>
              <w:pStyle w:val="Normal"/>
              <w:widowControl w:val="false"/>
              <w:jc w:val="center"/>
              <w:rPr>
                <w:b/>
                <w:b/>
                <w:bCs/>
                <w:color w:val="000000"/>
              </w:rPr>
            </w:pPr>
            <w:r>
              <w:rPr>
                <w:b/>
                <w:bCs/>
                <w:color w:val="000000"/>
              </w:rPr>
              <w:t>ΚΑΤ.</w:t>
            </w:r>
          </w:p>
        </w:tc>
        <w:tc>
          <w:tcPr>
            <w:tcW w:w="4938" w:type="dxa"/>
            <w:tcBorders>
              <w:top w:val="single" w:sz="4" w:space="0" w:color="000000"/>
              <w:bottom w:val="single" w:sz="4" w:space="0" w:color="000000"/>
              <w:end w:val="single" w:sz="4" w:space="0" w:color="000000"/>
            </w:tcBorders>
            <w:shd w:color="000000" w:fill="E7E6E6" w:val="clear"/>
            <w:vAlign w:val="center"/>
          </w:tcPr>
          <w:p>
            <w:pPr>
              <w:pStyle w:val="Normal"/>
              <w:widowControl w:val="false"/>
              <w:rPr>
                <w:b/>
                <w:b/>
                <w:bCs/>
                <w:color w:val="000000"/>
              </w:rPr>
            </w:pPr>
            <w:r>
              <w:rPr>
                <w:b/>
                <w:bCs/>
                <w:color w:val="000000"/>
              </w:rPr>
              <w:t>ΠΩΛΟΥΜΕΝΑ ΕΙΔΗ</w:t>
            </w:r>
          </w:p>
        </w:tc>
        <w:tc>
          <w:tcPr>
            <w:tcW w:w="1265" w:type="dxa"/>
            <w:tcBorders>
              <w:top w:val="single" w:sz="4" w:space="0" w:color="000000"/>
              <w:bottom w:val="single" w:sz="4" w:space="0" w:color="000000"/>
              <w:end w:val="single" w:sz="4" w:space="0" w:color="000000"/>
            </w:tcBorders>
            <w:shd w:color="000000" w:fill="E7E6E6" w:val="clear"/>
            <w:vAlign w:val="center"/>
          </w:tcPr>
          <w:p>
            <w:pPr>
              <w:pStyle w:val="Normal"/>
              <w:widowControl w:val="false"/>
              <w:jc w:val="center"/>
              <w:rPr>
                <w:b/>
                <w:b/>
                <w:bCs/>
                <w:color w:val="000000"/>
              </w:rPr>
            </w:pPr>
            <w:r>
              <w:rPr>
                <w:b/>
                <w:bCs/>
                <w:color w:val="000000"/>
              </w:rPr>
              <w:t>ΣΥΝΟΛΟ</w:t>
              <w:br/>
              <w:t>ΘΕΣΕΩΝ</w:t>
            </w:r>
          </w:p>
        </w:tc>
        <w:tc>
          <w:tcPr>
            <w:tcW w:w="2015" w:type="dxa"/>
            <w:tcBorders>
              <w:top w:val="single" w:sz="4" w:space="0" w:color="000000"/>
              <w:bottom w:val="single" w:sz="4" w:space="0" w:color="000000"/>
              <w:end w:val="single" w:sz="4" w:space="0" w:color="000000"/>
            </w:tcBorders>
            <w:shd w:color="000000" w:fill="E7E6E6" w:val="clear"/>
            <w:vAlign w:val="center"/>
          </w:tcPr>
          <w:p>
            <w:pPr>
              <w:pStyle w:val="Normal"/>
              <w:widowControl w:val="false"/>
              <w:rPr>
                <w:b/>
                <w:b/>
                <w:bCs/>
                <w:color w:val="000000"/>
              </w:rPr>
            </w:pPr>
            <w:r>
              <w:rPr>
                <w:b/>
                <w:bCs/>
                <w:color w:val="000000"/>
              </w:rPr>
              <w:t>ΘΕΣΕΙΣ ΠΕΡΙΠΤΕΡΩΝ</w:t>
            </w:r>
          </w:p>
        </w:tc>
      </w:tr>
      <w:tr>
        <w:trPr/>
        <w:tc>
          <w:tcPr>
            <w:tcW w:w="797" w:type="dxa"/>
            <w:tcBorders>
              <w:start w:val="single" w:sz="4" w:space="0" w:color="000000"/>
              <w:bottom w:val="single" w:sz="4" w:space="0" w:color="000000"/>
              <w:end w:val="single" w:sz="4" w:space="0" w:color="000000"/>
            </w:tcBorders>
            <w:vAlign w:val="center"/>
          </w:tcPr>
          <w:p>
            <w:pPr>
              <w:pStyle w:val="Normal"/>
              <w:widowControl w:val="false"/>
              <w:jc w:val="center"/>
              <w:rPr>
                <w:b/>
                <w:b/>
                <w:bCs/>
                <w:color w:val="000000"/>
              </w:rPr>
            </w:pPr>
            <w:r>
              <w:rPr>
                <w:b/>
                <w:bCs/>
                <w:color w:val="000000"/>
              </w:rPr>
              <w:t>I-Α</w:t>
            </w:r>
          </w:p>
        </w:tc>
        <w:tc>
          <w:tcPr>
            <w:tcW w:w="4938" w:type="dxa"/>
            <w:tcBorders>
              <w:bottom w:val="single" w:sz="4" w:space="0" w:color="000000"/>
              <w:end w:val="single" w:sz="4" w:space="0" w:color="000000"/>
            </w:tcBorders>
            <w:vAlign w:val="center"/>
          </w:tcPr>
          <w:p>
            <w:pPr>
              <w:pStyle w:val="Normal"/>
              <w:widowControl w:val="false"/>
              <w:rPr>
                <w:color w:val="000000"/>
              </w:rPr>
            </w:pPr>
            <w:r>
              <w:rPr>
                <w:b/>
                <w:bCs/>
                <w:color w:val="000000"/>
                <w:u w:val="single"/>
                <w:lang w:val="el-GR"/>
              </w:rPr>
              <w:t>Ψητοπωλεία</w:t>
            </w:r>
            <w:r>
              <w:rPr>
                <w:b/>
                <w:bCs/>
                <w:color w:val="000000"/>
                <w:u w:val="single"/>
              </w:rPr>
              <w:t xml:space="preserve"> – </w:t>
            </w:r>
            <w:r>
              <w:rPr>
                <w:b/>
                <w:bCs/>
                <w:color w:val="000000"/>
                <w:u w:val="single"/>
                <w:lang w:val="el-GR"/>
              </w:rPr>
              <w:t>Καντίνες</w:t>
            </w:r>
            <w:r>
              <w:rPr>
                <w:color w:val="000000"/>
              </w:rPr>
              <w:t xml:space="preserve">. </w:t>
            </w:r>
            <w:r>
              <w:rPr>
                <w:color w:val="000000"/>
                <w:lang w:val="el-GR"/>
              </w:rPr>
              <w:t>Ενδεικτικά</w:t>
            </w:r>
            <w:r>
              <w:rPr>
                <w:color w:val="000000"/>
              </w:rPr>
              <w:t>:</w:t>
              <w:br/>
            </w:r>
            <w:r>
              <w:rPr>
                <w:i/>
                <w:iCs/>
                <w:color w:val="000000"/>
                <w:lang w:val="el-GR"/>
              </w:rPr>
              <w:t>Είδη</w:t>
            </w:r>
            <w:r>
              <w:rPr>
                <w:i/>
                <w:iCs/>
                <w:color w:val="000000"/>
              </w:rPr>
              <w:t xml:space="preserve"> </w:t>
            </w:r>
            <w:r>
              <w:rPr>
                <w:i/>
                <w:iCs/>
                <w:color w:val="000000"/>
                <w:lang w:val="el-GR"/>
              </w:rPr>
              <w:t>ψητοπωλείου</w:t>
            </w:r>
            <w:r>
              <w:rPr>
                <w:i/>
                <w:iCs/>
                <w:color w:val="000000"/>
              </w:rPr>
              <w:t xml:space="preserve">,  </w:t>
            </w:r>
            <w:r>
              <w:rPr>
                <w:i/>
                <w:iCs/>
                <w:color w:val="000000"/>
                <w:lang w:val="el-GR"/>
              </w:rPr>
              <w:t>ξηροί</w:t>
            </w:r>
            <w:r>
              <w:rPr>
                <w:i/>
                <w:iCs/>
                <w:color w:val="000000"/>
              </w:rPr>
              <w:t xml:space="preserve"> </w:t>
            </w:r>
            <w:r>
              <w:rPr>
                <w:i/>
                <w:iCs/>
                <w:color w:val="000000"/>
                <w:lang w:val="el-GR"/>
              </w:rPr>
              <w:t>καρποί</w:t>
            </w:r>
            <w:r>
              <w:rPr>
                <w:i/>
                <w:iCs/>
                <w:color w:val="000000"/>
              </w:rPr>
              <w:t xml:space="preserve">, </w:t>
            </w:r>
            <w:r>
              <w:rPr>
                <w:i/>
                <w:iCs/>
                <w:color w:val="000000"/>
                <w:lang w:val="el-GR"/>
              </w:rPr>
              <w:t>λουκουμάδες</w:t>
            </w:r>
            <w:r>
              <w:rPr>
                <w:i/>
                <w:iCs/>
                <w:color w:val="000000"/>
              </w:rPr>
              <w:t xml:space="preserve">, </w:t>
            </w:r>
            <w:r>
              <w:rPr>
                <w:i/>
                <w:iCs/>
                <w:color w:val="000000"/>
                <w:lang w:val="el-GR"/>
              </w:rPr>
              <w:t>καφέδες</w:t>
            </w:r>
            <w:r>
              <w:rPr>
                <w:i/>
                <w:iCs/>
                <w:color w:val="000000"/>
              </w:rPr>
              <w:t xml:space="preserve">, </w:t>
            </w:r>
            <w:r>
              <w:rPr>
                <w:i/>
                <w:iCs/>
                <w:color w:val="000000"/>
                <w:lang w:val="el-GR"/>
              </w:rPr>
              <w:t>αναψυκτικά</w:t>
            </w:r>
            <w:r>
              <w:rPr>
                <w:i/>
                <w:iCs/>
                <w:color w:val="000000"/>
              </w:rPr>
              <w:t xml:space="preserve">, </w:t>
            </w:r>
            <w:r>
              <w:rPr>
                <w:i/>
                <w:iCs/>
                <w:color w:val="000000"/>
                <w:lang w:val="el-GR"/>
              </w:rPr>
              <w:t>τυρόπιτες</w:t>
            </w:r>
            <w:r>
              <w:rPr>
                <w:i/>
                <w:iCs/>
                <w:color w:val="000000"/>
              </w:rPr>
              <w:t xml:space="preserve">, </w:t>
            </w:r>
            <w:r>
              <w:rPr>
                <w:i/>
                <w:iCs/>
                <w:color w:val="000000"/>
                <w:lang w:val="el-GR"/>
              </w:rPr>
              <w:t>κρέπες</w:t>
            </w:r>
            <w:r>
              <w:rPr>
                <w:i/>
                <w:iCs/>
                <w:color w:val="000000"/>
              </w:rPr>
              <w:t xml:space="preserve">, </w:t>
            </w:r>
            <w:r>
              <w:rPr>
                <w:i/>
                <w:iCs/>
                <w:color w:val="000000"/>
                <w:lang w:val="el-GR"/>
              </w:rPr>
              <w:t>είδη</w:t>
            </w:r>
            <w:r>
              <w:rPr>
                <w:i/>
                <w:iCs/>
                <w:color w:val="000000"/>
              </w:rPr>
              <w:t xml:space="preserve"> </w:t>
            </w:r>
            <w:r>
              <w:rPr>
                <w:i/>
                <w:iCs/>
                <w:color w:val="000000"/>
                <w:lang w:val="el-GR"/>
              </w:rPr>
              <w:t>ζαχαροπλαστικής</w:t>
            </w:r>
            <w:r>
              <w:rPr>
                <w:i/>
                <w:iCs/>
                <w:color w:val="000000"/>
              </w:rPr>
              <w:t xml:space="preserve">, </w:t>
            </w:r>
            <w:r>
              <w:rPr>
                <w:i/>
                <w:iCs/>
                <w:color w:val="000000"/>
                <w:lang w:val="el-GR"/>
              </w:rPr>
              <w:t>παγωτά</w:t>
            </w:r>
            <w:r>
              <w:rPr>
                <w:i/>
                <w:iCs/>
                <w:color w:val="000000"/>
              </w:rPr>
              <w:t xml:space="preserve">, </w:t>
            </w:r>
            <w:r>
              <w:rPr>
                <w:i/>
                <w:iCs/>
                <w:color w:val="000000"/>
                <w:lang w:val="el-GR"/>
              </w:rPr>
              <w:t>ζαχαρώδη</w:t>
            </w:r>
            <w:r>
              <w:rPr>
                <w:i/>
                <w:iCs/>
                <w:color w:val="000000"/>
              </w:rPr>
              <w:t xml:space="preserve">, </w:t>
            </w:r>
            <w:r>
              <w:rPr>
                <w:i/>
                <w:iCs/>
                <w:color w:val="000000"/>
                <w:lang w:val="el-GR"/>
              </w:rPr>
              <w:t>καλαμπόκι</w:t>
            </w:r>
            <w:r>
              <w:rPr>
                <w:i/>
                <w:iCs/>
                <w:color w:val="000000"/>
              </w:rPr>
              <w:t xml:space="preserve">, </w:t>
            </w:r>
            <w:r>
              <w:rPr>
                <w:i/>
                <w:iCs/>
                <w:color w:val="000000"/>
                <w:lang w:val="el-GR"/>
              </w:rPr>
              <w:t>μαλλί</w:t>
            </w:r>
            <w:r>
              <w:rPr>
                <w:i/>
                <w:iCs/>
                <w:color w:val="000000"/>
              </w:rPr>
              <w:t xml:space="preserve"> </w:t>
            </w:r>
            <w:r>
              <w:rPr>
                <w:i/>
                <w:iCs/>
                <w:color w:val="000000"/>
                <w:lang w:val="el-GR"/>
              </w:rPr>
              <w:t>της</w:t>
            </w:r>
            <w:r>
              <w:rPr>
                <w:i/>
                <w:iCs/>
                <w:color w:val="000000"/>
              </w:rPr>
              <w:t xml:space="preserve"> </w:t>
            </w:r>
            <w:r>
              <w:rPr>
                <w:i/>
                <w:iCs/>
                <w:color w:val="000000"/>
                <w:lang w:val="el-GR"/>
              </w:rPr>
              <w:t>γριάς</w:t>
            </w:r>
            <w:r>
              <w:rPr>
                <w:i/>
                <w:iCs/>
                <w:color w:val="000000"/>
              </w:rPr>
              <w:t xml:space="preserve">, </w:t>
            </w:r>
            <w:r>
              <w:rPr>
                <w:i/>
                <w:iCs/>
                <w:color w:val="000000"/>
                <w:lang w:val="el-GR"/>
              </w:rPr>
              <w:t>πίτσα</w:t>
            </w:r>
            <w:r>
              <w:rPr>
                <w:i/>
                <w:iCs/>
                <w:color w:val="000000"/>
              </w:rPr>
              <w:t xml:space="preserve">, hot dog, </w:t>
            </w:r>
            <w:r>
              <w:rPr>
                <w:i/>
                <w:iCs/>
                <w:color w:val="000000"/>
                <w:lang w:val="el-GR"/>
              </w:rPr>
              <w:t>σάντουιτς</w:t>
            </w:r>
            <w:r>
              <w:rPr>
                <w:i/>
                <w:iCs/>
                <w:color w:val="000000"/>
              </w:rPr>
              <w:t xml:space="preserve"> </w:t>
            </w:r>
            <w:r>
              <w:rPr>
                <w:i/>
                <w:iCs/>
                <w:color w:val="000000"/>
                <w:lang w:val="el-GR"/>
              </w:rPr>
              <w:t>κ</w:t>
            </w:r>
            <w:r>
              <w:rPr>
                <w:i/>
                <w:iCs/>
                <w:color w:val="000000"/>
              </w:rPr>
              <w:t>.</w:t>
            </w:r>
            <w:r>
              <w:rPr>
                <w:i/>
                <w:iCs/>
                <w:color w:val="000000"/>
                <w:lang w:val="el-GR"/>
              </w:rPr>
              <w:t>λπ</w:t>
            </w:r>
            <w:r>
              <w:rPr>
                <w:i/>
                <w:iCs/>
                <w:color w:val="000000"/>
              </w:rPr>
              <w:t>.</w:t>
            </w:r>
          </w:p>
        </w:tc>
        <w:tc>
          <w:tcPr>
            <w:tcW w:w="1265" w:type="dxa"/>
            <w:tcBorders>
              <w:bottom w:val="single" w:sz="4" w:space="0" w:color="000000"/>
              <w:end w:val="single" w:sz="4" w:space="0" w:color="000000"/>
            </w:tcBorders>
            <w:vAlign w:val="center"/>
          </w:tcPr>
          <w:p>
            <w:pPr>
              <w:pStyle w:val="Normal"/>
              <w:widowControl w:val="false"/>
              <w:jc w:val="center"/>
              <w:rPr>
                <w:color w:val="000000"/>
              </w:rPr>
            </w:pPr>
            <w:r>
              <w:rPr>
                <w:color w:val="000000"/>
              </w:rPr>
              <w:t>4</w:t>
            </w:r>
          </w:p>
        </w:tc>
        <w:tc>
          <w:tcPr>
            <w:tcW w:w="2015" w:type="dxa"/>
            <w:tcBorders>
              <w:bottom w:val="single" w:sz="4" w:space="0" w:color="000000"/>
              <w:end w:val="single" w:sz="4" w:space="0" w:color="000000"/>
            </w:tcBorders>
            <w:vAlign w:val="center"/>
          </w:tcPr>
          <w:p>
            <w:pPr>
              <w:pStyle w:val="Normal"/>
              <w:widowControl w:val="false"/>
              <w:rPr>
                <w:color w:val="000000"/>
              </w:rPr>
            </w:pPr>
            <w:r>
              <w:rPr>
                <w:color w:val="000000"/>
              </w:rPr>
              <w:t>5, 6, 7, 8</w:t>
            </w:r>
          </w:p>
        </w:tc>
      </w:tr>
      <w:tr>
        <w:trPr/>
        <w:tc>
          <w:tcPr>
            <w:tcW w:w="797" w:type="dxa"/>
            <w:tcBorders>
              <w:start w:val="single" w:sz="4" w:space="0" w:color="000000"/>
              <w:bottom w:val="single" w:sz="4" w:space="0" w:color="000000"/>
              <w:end w:val="single" w:sz="4" w:space="0" w:color="000000"/>
            </w:tcBorders>
            <w:vAlign w:val="center"/>
          </w:tcPr>
          <w:p>
            <w:pPr>
              <w:pStyle w:val="Normal"/>
              <w:widowControl w:val="false"/>
              <w:jc w:val="center"/>
              <w:rPr>
                <w:b/>
                <w:b/>
                <w:bCs/>
                <w:color w:val="000000"/>
              </w:rPr>
            </w:pPr>
            <w:r>
              <w:rPr>
                <w:b/>
                <w:bCs/>
                <w:color w:val="000000"/>
              </w:rPr>
              <w:t>I-Β</w:t>
            </w:r>
          </w:p>
        </w:tc>
        <w:tc>
          <w:tcPr>
            <w:tcW w:w="4938" w:type="dxa"/>
            <w:tcBorders>
              <w:bottom w:val="single" w:sz="4" w:space="0" w:color="000000"/>
              <w:end w:val="single" w:sz="4" w:space="0" w:color="000000"/>
            </w:tcBorders>
            <w:vAlign w:val="center"/>
          </w:tcPr>
          <w:p>
            <w:pPr>
              <w:pStyle w:val="Normal"/>
              <w:widowControl w:val="false"/>
              <w:rPr>
                <w:color w:val="000000"/>
              </w:rPr>
            </w:pPr>
            <w:r>
              <w:rPr>
                <w:b/>
                <w:bCs/>
                <w:color w:val="000000"/>
                <w:u w:val="single"/>
                <w:lang w:val="el-GR"/>
              </w:rPr>
              <w:t>Ψητοπωλεία</w:t>
            </w:r>
            <w:r>
              <w:rPr>
                <w:b/>
                <w:bCs/>
                <w:color w:val="000000"/>
                <w:u w:val="single"/>
              </w:rPr>
              <w:t xml:space="preserve"> – </w:t>
            </w:r>
            <w:r>
              <w:rPr>
                <w:b/>
                <w:bCs/>
                <w:color w:val="000000"/>
                <w:u w:val="single"/>
                <w:lang w:val="el-GR"/>
              </w:rPr>
              <w:t>Καντίνες</w:t>
            </w:r>
            <w:r>
              <w:rPr>
                <w:color w:val="000000"/>
              </w:rPr>
              <w:t xml:space="preserve">. </w:t>
            </w:r>
            <w:r>
              <w:rPr>
                <w:color w:val="000000"/>
                <w:lang w:val="el-GR"/>
              </w:rPr>
              <w:t>Ενδεικτικά</w:t>
            </w:r>
            <w:r>
              <w:rPr>
                <w:color w:val="000000"/>
              </w:rPr>
              <w:t>:</w:t>
              <w:br/>
            </w:r>
            <w:r>
              <w:rPr>
                <w:i/>
                <w:iCs/>
                <w:color w:val="000000"/>
                <w:lang w:val="el-GR"/>
              </w:rPr>
              <w:t>Είδη</w:t>
            </w:r>
            <w:r>
              <w:rPr>
                <w:i/>
                <w:iCs/>
                <w:color w:val="000000"/>
              </w:rPr>
              <w:t xml:space="preserve"> </w:t>
            </w:r>
            <w:r>
              <w:rPr>
                <w:i/>
                <w:iCs/>
                <w:color w:val="000000"/>
                <w:lang w:val="el-GR"/>
              </w:rPr>
              <w:t>ψητοπωλείου</w:t>
            </w:r>
            <w:r>
              <w:rPr>
                <w:i/>
                <w:iCs/>
                <w:color w:val="000000"/>
              </w:rPr>
              <w:t xml:space="preserve">,  </w:t>
            </w:r>
            <w:r>
              <w:rPr>
                <w:i/>
                <w:iCs/>
                <w:color w:val="000000"/>
                <w:lang w:val="el-GR"/>
              </w:rPr>
              <w:t>ξηροί</w:t>
            </w:r>
            <w:r>
              <w:rPr>
                <w:i/>
                <w:iCs/>
                <w:color w:val="000000"/>
              </w:rPr>
              <w:t xml:space="preserve"> </w:t>
            </w:r>
            <w:r>
              <w:rPr>
                <w:i/>
                <w:iCs/>
                <w:color w:val="000000"/>
                <w:lang w:val="el-GR"/>
              </w:rPr>
              <w:t>καρποί</w:t>
            </w:r>
            <w:r>
              <w:rPr>
                <w:i/>
                <w:iCs/>
                <w:color w:val="000000"/>
              </w:rPr>
              <w:t xml:space="preserve">, </w:t>
            </w:r>
            <w:r>
              <w:rPr>
                <w:i/>
                <w:iCs/>
                <w:color w:val="000000"/>
                <w:lang w:val="el-GR"/>
              </w:rPr>
              <w:t>λουκουμάδες</w:t>
            </w:r>
            <w:r>
              <w:rPr>
                <w:i/>
                <w:iCs/>
                <w:color w:val="000000"/>
              </w:rPr>
              <w:t xml:space="preserve">, </w:t>
            </w:r>
            <w:r>
              <w:rPr>
                <w:i/>
                <w:iCs/>
                <w:color w:val="000000"/>
                <w:lang w:val="el-GR"/>
              </w:rPr>
              <w:t>καφέδες</w:t>
            </w:r>
            <w:r>
              <w:rPr>
                <w:i/>
                <w:iCs/>
                <w:color w:val="000000"/>
              </w:rPr>
              <w:t xml:space="preserve">, </w:t>
            </w:r>
            <w:r>
              <w:rPr>
                <w:i/>
                <w:iCs/>
                <w:color w:val="000000"/>
                <w:lang w:val="el-GR"/>
              </w:rPr>
              <w:t>αναψυκτικά</w:t>
            </w:r>
            <w:r>
              <w:rPr>
                <w:i/>
                <w:iCs/>
                <w:color w:val="000000"/>
              </w:rPr>
              <w:t xml:space="preserve">, </w:t>
            </w:r>
            <w:r>
              <w:rPr>
                <w:i/>
                <w:iCs/>
                <w:color w:val="000000"/>
                <w:lang w:val="el-GR"/>
              </w:rPr>
              <w:t>τυρόπιτες</w:t>
            </w:r>
            <w:r>
              <w:rPr>
                <w:i/>
                <w:iCs/>
                <w:color w:val="000000"/>
              </w:rPr>
              <w:t xml:space="preserve">, </w:t>
            </w:r>
            <w:r>
              <w:rPr>
                <w:i/>
                <w:iCs/>
                <w:color w:val="000000"/>
                <w:lang w:val="el-GR"/>
              </w:rPr>
              <w:t>κρέπες</w:t>
            </w:r>
            <w:r>
              <w:rPr>
                <w:i/>
                <w:iCs/>
                <w:color w:val="000000"/>
              </w:rPr>
              <w:t xml:space="preserve">, </w:t>
            </w:r>
            <w:r>
              <w:rPr>
                <w:i/>
                <w:iCs/>
                <w:color w:val="000000"/>
                <w:lang w:val="el-GR"/>
              </w:rPr>
              <w:t>είδη</w:t>
            </w:r>
            <w:r>
              <w:rPr>
                <w:i/>
                <w:iCs/>
                <w:color w:val="000000"/>
              </w:rPr>
              <w:t xml:space="preserve"> </w:t>
            </w:r>
            <w:r>
              <w:rPr>
                <w:i/>
                <w:iCs/>
                <w:color w:val="000000"/>
                <w:lang w:val="el-GR"/>
              </w:rPr>
              <w:t>ζαχαροπλαστικής</w:t>
            </w:r>
            <w:r>
              <w:rPr>
                <w:i/>
                <w:iCs/>
                <w:color w:val="000000"/>
              </w:rPr>
              <w:t xml:space="preserve">, </w:t>
            </w:r>
            <w:r>
              <w:rPr>
                <w:i/>
                <w:iCs/>
                <w:color w:val="000000"/>
                <w:lang w:val="el-GR"/>
              </w:rPr>
              <w:t>παγωτά</w:t>
            </w:r>
            <w:r>
              <w:rPr>
                <w:i/>
                <w:iCs/>
                <w:color w:val="000000"/>
              </w:rPr>
              <w:t xml:space="preserve">, </w:t>
            </w:r>
            <w:r>
              <w:rPr>
                <w:i/>
                <w:iCs/>
                <w:color w:val="000000"/>
                <w:lang w:val="el-GR"/>
              </w:rPr>
              <w:t>ζαχαρώδη</w:t>
            </w:r>
            <w:r>
              <w:rPr>
                <w:i/>
                <w:iCs/>
                <w:color w:val="000000"/>
              </w:rPr>
              <w:t xml:space="preserve">, </w:t>
            </w:r>
            <w:r>
              <w:rPr>
                <w:i/>
                <w:iCs/>
                <w:color w:val="000000"/>
                <w:lang w:val="el-GR"/>
              </w:rPr>
              <w:t>καλαμπόκι</w:t>
            </w:r>
            <w:r>
              <w:rPr>
                <w:i/>
                <w:iCs/>
                <w:color w:val="000000"/>
              </w:rPr>
              <w:t xml:space="preserve">, </w:t>
            </w:r>
            <w:r>
              <w:rPr>
                <w:i/>
                <w:iCs/>
                <w:color w:val="000000"/>
                <w:lang w:val="el-GR"/>
              </w:rPr>
              <w:t>μαλλί</w:t>
            </w:r>
            <w:r>
              <w:rPr>
                <w:i/>
                <w:iCs/>
                <w:color w:val="000000"/>
              </w:rPr>
              <w:t xml:space="preserve"> </w:t>
            </w:r>
            <w:r>
              <w:rPr>
                <w:i/>
                <w:iCs/>
                <w:color w:val="000000"/>
                <w:lang w:val="el-GR"/>
              </w:rPr>
              <w:t>της</w:t>
            </w:r>
            <w:r>
              <w:rPr>
                <w:i/>
                <w:iCs/>
                <w:color w:val="000000"/>
              </w:rPr>
              <w:t xml:space="preserve"> </w:t>
            </w:r>
            <w:r>
              <w:rPr>
                <w:i/>
                <w:iCs/>
                <w:color w:val="000000"/>
                <w:lang w:val="el-GR"/>
              </w:rPr>
              <w:t>γριάς</w:t>
            </w:r>
            <w:r>
              <w:rPr>
                <w:i/>
                <w:iCs/>
                <w:color w:val="000000"/>
              </w:rPr>
              <w:t xml:space="preserve">, </w:t>
            </w:r>
            <w:r>
              <w:rPr>
                <w:i/>
                <w:iCs/>
                <w:color w:val="000000"/>
                <w:lang w:val="el-GR"/>
              </w:rPr>
              <w:t>πίτσα</w:t>
            </w:r>
            <w:r>
              <w:rPr>
                <w:i/>
                <w:iCs/>
                <w:color w:val="000000"/>
              </w:rPr>
              <w:t xml:space="preserve">, hot dog, </w:t>
            </w:r>
            <w:r>
              <w:rPr>
                <w:i/>
                <w:iCs/>
                <w:color w:val="000000"/>
                <w:lang w:val="el-GR"/>
              </w:rPr>
              <w:t>σάντουιτς</w:t>
            </w:r>
            <w:r>
              <w:rPr>
                <w:i/>
                <w:iCs/>
                <w:color w:val="000000"/>
              </w:rPr>
              <w:t xml:space="preserve"> </w:t>
            </w:r>
            <w:r>
              <w:rPr>
                <w:i/>
                <w:iCs/>
                <w:color w:val="000000"/>
                <w:lang w:val="el-GR"/>
              </w:rPr>
              <w:t>κ</w:t>
            </w:r>
            <w:r>
              <w:rPr>
                <w:i/>
                <w:iCs/>
                <w:color w:val="000000"/>
              </w:rPr>
              <w:t>.</w:t>
            </w:r>
            <w:r>
              <w:rPr>
                <w:i/>
                <w:iCs/>
                <w:color w:val="000000"/>
                <w:lang w:val="el-GR"/>
              </w:rPr>
              <w:t>λπ</w:t>
            </w:r>
            <w:r>
              <w:rPr>
                <w:i/>
                <w:iCs/>
                <w:color w:val="000000"/>
              </w:rPr>
              <w:t>.</w:t>
            </w:r>
          </w:p>
        </w:tc>
        <w:tc>
          <w:tcPr>
            <w:tcW w:w="1265" w:type="dxa"/>
            <w:tcBorders>
              <w:bottom w:val="single" w:sz="4" w:space="0" w:color="000000"/>
              <w:end w:val="single" w:sz="4" w:space="0" w:color="000000"/>
            </w:tcBorders>
            <w:vAlign w:val="center"/>
          </w:tcPr>
          <w:p>
            <w:pPr>
              <w:pStyle w:val="Normal"/>
              <w:widowControl w:val="false"/>
              <w:jc w:val="center"/>
              <w:rPr>
                <w:color w:val="000000"/>
              </w:rPr>
            </w:pPr>
            <w:r>
              <w:rPr>
                <w:color w:val="000000"/>
              </w:rPr>
              <w:t>4</w:t>
            </w:r>
          </w:p>
        </w:tc>
        <w:tc>
          <w:tcPr>
            <w:tcW w:w="2015" w:type="dxa"/>
            <w:tcBorders>
              <w:bottom w:val="single" w:sz="4" w:space="0" w:color="000000"/>
              <w:end w:val="single" w:sz="4" w:space="0" w:color="000000"/>
            </w:tcBorders>
            <w:vAlign w:val="center"/>
          </w:tcPr>
          <w:p>
            <w:pPr>
              <w:pStyle w:val="Normal"/>
              <w:widowControl w:val="false"/>
              <w:rPr>
                <w:color w:val="000000"/>
              </w:rPr>
            </w:pPr>
            <w:r>
              <w:rPr>
                <w:color w:val="000000"/>
              </w:rPr>
              <w:t>3, 4, 9, 10</w:t>
            </w:r>
          </w:p>
        </w:tc>
      </w:tr>
      <w:tr>
        <w:trPr/>
        <w:tc>
          <w:tcPr>
            <w:tcW w:w="797" w:type="dxa"/>
            <w:tcBorders>
              <w:start w:val="single" w:sz="4" w:space="0" w:color="000000"/>
              <w:bottom w:val="single" w:sz="4" w:space="0" w:color="000000"/>
              <w:end w:val="single" w:sz="4" w:space="0" w:color="000000"/>
            </w:tcBorders>
            <w:vAlign w:val="center"/>
          </w:tcPr>
          <w:p>
            <w:pPr>
              <w:pStyle w:val="Normal"/>
              <w:widowControl w:val="false"/>
              <w:jc w:val="center"/>
              <w:rPr>
                <w:b/>
                <w:b/>
                <w:bCs/>
                <w:color w:val="000000"/>
              </w:rPr>
            </w:pPr>
            <w:r>
              <w:rPr>
                <w:b/>
                <w:bCs/>
                <w:color w:val="000000"/>
              </w:rPr>
              <w:t>I-Γ</w:t>
            </w:r>
          </w:p>
        </w:tc>
        <w:tc>
          <w:tcPr>
            <w:tcW w:w="4938" w:type="dxa"/>
            <w:tcBorders>
              <w:bottom w:val="single" w:sz="4" w:space="0" w:color="000000"/>
              <w:end w:val="single" w:sz="4" w:space="0" w:color="000000"/>
            </w:tcBorders>
            <w:vAlign w:val="center"/>
          </w:tcPr>
          <w:p>
            <w:pPr>
              <w:pStyle w:val="Normal"/>
              <w:widowControl w:val="false"/>
              <w:rPr>
                <w:color w:val="000000"/>
              </w:rPr>
            </w:pPr>
            <w:r>
              <w:rPr>
                <w:b/>
                <w:bCs/>
                <w:color w:val="000000"/>
                <w:u w:val="single"/>
                <w:lang w:val="el-GR"/>
              </w:rPr>
              <w:t>Ψητοπωλεία</w:t>
            </w:r>
            <w:r>
              <w:rPr>
                <w:b/>
                <w:bCs/>
                <w:color w:val="000000"/>
                <w:u w:val="single"/>
              </w:rPr>
              <w:t xml:space="preserve"> – </w:t>
            </w:r>
            <w:r>
              <w:rPr>
                <w:b/>
                <w:bCs/>
                <w:color w:val="000000"/>
                <w:u w:val="single"/>
                <w:lang w:val="el-GR"/>
              </w:rPr>
              <w:t>Καντίνες</w:t>
            </w:r>
            <w:r>
              <w:rPr>
                <w:color w:val="000000"/>
              </w:rPr>
              <w:t xml:space="preserve">. </w:t>
            </w:r>
            <w:r>
              <w:rPr>
                <w:color w:val="000000"/>
                <w:lang w:val="el-GR"/>
              </w:rPr>
              <w:t>Ενδεικτικά</w:t>
            </w:r>
            <w:r>
              <w:rPr>
                <w:color w:val="000000"/>
              </w:rPr>
              <w:t>:</w:t>
              <w:br/>
            </w:r>
            <w:r>
              <w:rPr>
                <w:i/>
                <w:iCs/>
                <w:color w:val="000000"/>
                <w:lang w:val="el-GR"/>
              </w:rPr>
              <w:t>Είδη</w:t>
            </w:r>
            <w:r>
              <w:rPr>
                <w:i/>
                <w:iCs/>
                <w:color w:val="000000"/>
              </w:rPr>
              <w:t xml:space="preserve"> </w:t>
            </w:r>
            <w:r>
              <w:rPr>
                <w:i/>
                <w:iCs/>
                <w:color w:val="000000"/>
                <w:lang w:val="el-GR"/>
              </w:rPr>
              <w:t>ψητοπωλείου</w:t>
            </w:r>
            <w:r>
              <w:rPr>
                <w:i/>
                <w:iCs/>
                <w:color w:val="000000"/>
              </w:rPr>
              <w:t xml:space="preserve">, </w:t>
            </w:r>
            <w:r>
              <w:rPr>
                <w:i/>
                <w:iCs/>
                <w:color w:val="000000"/>
                <w:lang w:val="el-GR"/>
              </w:rPr>
              <w:t>ξηροί</w:t>
            </w:r>
            <w:r>
              <w:rPr>
                <w:i/>
                <w:iCs/>
                <w:color w:val="000000"/>
              </w:rPr>
              <w:t xml:space="preserve"> </w:t>
            </w:r>
            <w:r>
              <w:rPr>
                <w:i/>
                <w:iCs/>
                <w:color w:val="000000"/>
                <w:lang w:val="el-GR"/>
              </w:rPr>
              <w:t>καρποί</w:t>
            </w:r>
            <w:r>
              <w:rPr>
                <w:i/>
                <w:iCs/>
                <w:color w:val="000000"/>
              </w:rPr>
              <w:t xml:space="preserve">, </w:t>
            </w:r>
            <w:r>
              <w:rPr>
                <w:i/>
                <w:iCs/>
                <w:color w:val="000000"/>
                <w:lang w:val="el-GR"/>
              </w:rPr>
              <w:t>λουκουμάδες</w:t>
            </w:r>
            <w:r>
              <w:rPr>
                <w:i/>
                <w:iCs/>
                <w:color w:val="000000"/>
              </w:rPr>
              <w:t xml:space="preserve">, </w:t>
            </w:r>
            <w:r>
              <w:rPr>
                <w:i/>
                <w:iCs/>
                <w:color w:val="000000"/>
                <w:lang w:val="el-GR"/>
              </w:rPr>
              <w:t>καφέδες</w:t>
            </w:r>
            <w:r>
              <w:rPr>
                <w:i/>
                <w:iCs/>
                <w:color w:val="000000"/>
              </w:rPr>
              <w:t xml:space="preserve">, </w:t>
            </w:r>
            <w:r>
              <w:rPr>
                <w:i/>
                <w:iCs/>
                <w:color w:val="000000"/>
                <w:lang w:val="el-GR"/>
              </w:rPr>
              <w:t>αναψυκτικά</w:t>
            </w:r>
            <w:r>
              <w:rPr>
                <w:i/>
                <w:iCs/>
                <w:color w:val="000000"/>
              </w:rPr>
              <w:t xml:space="preserve">, </w:t>
            </w:r>
            <w:r>
              <w:rPr>
                <w:i/>
                <w:iCs/>
                <w:color w:val="000000"/>
                <w:lang w:val="el-GR"/>
              </w:rPr>
              <w:t>τυρόπιτες</w:t>
            </w:r>
            <w:r>
              <w:rPr>
                <w:i/>
                <w:iCs/>
                <w:color w:val="000000"/>
              </w:rPr>
              <w:t xml:space="preserve">, </w:t>
            </w:r>
            <w:r>
              <w:rPr>
                <w:i/>
                <w:iCs/>
                <w:color w:val="000000"/>
                <w:lang w:val="el-GR"/>
              </w:rPr>
              <w:t>χαλβάς</w:t>
            </w:r>
            <w:r>
              <w:rPr>
                <w:i/>
                <w:iCs/>
                <w:color w:val="000000"/>
              </w:rPr>
              <w:t xml:space="preserve">  </w:t>
            </w:r>
            <w:r>
              <w:rPr>
                <w:i/>
                <w:iCs/>
                <w:color w:val="000000"/>
                <w:lang w:val="el-GR"/>
              </w:rPr>
              <w:t>τύπου</w:t>
            </w:r>
            <w:r>
              <w:rPr>
                <w:i/>
                <w:iCs/>
                <w:color w:val="000000"/>
              </w:rPr>
              <w:t xml:space="preserve"> </w:t>
            </w:r>
            <w:r>
              <w:rPr>
                <w:i/>
                <w:iCs/>
                <w:color w:val="000000"/>
                <w:lang w:val="el-GR"/>
              </w:rPr>
              <w:t>Φαρσάλων</w:t>
            </w:r>
            <w:r>
              <w:rPr>
                <w:i/>
                <w:iCs/>
                <w:color w:val="000000"/>
              </w:rPr>
              <w:t xml:space="preserve">, </w:t>
            </w:r>
            <w:r>
              <w:rPr>
                <w:i/>
                <w:iCs/>
                <w:color w:val="000000"/>
                <w:lang w:val="el-GR"/>
              </w:rPr>
              <w:t>κρέπες</w:t>
            </w:r>
            <w:r>
              <w:rPr>
                <w:i/>
                <w:iCs/>
                <w:color w:val="000000"/>
              </w:rPr>
              <w:t xml:space="preserve">, </w:t>
            </w:r>
            <w:r>
              <w:rPr>
                <w:i/>
                <w:iCs/>
                <w:color w:val="000000"/>
                <w:lang w:val="el-GR"/>
              </w:rPr>
              <w:t>είδη</w:t>
            </w:r>
            <w:r>
              <w:rPr>
                <w:i/>
                <w:iCs/>
                <w:color w:val="000000"/>
              </w:rPr>
              <w:t xml:space="preserve"> </w:t>
            </w:r>
            <w:r>
              <w:rPr>
                <w:i/>
                <w:iCs/>
                <w:color w:val="000000"/>
                <w:lang w:val="el-GR"/>
              </w:rPr>
              <w:t>ζαχαροπλαστικής</w:t>
            </w:r>
            <w:r>
              <w:rPr>
                <w:i/>
                <w:iCs/>
                <w:color w:val="000000"/>
              </w:rPr>
              <w:t xml:space="preserve">, </w:t>
            </w:r>
            <w:r>
              <w:rPr>
                <w:i/>
                <w:iCs/>
                <w:color w:val="000000"/>
                <w:lang w:val="el-GR"/>
              </w:rPr>
              <w:t>παγωτά</w:t>
            </w:r>
            <w:r>
              <w:rPr>
                <w:i/>
                <w:iCs/>
                <w:color w:val="000000"/>
              </w:rPr>
              <w:t xml:space="preserve">, </w:t>
            </w:r>
            <w:r>
              <w:rPr>
                <w:i/>
                <w:iCs/>
                <w:color w:val="000000"/>
                <w:lang w:val="el-GR"/>
              </w:rPr>
              <w:t>ζαχαρώδη</w:t>
            </w:r>
            <w:r>
              <w:rPr>
                <w:i/>
                <w:iCs/>
                <w:color w:val="000000"/>
              </w:rPr>
              <w:t xml:space="preserve">, </w:t>
            </w:r>
            <w:r>
              <w:rPr>
                <w:i/>
                <w:iCs/>
                <w:color w:val="000000"/>
                <w:lang w:val="el-GR"/>
              </w:rPr>
              <w:t>καλαμπόκι</w:t>
            </w:r>
            <w:r>
              <w:rPr>
                <w:i/>
                <w:iCs/>
                <w:color w:val="000000"/>
              </w:rPr>
              <w:t xml:space="preserve">, </w:t>
            </w:r>
            <w:r>
              <w:rPr>
                <w:i/>
                <w:iCs/>
                <w:color w:val="000000"/>
                <w:lang w:val="el-GR"/>
              </w:rPr>
              <w:t>μαλλί</w:t>
            </w:r>
            <w:r>
              <w:rPr>
                <w:i/>
                <w:iCs/>
                <w:color w:val="000000"/>
              </w:rPr>
              <w:t xml:space="preserve"> </w:t>
            </w:r>
            <w:r>
              <w:rPr>
                <w:i/>
                <w:iCs/>
                <w:color w:val="000000"/>
                <w:lang w:val="el-GR"/>
              </w:rPr>
              <w:t>της</w:t>
            </w:r>
            <w:r>
              <w:rPr>
                <w:i/>
                <w:iCs/>
                <w:color w:val="000000"/>
              </w:rPr>
              <w:t xml:space="preserve"> </w:t>
            </w:r>
            <w:r>
              <w:rPr>
                <w:i/>
                <w:iCs/>
                <w:color w:val="000000"/>
                <w:lang w:val="el-GR"/>
              </w:rPr>
              <w:t>γριάς</w:t>
            </w:r>
            <w:r>
              <w:rPr>
                <w:i/>
                <w:iCs/>
                <w:color w:val="000000"/>
              </w:rPr>
              <w:t xml:space="preserve">, </w:t>
            </w:r>
            <w:r>
              <w:rPr>
                <w:i/>
                <w:iCs/>
                <w:color w:val="000000"/>
                <w:lang w:val="el-GR"/>
              </w:rPr>
              <w:t>πίτσα</w:t>
            </w:r>
            <w:r>
              <w:rPr>
                <w:i/>
                <w:iCs/>
                <w:color w:val="000000"/>
              </w:rPr>
              <w:t xml:space="preserve">, hot dog, </w:t>
            </w:r>
            <w:r>
              <w:rPr>
                <w:i/>
                <w:iCs/>
                <w:color w:val="000000"/>
                <w:lang w:val="el-GR"/>
              </w:rPr>
              <w:t>σάντουιτς</w:t>
            </w:r>
            <w:r>
              <w:rPr>
                <w:i/>
                <w:iCs/>
                <w:color w:val="000000"/>
              </w:rPr>
              <w:t xml:space="preserve"> </w:t>
            </w:r>
            <w:r>
              <w:rPr>
                <w:i/>
                <w:iCs/>
                <w:color w:val="000000"/>
                <w:lang w:val="el-GR"/>
              </w:rPr>
              <w:t>κ</w:t>
            </w:r>
            <w:r>
              <w:rPr>
                <w:i/>
                <w:iCs/>
                <w:color w:val="000000"/>
              </w:rPr>
              <w:t>.</w:t>
            </w:r>
            <w:r>
              <w:rPr>
                <w:i/>
                <w:iCs/>
                <w:color w:val="000000"/>
                <w:lang w:val="el-GR"/>
              </w:rPr>
              <w:t>λπ</w:t>
            </w:r>
            <w:r>
              <w:rPr>
                <w:i/>
                <w:iCs/>
                <w:color w:val="000000"/>
              </w:rPr>
              <w:t>.</w:t>
            </w:r>
          </w:p>
        </w:tc>
        <w:tc>
          <w:tcPr>
            <w:tcW w:w="1265" w:type="dxa"/>
            <w:tcBorders>
              <w:bottom w:val="single" w:sz="4" w:space="0" w:color="000000"/>
              <w:end w:val="single" w:sz="4" w:space="0" w:color="000000"/>
            </w:tcBorders>
            <w:vAlign w:val="center"/>
          </w:tcPr>
          <w:p>
            <w:pPr>
              <w:pStyle w:val="Normal"/>
              <w:widowControl w:val="false"/>
              <w:jc w:val="center"/>
              <w:rPr>
                <w:color w:val="000000"/>
              </w:rPr>
            </w:pPr>
            <w:r>
              <w:rPr>
                <w:color w:val="000000"/>
              </w:rPr>
              <w:t>4</w:t>
            </w:r>
          </w:p>
        </w:tc>
        <w:tc>
          <w:tcPr>
            <w:tcW w:w="2015" w:type="dxa"/>
            <w:tcBorders>
              <w:bottom w:val="single" w:sz="4" w:space="0" w:color="000000"/>
              <w:end w:val="single" w:sz="4" w:space="0" w:color="000000"/>
            </w:tcBorders>
            <w:vAlign w:val="center"/>
          </w:tcPr>
          <w:p>
            <w:pPr>
              <w:pStyle w:val="Normal"/>
              <w:widowControl w:val="false"/>
              <w:rPr>
                <w:color w:val="000000"/>
              </w:rPr>
            </w:pPr>
            <w:r>
              <w:rPr>
                <w:color w:val="000000"/>
              </w:rPr>
              <w:t>1,2,11,12</w:t>
            </w:r>
          </w:p>
        </w:tc>
      </w:tr>
      <w:tr>
        <w:trPr/>
        <w:tc>
          <w:tcPr>
            <w:tcW w:w="797" w:type="dxa"/>
            <w:tcBorders>
              <w:start w:val="single" w:sz="4" w:space="0" w:color="000000"/>
              <w:bottom w:val="single" w:sz="4" w:space="0" w:color="000000"/>
              <w:end w:val="single" w:sz="4" w:space="0" w:color="000000"/>
            </w:tcBorders>
            <w:vAlign w:val="center"/>
          </w:tcPr>
          <w:p>
            <w:pPr>
              <w:pStyle w:val="Normal"/>
              <w:widowControl w:val="false"/>
              <w:jc w:val="center"/>
              <w:rPr>
                <w:b/>
                <w:b/>
                <w:bCs/>
                <w:color w:val="000000"/>
              </w:rPr>
            </w:pPr>
            <w:r>
              <w:rPr>
                <w:b/>
                <w:bCs/>
                <w:color w:val="000000"/>
                <w:lang w:val="el-GR"/>
              </w:rPr>
              <w:t>ΙΙ</w:t>
            </w:r>
          </w:p>
        </w:tc>
        <w:tc>
          <w:tcPr>
            <w:tcW w:w="4938" w:type="dxa"/>
            <w:tcBorders>
              <w:bottom w:val="single" w:sz="4" w:space="0" w:color="000000"/>
              <w:end w:val="single" w:sz="4" w:space="0" w:color="000000"/>
            </w:tcBorders>
            <w:vAlign w:val="center"/>
          </w:tcPr>
          <w:p>
            <w:pPr>
              <w:pStyle w:val="Normal"/>
              <w:widowControl w:val="false"/>
              <w:rPr>
                <w:color w:val="000000"/>
              </w:rPr>
            </w:pPr>
            <w:r>
              <w:rPr>
                <w:b/>
                <w:bCs/>
                <w:color w:val="000000"/>
                <w:u w:val="single"/>
                <w:lang w:val="el-GR"/>
              </w:rPr>
              <w:t>Χαλβαδοποιία</w:t>
            </w:r>
            <w:r>
              <w:rPr>
                <w:b/>
                <w:bCs/>
                <w:color w:val="000000"/>
                <w:u w:val="single"/>
              </w:rPr>
              <w:t xml:space="preserve"> – </w:t>
            </w:r>
            <w:r>
              <w:rPr>
                <w:b/>
                <w:bCs/>
                <w:color w:val="000000"/>
                <w:u w:val="single"/>
                <w:lang w:val="el-GR"/>
              </w:rPr>
              <w:t>Καφενεία</w:t>
            </w:r>
            <w:r>
              <w:rPr>
                <w:color w:val="000000"/>
              </w:rPr>
              <w:t xml:space="preserve">. </w:t>
            </w:r>
            <w:r>
              <w:rPr>
                <w:color w:val="000000"/>
                <w:lang w:val="el-GR"/>
              </w:rPr>
              <w:t>Ενδεικτικά</w:t>
            </w:r>
            <w:r>
              <w:rPr>
                <w:color w:val="000000"/>
              </w:rPr>
              <w:t>:</w:t>
              <w:br/>
            </w:r>
            <w:r>
              <w:rPr>
                <w:i/>
                <w:iCs/>
                <w:color w:val="000000"/>
                <w:lang w:val="el-GR"/>
              </w:rPr>
              <w:t>Είδη</w:t>
            </w:r>
            <w:r>
              <w:rPr>
                <w:i/>
                <w:iCs/>
                <w:color w:val="000000"/>
              </w:rPr>
              <w:t xml:space="preserve"> </w:t>
            </w:r>
            <w:r>
              <w:rPr>
                <w:i/>
                <w:iCs/>
                <w:color w:val="000000"/>
                <w:lang w:val="el-GR"/>
              </w:rPr>
              <w:t>Κυλικείου</w:t>
            </w:r>
            <w:r>
              <w:rPr>
                <w:i/>
                <w:iCs/>
                <w:color w:val="000000"/>
              </w:rPr>
              <w:t xml:space="preserve">,  </w:t>
            </w:r>
            <w:r>
              <w:rPr>
                <w:i/>
                <w:iCs/>
                <w:color w:val="000000"/>
                <w:lang w:val="el-GR"/>
              </w:rPr>
              <w:t>ξηροί</w:t>
            </w:r>
            <w:r>
              <w:rPr>
                <w:i/>
                <w:iCs/>
                <w:color w:val="000000"/>
              </w:rPr>
              <w:t xml:space="preserve"> </w:t>
            </w:r>
            <w:r>
              <w:rPr>
                <w:i/>
                <w:iCs/>
                <w:color w:val="000000"/>
                <w:lang w:val="el-GR"/>
              </w:rPr>
              <w:t>καρποί</w:t>
            </w:r>
            <w:r>
              <w:rPr>
                <w:i/>
                <w:iCs/>
                <w:color w:val="000000"/>
              </w:rPr>
              <w:t xml:space="preserve">, </w:t>
            </w:r>
            <w:r>
              <w:rPr>
                <w:i/>
                <w:iCs/>
                <w:color w:val="000000"/>
                <w:lang w:val="el-GR"/>
              </w:rPr>
              <w:t>λουκουμάδες</w:t>
            </w:r>
            <w:r>
              <w:rPr>
                <w:i/>
                <w:iCs/>
                <w:color w:val="000000"/>
              </w:rPr>
              <w:t xml:space="preserve">, </w:t>
            </w:r>
            <w:r>
              <w:rPr>
                <w:i/>
                <w:iCs/>
                <w:color w:val="000000"/>
                <w:lang w:val="el-GR"/>
              </w:rPr>
              <w:t>καφέδες</w:t>
            </w:r>
            <w:r>
              <w:rPr>
                <w:i/>
                <w:iCs/>
                <w:color w:val="000000"/>
              </w:rPr>
              <w:t xml:space="preserve">, </w:t>
            </w:r>
            <w:r>
              <w:rPr>
                <w:i/>
                <w:iCs/>
                <w:color w:val="000000"/>
                <w:lang w:val="el-GR"/>
              </w:rPr>
              <w:t>αναψυκτικά</w:t>
            </w:r>
            <w:r>
              <w:rPr>
                <w:i/>
                <w:iCs/>
                <w:color w:val="000000"/>
              </w:rPr>
              <w:t xml:space="preserve">, </w:t>
            </w:r>
            <w:r>
              <w:rPr>
                <w:i/>
                <w:iCs/>
                <w:color w:val="000000"/>
                <w:lang w:val="el-GR"/>
              </w:rPr>
              <w:t>τυρόπιτες</w:t>
            </w:r>
            <w:r>
              <w:rPr>
                <w:i/>
                <w:iCs/>
                <w:color w:val="000000"/>
              </w:rPr>
              <w:t xml:space="preserve">, </w:t>
            </w:r>
            <w:r>
              <w:rPr>
                <w:i/>
                <w:iCs/>
                <w:color w:val="000000"/>
                <w:lang w:val="el-GR"/>
              </w:rPr>
              <w:t>χαλβάς</w:t>
            </w:r>
            <w:r>
              <w:rPr>
                <w:i/>
                <w:iCs/>
                <w:color w:val="000000"/>
              </w:rPr>
              <w:t xml:space="preserve">  </w:t>
            </w:r>
            <w:r>
              <w:rPr>
                <w:i/>
                <w:iCs/>
                <w:color w:val="000000"/>
                <w:lang w:val="el-GR"/>
              </w:rPr>
              <w:t>τύπου</w:t>
            </w:r>
            <w:r>
              <w:rPr>
                <w:i/>
                <w:iCs/>
                <w:color w:val="000000"/>
              </w:rPr>
              <w:t xml:space="preserve"> </w:t>
            </w:r>
            <w:r>
              <w:rPr>
                <w:i/>
                <w:iCs/>
                <w:color w:val="000000"/>
                <w:lang w:val="el-GR"/>
              </w:rPr>
              <w:t>Φαρσάλων</w:t>
            </w:r>
            <w:r>
              <w:rPr>
                <w:i/>
                <w:iCs/>
                <w:color w:val="000000"/>
              </w:rPr>
              <w:t xml:space="preserve">, </w:t>
            </w:r>
            <w:r>
              <w:rPr>
                <w:i/>
                <w:iCs/>
                <w:color w:val="000000"/>
                <w:lang w:val="el-GR"/>
              </w:rPr>
              <w:t>κρέπες</w:t>
            </w:r>
            <w:r>
              <w:rPr>
                <w:i/>
                <w:iCs/>
                <w:color w:val="000000"/>
              </w:rPr>
              <w:t xml:space="preserve">, </w:t>
            </w:r>
            <w:r>
              <w:rPr>
                <w:i/>
                <w:iCs/>
                <w:color w:val="000000"/>
                <w:lang w:val="el-GR"/>
              </w:rPr>
              <w:t>είδη</w:t>
            </w:r>
            <w:r>
              <w:rPr>
                <w:i/>
                <w:iCs/>
                <w:color w:val="000000"/>
              </w:rPr>
              <w:t xml:space="preserve"> </w:t>
            </w:r>
            <w:r>
              <w:rPr>
                <w:i/>
                <w:iCs/>
                <w:color w:val="000000"/>
                <w:lang w:val="el-GR"/>
              </w:rPr>
              <w:t>ζαχαροπλαστικής</w:t>
            </w:r>
            <w:r>
              <w:rPr>
                <w:i/>
                <w:iCs/>
                <w:color w:val="000000"/>
              </w:rPr>
              <w:t xml:space="preserve">, </w:t>
            </w:r>
            <w:r>
              <w:rPr>
                <w:i/>
                <w:iCs/>
                <w:color w:val="000000"/>
                <w:lang w:val="el-GR"/>
              </w:rPr>
              <w:t>παγωτά</w:t>
            </w:r>
            <w:r>
              <w:rPr>
                <w:i/>
                <w:iCs/>
                <w:color w:val="000000"/>
              </w:rPr>
              <w:t xml:space="preserve">, </w:t>
            </w:r>
            <w:r>
              <w:rPr>
                <w:i/>
                <w:iCs/>
                <w:color w:val="000000"/>
                <w:lang w:val="el-GR"/>
              </w:rPr>
              <w:t>ζαχαρώδη</w:t>
            </w:r>
            <w:r>
              <w:rPr>
                <w:i/>
                <w:iCs/>
                <w:color w:val="000000"/>
              </w:rPr>
              <w:t xml:space="preserve">, </w:t>
            </w:r>
            <w:r>
              <w:rPr>
                <w:i/>
                <w:iCs/>
                <w:color w:val="000000"/>
                <w:lang w:val="el-GR"/>
              </w:rPr>
              <w:t>καλαμπόκι</w:t>
            </w:r>
            <w:r>
              <w:rPr>
                <w:i/>
                <w:iCs/>
                <w:color w:val="000000"/>
              </w:rPr>
              <w:t xml:space="preserve">, </w:t>
            </w:r>
            <w:r>
              <w:rPr>
                <w:i/>
                <w:iCs/>
                <w:color w:val="000000"/>
                <w:lang w:val="el-GR"/>
              </w:rPr>
              <w:t>μαλλί</w:t>
            </w:r>
            <w:r>
              <w:rPr>
                <w:i/>
                <w:iCs/>
                <w:color w:val="000000"/>
              </w:rPr>
              <w:t xml:space="preserve"> </w:t>
            </w:r>
            <w:r>
              <w:rPr>
                <w:i/>
                <w:iCs/>
                <w:color w:val="000000"/>
                <w:lang w:val="el-GR"/>
              </w:rPr>
              <w:t>της</w:t>
            </w:r>
            <w:r>
              <w:rPr>
                <w:i/>
                <w:iCs/>
                <w:color w:val="000000"/>
              </w:rPr>
              <w:t xml:space="preserve"> </w:t>
            </w:r>
            <w:r>
              <w:rPr>
                <w:i/>
                <w:iCs/>
                <w:color w:val="000000"/>
                <w:lang w:val="el-GR"/>
              </w:rPr>
              <w:t>γριάς</w:t>
            </w:r>
            <w:r>
              <w:rPr>
                <w:i/>
                <w:iCs/>
                <w:color w:val="000000"/>
              </w:rPr>
              <w:t xml:space="preserve">, </w:t>
            </w:r>
            <w:r>
              <w:rPr>
                <w:i/>
                <w:iCs/>
                <w:color w:val="000000"/>
                <w:lang w:val="el-GR"/>
              </w:rPr>
              <w:t>πίτσα</w:t>
            </w:r>
            <w:r>
              <w:rPr>
                <w:i/>
                <w:iCs/>
                <w:color w:val="000000"/>
              </w:rPr>
              <w:t xml:space="preserve">, hot dog, </w:t>
            </w:r>
            <w:r>
              <w:rPr>
                <w:i/>
                <w:iCs/>
                <w:color w:val="000000"/>
                <w:lang w:val="el-GR"/>
              </w:rPr>
              <w:t>σάντουιτς</w:t>
            </w:r>
            <w:r>
              <w:rPr>
                <w:i/>
                <w:iCs/>
                <w:color w:val="000000"/>
              </w:rPr>
              <w:t xml:space="preserve"> </w:t>
            </w:r>
            <w:r>
              <w:rPr>
                <w:i/>
                <w:iCs/>
                <w:color w:val="000000"/>
                <w:lang w:val="el-GR"/>
              </w:rPr>
              <w:t>κ</w:t>
            </w:r>
            <w:r>
              <w:rPr>
                <w:i/>
                <w:iCs/>
                <w:color w:val="000000"/>
              </w:rPr>
              <w:t>.</w:t>
            </w:r>
            <w:r>
              <w:rPr>
                <w:i/>
                <w:iCs/>
                <w:color w:val="000000"/>
                <w:lang w:val="el-GR"/>
              </w:rPr>
              <w:t>λπ</w:t>
            </w:r>
            <w:r>
              <w:rPr>
                <w:i/>
                <w:iCs/>
                <w:color w:val="000000"/>
              </w:rPr>
              <w:t>..</w:t>
            </w:r>
          </w:p>
        </w:tc>
        <w:tc>
          <w:tcPr>
            <w:tcW w:w="1265" w:type="dxa"/>
            <w:tcBorders>
              <w:bottom w:val="single" w:sz="4" w:space="0" w:color="000000"/>
              <w:end w:val="single" w:sz="4" w:space="0" w:color="000000"/>
            </w:tcBorders>
            <w:vAlign w:val="center"/>
          </w:tcPr>
          <w:p>
            <w:pPr>
              <w:pStyle w:val="Normal"/>
              <w:widowControl w:val="false"/>
              <w:jc w:val="center"/>
              <w:rPr>
                <w:color w:val="000000"/>
              </w:rPr>
            </w:pPr>
            <w:r>
              <w:rPr>
                <w:color w:val="000000"/>
                <w:lang w:val="el-GR"/>
              </w:rPr>
              <w:t>18</w:t>
            </w:r>
          </w:p>
        </w:tc>
        <w:tc>
          <w:tcPr>
            <w:tcW w:w="2015" w:type="dxa"/>
            <w:tcBorders>
              <w:bottom w:val="single" w:sz="4" w:space="0" w:color="000000"/>
              <w:end w:val="single" w:sz="4" w:space="0" w:color="000000"/>
            </w:tcBorders>
            <w:vAlign w:val="center"/>
          </w:tcPr>
          <w:p>
            <w:pPr>
              <w:pStyle w:val="Normal"/>
              <w:widowControl w:val="false"/>
              <w:rPr>
                <w:color w:val="000000"/>
              </w:rPr>
            </w:pPr>
            <w:r>
              <w:rPr>
                <w:color w:val="000000"/>
                <w:lang w:val="el-GR"/>
              </w:rPr>
              <w:t>1, 2, 24, 25, 45, 46, 75, 76, 100, 101, 121, 122, 147, 148, 174, 175, 195, 196</w:t>
            </w:r>
          </w:p>
        </w:tc>
      </w:tr>
      <w:tr>
        <w:trPr/>
        <w:tc>
          <w:tcPr>
            <w:tcW w:w="797" w:type="dxa"/>
            <w:tcBorders>
              <w:start w:val="single" w:sz="4" w:space="0" w:color="000000"/>
              <w:bottom w:val="single" w:sz="4" w:space="0" w:color="000000"/>
              <w:end w:val="single" w:sz="4" w:space="0" w:color="000000"/>
            </w:tcBorders>
            <w:vAlign w:val="center"/>
          </w:tcPr>
          <w:p>
            <w:pPr>
              <w:pStyle w:val="Normal"/>
              <w:widowControl w:val="false"/>
              <w:jc w:val="center"/>
              <w:rPr>
                <w:b/>
                <w:b/>
                <w:bCs/>
                <w:color w:val="000000"/>
              </w:rPr>
            </w:pPr>
            <w:r>
              <w:rPr>
                <w:b/>
                <w:bCs/>
                <w:color w:val="000000"/>
              </w:rPr>
              <w:t>ΙΙΙ</w:t>
            </w:r>
          </w:p>
        </w:tc>
        <w:tc>
          <w:tcPr>
            <w:tcW w:w="4938" w:type="dxa"/>
            <w:tcBorders>
              <w:bottom w:val="single" w:sz="4" w:space="0" w:color="000000"/>
              <w:end w:val="single" w:sz="4" w:space="0" w:color="000000"/>
            </w:tcBorders>
            <w:vAlign w:val="center"/>
          </w:tcPr>
          <w:p>
            <w:pPr>
              <w:pStyle w:val="Normal"/>
              <w:widowControl w:val="false"/>
              <w:rPr>
                <w:color w:val="000000"/>
              </w:rPr>
            </w:pPr>
            <w:r>
              <w:rPr>
                <w:b/>
                <w:bCs/>
                <w:color w:val="000000"/>
                <w:u w:val="single"/>
                <w:lang w:val="el-GR"/>
              </w:rPr>
              <w:t>Εμπορικές δραστηριότητες, Βιομηχανικά είδη και μη πλην ηλεκτροδοτούμενων ηλεκτρικών ειδών και παιχνιδιών, Εδώδιμα είδη, Καλλιτεχνήματα – Χειροτεχνήματα ίδιας δημιουργίας</w:t>
            </w:r>
            <w:r>
              <w:rPr>
                <w:color w:val="000000"/>
                <w:lang w:val="el-GR"/>
              </w:rPr>
              <w:t>. Ενδεικτικά:</w:t>
              <w:br/>
            </w:r>
            <w:r>
              <w:rPr>
                <w:i/>
                <w:iCs/>
                <w:color w:val="000000"/>
                <w:lang w:val="el-GR"/>
              </w:rPr>
              <w:t>Ένδυση, εσωένδυση, πιζάμες, υπόδηση, είδη προικός, λεύκα είδη, δερμάτινα είδη, γούνινα είδη, αξεσουάρ ένδυσης, faux bijoux, ασημικά, αρώματα, καλλυντικά, βιβλία, παιχνίδια μη ηλεκτροδοτούμενα, ψιλικά, μικροεργαλεία, μικροσυσκευές, υαλικά, κουζινικά, είδη οικιακής χρήσης, εκκλησιαστικά είδη, αγιογραφίες, αφίσες, είδη δώρων και διακόσμησης, είδη λαϊκής τέχνης, έργων τέχνης και κάθε είδος οικοτεχνίας (πλην εδώδιμων), όπως: χειροποίητα αρώματα, σαπούνια, καλλυντικά κ.λπ.., είδη υγιεινής/ατομικής καθαριότητας, άνθη, αποξηραμένα άνθη, καλλωπιστικά φυτά,  αρωματικά και  φαρμακευτικά φυτά, κηπευτικό χώμα (που δεν έχει υποστεί επεξεργασία), πολλαπλασιαστικό υλικό καλλιεργούμενων φυτικών ειδών (φυτάρια κηπευτικών, δενδρύλλια οπωροφόρων και φυτά αμπέλου), γλάστρες, εργαλεία κηπουρικής και άλλα βιομηχανικά είδη  κηπουρικής – ανθοκομίας κ.λπ.., είδη pet shop, κατοικίδια pets, καθώς και κάθε άλλο βιομηχανικό ή μη είδος που δεν αναφέρεται στις κατηγορίες του παρόντος, χαλιά, μελισσοκομικά προϊόντα, καρύδια, κάστανα, όσπρια, ξηροί καρποί, συσκ. ελαιόλαδο, εμφιαλωμένος οίνος, μπαχαρικά, προϊόντα οικοτεχνίας όπως γαλακτοκομικά, μαρμελάδες, γλυκά του κουταλιού, παραδοσιακά ζυμαρικά, βότανα, μπαχαρικά, αρτύματα, αλλαντικά και παρασκευάσματα κρέατος,  γαλακτοκομικά προϊόντα, τυποποιημένο μέλι, ζαχαρώδη προϊόντα που διατηρούνται χωρίς ψύξη, βιολογικά προϊόντα παντός τύπου.</w:t>
            </w:r>
          </w:p>
        </w:tc>
        <w:tc>
          <w:tcPr>
            <w:tcW w:w="1265" w:type="dxa"/>
            <w:tcBorders>
              <w:bottom w:val="single" w:sz="4" w:space="0" w:color="000000"/>
              <w:end w:val="single" w:sz="4" w:space="0" w:color="000000"/>
            </w:tcBorders>
            <w:vAlign w:val="center"/>
          </w:tcPr>
          <w:p>
            <w:pPr>
              <w:pStyle w:val="Normal"/>
              <w:widowControl w:val="false"/>
              <w:jc w:val="center"/>
              <w:rPr>
                <w:color w:val="000000"/>
              </w:rPr>
            </w:pPr>
            <w:r>
              <w:rPr>
                <w:color w:val="000000"/>
              </w:rPr>
              <w:t>280</w:t>
            </w:r>
          </w:p>
        </w:tc>
        <w:tc>
          <w:tcPr>
            <w:tcW w:w="2015" w:type="dxa"/>
            <w:tcBorders>
              <w:bottom w:val="single" w:sz="4" w:space="0" w:color="000000"/>
              <w:end w:val="single" w:sz="4" w:space="0" w:color="000000"/>
            </w:tcBorders>
            <w:vAlign w:val="center"/>
          </w:tcPr>
          <w:p>
            <w:pPr>
              <w:pStyle w:val="Normal"/>
              <w:widowControl w:val="false"/>
              <w:rPr>
                <w:color w:val="000000"/>
                <w:lang w:val="el-GR"/>
              </w:rPr>
            </w:pPr>
            <w:r>
              <w:rPr>
                <w:b/>
                <w:bCs/>
                <w:color w:val="000000"/>
                <w:lang w:val="el-GR"/>
              </w:rPr>
              <w:t>1 – 74</w:t>
            </w:r>
            <w:r>
              <w:rPr>
                <w:color w:val="000000"/>
                <w:lang w:val="el-GR"/>
              </w:rPr>
              <w:t xml:space="preserve"> πλην 1, 2, 24, 25, 45, 46</w:t>
            </w:r>
          </w:p>
          <w:p>
            <w:pPr>
              <w:pStyle w:val="Normal"/>
              <w:widowControl w:val="false"/>
              <w:rPr>
                <w:color w:val="000000"/>
                <w:lang w:val="el-GR"/>
              </w:rPr>
            </w:pPr>
            <w:r>
              <w:rPr>
                <w:color w:val="000000"/>
                <w:lang w:val="el-GR"/>
              </w:rPr>
            </w:r>
          </w:p>
          <w:p>
            <w:pPr>
              <w:pStyle w:val="Normal"/>
              <w:widowControl w:val="false"/>
              <w:rPr>
                <w:color w:val="000000"/>
                <w:lang w:val="el-GR"/>
              </w:rPr>
            </w:pPr>
            <w:r>
              <w:rPr>
                <w:b/>
                <w:bCs/>
                <w:color w:val="000000"/>
                <w:lang w:val="el-GR"/>
              </w:rPr>
              <w:t>75 – 146</w:t>
            </w:r>
            <w:r>
              <w:rPr>
                <w:color w:val="000000"/>
                <w:lang w:val="el-GR"/>
              </w:rPr>
              <w:t xml:space="preserve"> πλην 75, 76, 100, 101, 121, 122</w:t>
            </w:r>
          </w:p>
          <w:p>
            <w:pPr>
              <w:pStyle w:val="Normal"/>
              <w:widowControl w:val="false"/>
              <w:rPr>
                <w:color w:val="000000"/>
                <w:lang w:val="el-GR"/>
              </w:rPr>
            </w:pPr>
            <w:r>
              <w:rPr>
                <w:color w:val="000000"/>
                <w:lang w:val="el-GR"/>
              </w:rPr>
            </w:r>
          </w:p>
          <w:p>
            <w:pPr>
              <w:pStyle w:val="Normal"/>
              <w:widowControl w:val="false"/>
              <w:rPr>
                <w:color w:val="000000"/>
                <w:lang w:val="el-GR"/>
              </w:rPr>
            </w:pPr>
            <w:r>
              <w:rPr>
                <w:b/>
                <w:bCs/>
                <w:color w:val="000000"/>
                <w:lang w:val="el-GR"/>
              </w:rPr>
              <w:t>147 – 220</w:t>
            </w:r>
            <w:r>
              <w:rPr>
                <w:color w:val="000000"/>
                <w:lang w:val="el-GR"/>
              </w:rPr>
              <w:t xml:space="preserve"> πλην 147, 148, 174, 175, 195, 196</w:t>
            </w:r>
          </w:p>
          <w:p>
            <w:pPr>
              <w:pStyle w:val="Normal"/>
              <w:widowControl w:val="false"/>
              <w:rPr>
                <w:color w:val="000000"/>
                <w:lang w:val="el-GR"/>
              </w:rPr>
            </w:pPr>
            <w:r>
              <w:rPr>
                <w:color w:val="000000"/>
                <w:lang w:val="el-GR"/>
              </w:rPr>
            </w:r>
          </w:p>
          <w:p>
            <w:pPr>
              <w:pStyle w:val="Normal"/>
              <w:widowControl w:val="false"/>
              <w:rPr>
                <w:b/>
                <w:b/>
                <w:bCs/>
                <w:color w:val="000000"/>
                <w:lang w:val="el-GR"/>
              </w:rPr>
            </w:pPr>
            <w:r>
              <w:rPr>
                <w:b/>
                <w:bCs/>
                <w:color w:val="000000"/>
                <w:lang w:val="el-GR"/>
              </w:rPr>
              <w:t>221 - 298</w:t>
            </w:r>
          </w:p>
        </w:tc>
      </w:tr>
      <w:tr>
        <w:trPr/>
        <w:tc>
          <w:tcPr>
            <w:tcW w:w="797" w:type="dxa"/>
            <w:tcBorders/>
            <w:vAlign w:val="center"/>
          </w:tcPr>
          <w:p>
            <w:pPr>
              <w:pStyle w:val="Normal"/>
              <w:widowControl w:val="false"/>
              <w:rPr>
                <w:color w:val="000000"/>
              </w:rPr>
            </w:pPr>
            <w:r>
              <w:rPr>
                <w:color w:val="000000"/>
              </w:rPr>
            </w:r>
          </w:p>
        </w:tc>
        <w:tc>
          <w:tcPr>
            <w:tcW w:w="4938" w:type="dxa"/>
            <w:tcBorders/>
            <w:vAlign w:val="center"/>
          </w:tcPr>
          <w:p>
            <w:pPr>
              <w:pStyle w:val="Normal"/>
              <w:widowControl w:val="false"/>
              <w:jc w:val="center"/>
              <w:rPr/>
            </w:pPr>
            <w:r>
              <w:rPr/>
            </w:r>
          </w:p>
        </w:tc>
        <w:tc>
          <w:tcPr>
            <w:tcW w:w="1265" w:type="dxa"/>
            <w:tcBorders>
              <w:start w:val="single" w:sz="4" w:space="0" w:color="000000"/>
              <w:bottom w:val="single" w:sz="4" w:space="0" w:color="000000"/>
              <w:end w:val="single" w:sz="4" w:space="0" w:color="000000"/>
            </w:tcBorders>
            <w:shd w:color="000000" w:fill="E7E6E6" w:val="clear"/>
            <w:vAlign w:val="center"/>
          </w:tcPr>
          <w:p>
            <w:pPr>
              <w:pStyle w:val="Normal"/>
              <w:widowControl w:val="false"/>
              <w:jc w:val="center"/>
              <w:rPr>
                <w:b/>
                <w:b/>
                <w:bCs/>
                <w:color w:val="000000"/>
              </w:rPr>
            </w:pPr>
            <w:r>
              <w:rPr>
                <w:b/>
                <w:bCs/>
                <w:color w:val="000000"/>
              </w:rPr>
              <w:t>310</w:t>
            </w:r>
          </w:p>
        </w:tc>
        <w:tc>
          <w:tcPr>
            <w:tcW w:w="2015" w:type="dxa"/>
            <w:tcBorders/>
            <w:vAlign w:val="center"/>
          </w:tcPr>
          <w:p>
            <w:pPr>
              <w:pStyle w:val="Normal"/>
              <w:widowControl w:val="false"/>
              <w:jc w:val="center"/>
              <w:rPr>
                <w:b/>
                <w:b/>
                <w:bCs/>
                <w:color w:val="000000"/>
              </w:rPr>
            </w:pPr>
            <w:r>
              <w:rPr>
                <w:b/>
                <w:bCs/>
                <w:color w:val="000000"/>
              </w:rPr>
            </w:r>
          </w:p>
        </w:tc>
      </w:tr>
    </w:tbl>
    <w:p>
      <w:pPr>
        <w:pStyle w:val="Normal"/>
        <w:rPr>
          <w:spacing w:val="2"/>
          <w:lang w:val="el-GR"/>
        </w:rPr>
      </w:pPr>
      <w:r>
        <w:rPr>
          <w:spacing w:val="2"/>
          <w:lang w:val="el-GR"/>
        </w:rPr>
      </w:r>
    </w:p>
    <w:p>
      <w:pPr>
        <w:pStyle w:val="Normal"/>
        <w:rPr>
          <w:b/>
          <w:b/>
          <w:bCs/>
          <w:spacing w:val="2"/>
          <w:u w:val="single"/>
          <w:lang w:val="el-GR"/>
        </w:rPr>
      </w:pPr>
      <w:r>
        <w:rPr>
          <w:b/>
          <w:bCs/>
          <w:spacing w:val="2"/>
          <w:u w:val="single"/>
          <w:lang w:val="el-GR"/>
        </w:rPr>
        <w:t>Οι παραπάνω θέσεις περιπτέρων δύναται να ενοποιούνται και να δημιουργούνται νέες θέσεις περιπτέρων μεγαλύτερης επιφάνειας, υπό την προϋπόθεση ότι ο μέγιστος αριθμός θέσεων που δύναται να ενοποιούνται και να παραχωρούνται ανά δικαιούχο δε μπορεί να υπερβαίνει τις πέντε (5) όμορες θέσεις.</w:t>
      </w:r>
    </w:p>
    <w:p>
      <w:pPr>
        <w:pStyle w:val="Normal"/>
        <w:rPr>
          <w:b/>
          <w:b/>
          <w:bCs/>
        </w:rPr>
      </w:pPr>
      <w:r>
        <w:rPr>
          <w:b/>
          <w:bCs/>
        </w:rPr>
      </w:r>
    </w:p>
    <w:p>
      <w:pPr>
        <w:pStyle w:val="Normal"/>
        <w:shd w:val="pct15" w:color="auto" w:fill="auto"/>
        <w:rPr>
          <w:b/>
          <w:b/>
          <w:bCs/>
        </w:rPr>
      </w:pPr>
      <w:r>
        <w:rPr>
          <w:b/>
          <w:bCs/>
        </w:rPr>
        <w:t>Ε.  ΕΠΙΤΡΕΠΟΜΕΝΑ ΠΩΛΟΥΜΕΝΑ ΕΙΔΗ</w:t>
      </w:r>
    </w:p>
    <w:p>
      <w:pPr>
        <w:pStyle w:val="Normal"/>
        <w:rPr/>
      </w:pPr>
      <w:r>
        <w:rPr/>
      </w:r>
    </w:p>
    <w:p>
      <w:pPr>
        <w:pStyle w:val="Normal"/>
        <w:rPr/>
      </w:pPr>
      <w:r>
        <w:rPr/>
        <w:t xml:space="preserve"> </w:t>
      </w:r>
      <w:r>
        <w:rPr/>
        <w:t>Τα επιτρεπόμενα πωλούμενα είδη είναι ενδεικτικά τα εξής:</w:t>
      </w:r>
    </w:p>
    <w:p>
      <w:pPr>
        <w:pStyle w:val="ListParagraph"/>
        <w:numPr>
          <w:ilvl w:val="0"/>
          <w:numId w:val="2"/>
        </w:numPr>
        <w:rPr>
          <w:spacing w:val="2"/>
          <w:lang w:val="el-GR"/>
        </w:rPr>
      </w:pPr>
      <w:r>
        <w:rPr>
          <w:spacing w:val="2"/>
          <w:lang w:val="el-GR"/>
        </w:rPr>
        <w:t>Παροχή πρόχειρων γευμάτων και ειδών κυλικείου από καντίνα ή φορητές εγκαταστάσεις έψησης, χωρίς δυνατότητα ανάπτυξης τραπεζοκαθισμάτων, τηρουμένων των κανόνων της εκάστοτε υγειονομικής διάταξης του Υπουργείου Υγείας.</w:t>
      </w:r>
    </w:p>
    <w:p>
      <w:pPr>
        <w:pStyle w:val="ListParagraph"/>
        <w:numPr>
          <w:ilvl w:val="0"/>
          <w:numId w:val="2"/>
        </w:numPr>
        <w:rPr>
          <w:spacing w:val="2"/>
          <w:lang w:val="el-GR"/>
        </w:rPr>
      </w:pPr>
      <w:r>
        <w:rPr>
          <w:spacing w:val="2"/>
          <w:lang w:val="el-GR"/>
        </w:rPr>
        <w:t>Είδη ψητοπωλείου</w:t>
      </w:r>
    </w:p>
    <w:p>
      <w:pPr>
        <w:pStyle w:val="ListParagraph"/>
        <w:numPr>
          <w:ilvl w:val="0"/>
          <w:numId w:val="2"/>
        </w:numPr>
        <w:rPr>
          <w:spacing w:val="2"/>
          <w:lang w:val="el-GR"/>
        </w:rPr>
      </w:pPr>
      <w:r>
        <w:rPr>
          <w:spacing w:val="2"/>
          <w:lang w:val="el-GR"/>
        </w:rPr>
        <w:t>Παγωτά, μαλλί της γριάς, ποπ κορν, ψημένο καλαμπόκι, λουκουμάδες, κρέπες, χαλβάς τύπου Φαρσάλων, βάφλες, μελισσοκομικά προϊόντα</w:t>
      </w:r>
    </w:p>
    <w:p>
      <w:pPr>
        <w:pStyle w:val="ListParagraph"/>
        <w:numPr>
          <w:ilvl w:val="0"/>
          <w:numId w:val="2"/>
        </w:numPr>
        <w:rPr>
          <w:spacing w:val="2"/>
          <w:lang w:val="el-GR"/>
        </w:rPr>
      </w:pPr>
      <w:r>
        <w:rPr>
          <w:spacing w:val="2"/>
          <w:lang w:val="el-GR"/>
        </w:rPr>
        <w:t>Είδη ζαχαροπλαστικής, ζαχαρώδη, αναψυκτικά, ροφήματα,</w:t>
      </w:r>
    </w:p>
    <w:p>
      <w:pPr>
        <w:pStyle w:val="ListParagraph"/>
        <w:numPr>
          <w:ilvl w:val="0"/>
          <w:numId w:val="2"/>
        </w:numPr>
        <w:rPr>
          <w:spacing w:val="2"/>
          <w:lang w:val="el-GR"/>
        </w:rPr>
      </w:pPr>
      <w:r>
        <w:rPr>
          <w:spacing w:val="2"/>
          <w:lang w:val="el-GR"/>
        </w:rPr>
        <w:t>Καρύδια, κάστανα, όσπρια, ξηροί καρποί, μπαχαρικά, βότανα</w:t>
      </w:r>
    </w:p>
    <w:p>
      <w:pPr>
        <w:pStyle w:val="ListParagraph"/>
        <w:numPr>
          <w:ilvl w:val="0"/>
          <w:numId w:val="2"/>
        </w:numPr>
        <w:rPr>
          <w:spacing w:val="2"/>
          <w:lang w:val="el-GR"/>
        </w:rPr>
      </w:pPr>
      <w:r>
        <w:rPr>
          <w:spacing w:val="2"/>
          <w:lang w:val="el-GR"/>
        </w:rPr>
        <w:t>Ελιές, συσκευασμένο ελαιόλαδο, εμφιαλωμένος οίνος, προϊόντα οικοτεχνίας (γαλακτομικά, μαρμελάδες, γλυκά του κουταλιού, παραδοσιακά ζυμαρικά, αρτύματα),</w:t>
      </w:r>
    </w:p>
    <w:p>
      <w:pPr>
        <w:pStyle w:val="ListParagraph"/>
        <w:numPr>
          <w:ilvl w:val="0"/>
          <w:numId w:val="2"/>
        </w:numPr>
        <w:rPr>
          <w:spacing w:val="2"/>
          <w:lang w:val="el-GR"/>
        </w:rPr>
      </w:pPr>
      <w:r>
        <w:rPr>
          <w:spacing w:val="2"/>
          <w:lang w:val="el-GR"/>
        </w:rPr>
        <w:t>Είδη προικός, Λευκά είδη,</w:t>
      </w:r>
    </w:p>
    <w:p>
      <w:pPr>
        <w:pStyle w:val="ListParagraph"/>
        <w:numPr>
          <w:ilvl w:val="0"/>
          <w:numId w:val="2"/>
        </w:numPr>
        <w:rPr>
          <w:spacing w:val="2"/>
          <w:lang w:val="el-GR"/>
        </w:rPr>
      </w:pPr>
      <w:r>
        <w:rPr>
          <w:spacing w:val="2"/>
          <w:lang w:val="el-GR"/>
        </w:rPr>
        <w:t>Είδη υπόδησης,</w:t>
      </w:r>
    </w:p>
    <w:p>
      <w:pPr>
        <w:pStyle w:val="ListParagraph"/>
        <w:numPr>
          <w:ilvl w:val="0"/>
          <w:numId w:val="2"/>
        </w:numPr>
        <w:rPr>
          <w:spacing w:val="2"/>
          <w:lang w:val="el-GR"/>
        </w:rPr>
      </w:pPr>
      <w:r>
        <w:rPr>
          <w:spacing w:val="2"/>
          <w:lang w:val="el-GR"/>
        </w:rPr>
        <w:t>Είδη ένδυσης, εσωένδυσης, πιζάμες,</w:t>
      </w:r>
    </w:p>
    <w:p>
      <w:pPr>
        <w:pStyle w:val="ListParagraph"/>
        <w:numPr>
          <w:ilvl w:val="0"/>
          <w:numId w:val="2"/>
        </w:numPr>
        <w:rPr>
          <w:spacing w:val="2"/>
          <w:lang w:val="el-GR"/>
        </w:rPr>
      </w:pPr>
      <w:r>
        <w:rPr>
          <w:spacing w:val="2"/>
          <w:lang w:val="el-GR"/>
        </w:rPr>
        <w:t>Δερμάτινα είδη (τσάντες, ζώνες κ.λ.π.) – γούνινα είδη,</w:t>
      </w:r>
    </w:p>
    <w:p>
      <w:pPr>
        <w:pStyle w:val="ListParagraph"/>
        <w:numPr>
          <w:ilvl w:val="0"/>
          <w:numId w:val="2"/>
        </w:numPr>
        <w:rPr>
          <w:spacing w:val="2"/>
          <w:lang w:val="el-GR"/>
        </w:rPr>
      </w:pPr>
      <w:r>
        <w:rPr>
          <w:spacing w:val="2"/>
          <w:lang w:val="el-GR"/>
        </w:rPr>
        <w:t>Αξεσουάρ ένδυσης κ.λπ.,</w:t>
      </w:r>
    </w:p>
    <w:p>
      <w:pPr>
        <w:pStyle w:val="ListParagraph"/>
        <w:numPr>
          <w:ilvl w:val="0"/>
          <w:numId w:val="2"/>
        </w:numPr>
        <w:rPr>
          <w:spacing w:val="2"/>
          <w:lang w:val="el-GR"/>
        </w:rPr>
      </w:pPr>
      <w:r>
        <w:rPr>
          <w:spacing w:val="2"/>
          <w:lang w:val="el-GR"/>
        </w:rPr>
        <w:t>Είδη οικιακής χρήσης, οικιακής φροντίδας,</w:t>
      </w:r>
    </w:p>
    <w:p>
      <w:pPr>
        <w:pStyle w:val="ListParagraph"/>
        <w:numPr>
          <w:ilvl w:val="0"/>
          <w:numId w:val="2"/>
        </w:numPr>
        <w:rPr>
          <w:spacing w:val="2"/>
          <w:lang w:val="el-GR"/>
        </w:rPr>
      </w:pPr>
      <w:r>
        <w:rPr>
          <w:spacing w:val="2"/>
          <w:lang w:val="el-GR"/>
        </w:rPr>
        <w:t>Εργαλεία, μικροεργαλεία κ.λπ.,</w:t>
      </w:r>
    </w:p>
    <w:p>
      <w:pPr>
        <w:pStyle w:val="ListParagraph"/>
        <w:numPr>
          <w:ilvl w:val="0"/>
          <w:numId w:val="2"/>
        </w:numPr>
        <w:rPr>
          <w:spacing w:val="2"/>
          <w:lang w:val="el-GR"/>
        </w:rPr>
      </w:pPr>
      <w:r>
        <w:rPr>
          <w:spacing w:val="2"/>
          <w:lang w:val="el-GR"/>
        </w:rPr>
        <w:t>Είδη δώρων και διακόσμησης,</w:t>
      </w:r>
    </w:p>
    <w:p>
      <w:pPr>
        <w:pStyle w:val="ListParagraph"/>
        <w:numPr>
          <w:ilvl w:val="0"/>
          <w:numId w:val="2"/>
        </w:numPr>
        <w:rPr>
          <w:spacing w:val="2"/>
          <w:lang w:val="el-GR"/>
        </w:rPr>
      </w:pPr>
      <w:r>
        <w:rPr>
          <w:spacing w:val="2"/>
          <w:lang w:val="el-GR"/>
        </w:rPr>
        <w:t>Ασημικά και Φο Μπιζού,</w:t>
      </w:r>
    </w:p>
    <w:p>
      <w:pPr>
        <w:pStyle w:val="ListParagraph"/>
        <w:numPr>
          <w:ilvl w:val="0"/>
          <w:numId w:val="2"/>
        </w:numPr>
        <w:rPr>
          <w:spacing w:val="2"/>
          <w:lang w:val="el-GR"/>
        </w:rPr>
      </w:pPr>
      <w:r>
        <w:rPr>
          <w:spacing w:val="2"/>
          <w:lang w:val="el-GR"/>
        </w:rPr>
        <w:t>Υαλικά,</w:t>
      </w:r>
    </w:p>
    <w:p>
      <w:pPr>
        <w:pStyle w:val="ListParagraph"/>
        <w:numPr>
          <w:ilvl w:val="0"/>
          <w:numId w:val="2"/>
        </w:numPr>
        <w:rPr>
          <w:spacing w:val="2"/>
          <w:lang w:val="el-GR"/>
        </w:rPr>
      </w:pPr>
      <w:r>
        <w:rPr>
          <w:spacing w:val="2"/>
          <w:lang w:val="el-GR"/>
        </w:rPr>
        <w:t>Παιδικά Παιχνίδια μη ηλεκτροδοτούμενα,</w:t>
      </w:r>
    </w:p>
    <w:p>
      <w:pPr>
        <w:pStyle w:val="ListParagraph"/>
        <w:numPr>
          <w:ilvl w:val="0"/>
          <w:numId w:val="2"/>
        </w:numPr>
        <w:rPr>
          <w:spacing w:val="2"/>
          <w:lang w:val="el-GR"/>
        </w:rPr>
      </w:pPr>
      <w:r>
        <w:rPr>
          <w:spacing w:val="2"/>
          <w:lang w:val="el-GR"/>
        </w:rPr>
        <w:t>Εκκλησιαστικά είδη, Αγιογραφίες, αφίσες κ.λ.π.</w:t>
      </w:r>
    </w:p>
    <w:p>
      <w:pPr>
        <w:pStyle w:val="ListParagraph"/>
        <w:numPr>
          <w:ilvl w:val="0"/>
          <w:numId w:val="2"/>
        </w:numPr>
        <w:rPr>
          <w:spacing w:val="2"/>
          <w:lang w:val="el-GR"/>
        </w:rPr>
      </w:pPr>
      <w:r>
        <w:rPr>
          <w:spacing w:val="2"/>
          <w:lang w:val="el-GR"/>
        </w:rPr>
        <w:t>Είδη Λαϊκής Τέχνης, έργων τέχνης,</w:t>
      </w:r>
    </w:p>
    <w:p>
      <w:pPr>
        <w:pStyle w:val="ListParagraph"/>
        <w:numPr>
          <w:ilvl w:val="0"/>
          <w:numId w:val="2"/>
        </w:numPr>
        <w:rPr>
          <w:spacing w:val="2"/>
          <w:lang w:val="el-GR"/>
        </w:rPr>
      </w:pPr>
      <w:r>
        <w:rPr>
          <w:spacing w:val="2"/>
          <w:lang w:val="el-GR"/>
        </w:rPr>
        <w:t>Ψιλικά,</w:t>
      </w:r>
    </w:p>
    <w:p>
      <w:pPr>
        <w:pStyle w:val="ListParagraph"/>
        <w:numPr>
          <w:ilvl w:val="0"/>
          <w:numId w:val="2"/>
        </w:numPr>
        <w:rPr>
          <w:spacing w:val="2"/>
          <w:lang w:val="el-GR"/>
        </w:rPr>
      </w:pPr>
      <w:r>
        <w:rPr>
          <w:spacing w:val="2"/>
          <w:lang w:val="el-GR"/>
        </w:rPr>
        <w:t>Βιβλία, σχολικά είδη,</w:t>
      </w:r>
    </w:p>
    <w:p>
      <w:pPr>
        <w:pStyle w:val="ListParagraph"/>
        <w:numPr>
          <w:ilvl w:val="0"/>
          <w:numId w:val="2"/>
        </w:numPr>
        <w:rPr>
          <w:spacing w:val="2"/>
          <w:lang w:val="el-GR"/>
        </w:rPr>
      </w:pPr>
      <w:r>
        <w:rPr>
          <w:spacing w:val="2"/>
          <w:lang w:val="el-GR"/>
        </w:rPr>
        <w:t>Είδη υγιεινής /ατομικής καθαριότητας,</w:t>
      </w:r>
    </w:p>
    <w:p>
      <w:pPr>
        <w:pStyle w:val="ListParagraph"/>
        <w:numPr>
          <w:ilvl w:val="0"/>
          <w:numId w:val="2"/>
        </w:numPr>
        <w:rPr>
          <w:spacing w:val="2"/>
          <w:lang w:val="el-GR"/>
        </w:rPr>
      </w:pPr>
      <w:r>
        <w:rPr>
          <w:spacing w:val="2"/>
          <w:lang w:val="el-GR"/>
        </w:rPr>
        <w:t>Είδη pet-shop, κατοικίδια pets,</w:t>
      </w:r>
    </w:p>
    <w:p>
      <w:pPr>
        <w:pStyle w:val="ListParagraph"/>
        <w:numPr>
          <w:ilvl w:val="0"/>
          <w:numId w:val="2"/>
        </w:numPr>
        <w:rPr>
          <w:spacing w:val="2"/>
          <w:lang w:val="el-GR"/>
        </w:rPr>
      </w:pPr>
      <w:r>
        <w:rPr>
          <w:spacing w:val="2"/>
          <w:lang w:val="el-GR"/>
        </w:rPr>
        <w:t>Χαλιά,</w:t>
      </w:r>
    </w:p>
    <w:p>
      <w:pPr>
        <w:pStyle w:val="ListParagraph"/>
        <w:numPr>
          <w:ilvl w:val="0"/>
          <w:numId w:val="2"/>
        </w:numPr>
        <w:rPr>
          <w:spacing w:val="2"/>
          <w:lang w:val="el-GR"/>
        </w:rPr>
      </w:pPr>
      <w:r>
        <w:rPr>
          <w:spacing w:val="2"/>
          <w:lang w:val="el-GR"/>
        </w:rPr>
        <w:t>Αρώματα, σαπούνια, καλλυντικά (χειροποίητα ή μη),</w:t>
      </w:r>
    </w:p>
    <w:p>
      <w:pPr>
        <w:pStyle w:val="ListParagraph"/>
        <w:numPr>
          <w:ilvl w:val="0"/>
          <w:numId w:val="2"/>
        </w:numPr>
        <w:rPr>
          <w:spacing w:val="2"/>
          <w:lang w:val="el-GR"/>
        </w:rPr>
      </w:pPr>
      <w:r>
        <w:rPr>
          <w:spacing w:val="2"/>
          <w:lang w:val="el-GR"/>
        </w:rPr>
        <w:t>Λοιπά βιομηχανικά είδη,</w:t>
      </w:r>
    </w:p>
    <w:p>
      <w:pPr>
        <w:pStyle w:val="ListParagraph"/>
        <w:numPr>
          <w:ilvl w:val="0"/>
          <w:numId w:val="2"/>
        </w:numPr>
        <w:rPr>
          <w:spacing w:val="2"/>
          <w:lang w:val="el-GR"/>
        </w:rPr>
      </w:pPr>
      <w:r>
        <w:rPr>
          <w:spacing w:val="2"/>
          <w:lang w:val="el-GR"/>
        </w:rPr>
        <w:t>Άνθη, αποξηραμένα άνθη, καλλωπιστικά φυτά, αρωματικά και φαρμακευτικά φυτά, κηπευτικό χώμα (που δεν έχει υποστεί επεξεργασία), πολλαπλασιαστικό υλικό καλλιεργούμενων φυτικών ειδών (φυτάρια κηπευτικών, δενδρύλλια οπωροφόρων και φυτά αμπέλου), γλάστρες, εργαλεία κηπουρικής και άλλα βιομηχανικά είδη κηπουρικής - ανθοκομίας κ.λπ..,</w:t>
      </w:r>
    </w:p>
    <w:p>
      <w:pPr>
        <w:pStyle w:val="ListParagraph"/>
        <w:numPr>
          <w:ilvl w:val="0"/>
          <w:numId w:val="2"/>
        </w:numPr>
        <w:rPr>
          <w:spacing w:val="2"/>
          <w:lang w:val="el-GR"/>
        </w:rPr>
      </w:pPr>
      <w:r>
        <w:rPr>
          <w:spacing w:val="2"/>
          <w:lang w:val="el-GR"/>
        </w:rPr>
        <w:t>Χειροτεχνήματα - Καλλιτεχνήματα ιδίας δημιουργίας.</w:t>
      </w:r>
    </w:p>
    <w:p>
      <w:pPr>
        <w:pStyle w:val="Normal"/>
        <w:ind w:firstLine="60"/>
        <w:rPr/>
      </w:pPr>
      <w:r>
        <w:rPr/>
      </w:r>
    </w:p>
    <w:p>
      <w:pPr>
        <w:pStyle w:val="Normal"/>
        <w:shd w:val="pct15" w:color="auto" w:fill="auto"/>
        <w:rPr>
          <w:b/>
          <w:b/>
          <w:bCs/>
        </w:rPr>
      </w:pPr>
      <w:r>
        <w:rPr>
          <w:b/>
          <w:bCs/>
        </w:rPr>
        <w:t>ΣΤ. ΑΠΑΙΤΟΥΜΕΝΑ ΔΙΚΑΙΟΛΟΓΗΤΙΚΑ - ΜΟΡΙΟΔΟΤΗΣΗ</w:t>
      </w:r>
    </w:p>
    <w:p>
      <w:pPr>
        <w:pStyle w:val="Normal"/>
        <w:rPr/>
      </w:pPr>
      <w:r>
        <w:rPr/>
      </w:r>
    </w:p>
    <w:p>
      <w:pPr>
        <w:pStyle w:val="Normal"/>
        <w:rPr/>
      </w:pPr>
      <w:r>
        <w:rPr/>
        <w:t>Οι σχετικές αιτήσεις – υπεύθυνες δηλώσεις των ενδιαφερομένων θα πρέπει απαραιτήτως να συνοδεύονται από τα κάτωθι δικαιολογητικά:</w:t>
      </w:r>
    </w:p>
    <w:p>
      <w:pPr>
        <w:pStyle w:val="Normal"/>
        <w:rPr/>
      </w:pPr>
      <w:r>
        <w:rPr/>
      </w:r>
    </w:p>
    <w:p>
      <w:pPr>
        <w:pStyle w:val="Normal"/>
        <w:ind w:start="720" w:hanging="0"/>
        <w:rPr>
          <w:spacing w:val="2"/>
          <w:lang w:val="el-GR"/>
        </w:rPr>
      </w:pPr>
      <w:r>
        <w:rPr>
          <w:b/>
          <w:bCs/>
          <w:spacing w:val="2"/>
          <w:lang w:val="el-GR"/>
        </w:rPr>
        <w:t>α)</w:t>
      </w:r>
      <w:r>
        <w:rPr>
          <w:spacing w:val="2"/>
          <w:lang w:val="el-GR"/>
        </w:rPr>
        <w:t xml:space="preserve"> την κατά περίπτωση άδεια που διαθέτει [</w:t>
      </w:r>
      <w:r>
        <w:rPr>
          <w:i/>
          <w:iCs/>
          <w:spacing w:val="2"/>
          <w:lang w:val="el-GR"/>
        </w:rPr>
        <w:t>βεβαίωση δραστηριοποίησης ετήσιας διάρκειας στις βραχυχρόνιες αγορές / άδεια παραγωγού πωλητή και επαγγελματία πωλητή που δραστηριοποιούνται στις λαϊκές αγορές {τροπ. με το άρθρο 134 Ν. 4887/4.2.2022 (ΦΕΚ Α 16)} / άδεια δραστηριοποίησης στο στάσιμο ή στο πλανόδιο εμπόριο / άδεια χειροτέχνη – καλλιτέχνη</w:t>
      </w:r>
      <w:r>
        <w:rPr>
          <w:spacing w:val="2"/>
          <w:lang w:val="el-GR"/>
        </w:rPr>
        <w:t>],</w:t>
      </w:r>
    </w:p>
    <w:p>
      <w:pPr>
        <w:pStyle w:val="Normal"/>
        <w:ind w:start="720" w:hanging="0"/>
        <w:rPr>
          <w:spacing w:val="2"/>
          <w:lang w:val="el-GR"/>
        </w:rPr>
      </w:pPr>
      <w:r>
        <w:rPr>
          <w:b/>
          <w:bCs/>
          <w:spacing w:val="2"/>
          <w:lang w:val="el-GR"/>
        </w:rPr>
        <w:t>β)</w:t>
      </w:r>
      <w:r>
        <w:rPr>
          <w:spacing w:val="2"/>
          <w:lang w:val="el-GR"/>
        </w:rPr>
        <w:t xml:space="preserve"> Φωτοαντίγραφο της Αστυνομικής Ταυτότητας ή, αν πρόκειται για αλλοδαπούς, φωτοαντίγραφο της άδειας διαμονής σε ισχύ ή διαβατηρίου,</w:t>
      </w:r>
    </w:p>
    <w:p>
      <w:pPr>
        <w:pStyle w:val="Normal"/>
        <w:ind w:start="720" w:hanging="0"/>
        <w:rPr>
          <w:spacing w:val="2"/>
          <w:lang w:val="el-GR"/>
        </w:rPr>
      </w:pPr>
      <w:r>
        <w:rPr>
          <w:b/>
          <w:bCs/>
          <w:spacing w:val="2"/>
          <w:lang w:val="el-GR"/>
        </w:rPr>
        <w:t>γ)</w:t>
      </w:r>
      <w:r>
        <w:rPr>
          <w:spacing w:val="2"/>
          <w:lang w:val="el-GR"/>
        </w:rPr>
        <w:t xml:space="preserve"> Βιβλιάριο υγείας ή Πιστοποιητικό υγείας, εφόσον πρόκειται για διάθεση τροφίμων,</w:t>
      </w:r>
    </w:p>
    <w:p>
      <w:pPr>
        <w:pStyle w:val="Normal"/>
        <w:ind w:start="720" w:hanging="0"/>
        <w:rPr>
          <w:spacing w:val="2"/>
          <w:lang w:val="el-GR"/>
        </w:rPr>
      </w:pPr>
      <w:r>
        <w:rPr>
          <w:b/>
          <w:bCs/>
          <w:spacing w:val="2"/>
          <w:lang w:val="el-GR"/>
        </w:rPr>
        <w:t>δ)</w:t>
      </w:r>
      <w:r>
        <w:rPr>
          <w:spacing w:val="2"/>
          <w:lang w:val="el-GR"/>
        </w:rPr>
        <w:t xml:space="preserve"> Δημοτική Ενημερότητα από τον Δήμο Καρδίτσας (άρθρο 285 Δ.Κ.Κ.), η οποία θα αναζητείται αυτεπάγγελτα από την Υπηρεσία.</w:t>
      </w:r>
    </w:p>
    <w:p>
      <w:pPr>
        <w:pStyle w:val="Normal"/>
        <w:ind w:start="720" w:hanging="0"/>
        <w:rPr>
          <w:spacing w:val="2"/>
          <w:lang w:val="el-GR"/>
        </w:rPr>
      </w:pPr>
      <w:r>
        <w:rPr>
          <w:b/>
          <w:bCs/>
          <w:spacing w:val="2"/>
          <w:lang w:val="el-GR"/>
        </w:rPr>
        <w:t>ε)</w:t>
      </w:r>
      <w:r>
        <w:rPr>
          <w:spacing w:val="2"/>
          <w:lang w:val="el-GR"/>
        </w:rPr>
        <w:t xml:space="preserve"> Τα κατά περίπτωση δικαιολογητικά της παραγράφου 1 του άρθρου 16 του παρόντος Κανονισμού, σε περίπτωση συμμετεχόντων που υπάγονται στην κατηγορία «</w:t>
      </w:r>
      <w:r>
        <w:rPr>
          <w:i/>
          <w:iCs/>
          <w:spacing w:val="2"/>
          <w:lang w:val="el-GR"/>
        </w:rPr>
        <w:t>Επιχείρηση μαζικής εστίασης – επιχείρηση παρασκευής και προσφοράς τροφίμων και ποτών σε προσωρινό χώρο</w:t>
      </w:r>
      <w:r>
        <w:rPr>
          <w:spacing w:val="2"/>
          <w:lang w:val="el-GR"/>
        </w:rPr>
        <w:t>».</w:t>
      </w:r>
    </w:p>
    <w:p>
      <w:pPr>
        <w:pStyle w:val="Normal"/>
        <w:ind w:start="720" w:hanging="0"/>
        <w:rPr>
          <w:spacing w:val="2"/>
          <w:lang w:val="el-GR"/>
        </w:rPr>
      </w:pPr>
      <w:r>
        <w:rPr>
          <w:b/>
          <w:bCs/>
          <w:spacing w:val="2"/>
          <w:lang w:val="el-GR"/>
        </w:rPr>
        <w:t>ζ)</w:t>
      </w:r>
      <w:r>
        <w:rPr>
          <w:spacing w:val="2"/>
          <w:lang w:val="el-GR"/>
        </w:rPr>
        <w:t xml:space="preserve"> Οι συμμετέχοντες των λοιπών κατηγοριών θα προσκομίζουν Υπεύθυνη Δήλωση ότι θα είναι εφοδιασμένοι με τουλάχιστον έναν πυροσβεστήρα 6 κιλών ξηράς κόνεως, η λειτουργία του οποίου θα είναι σε καλή κατάσταση και θα τοποθετείται σε εμφανές σημείο.</w:t>
      </w:r>
    </w:p>
    <w:p>
      <w:pPr>
        <w:pStyle w:val="Normal"/>
        <w:rPr>
          <w:spacing w:val="2"/>
          <w:lang w:val="el-GR"/>
        </w:rPr>
      </w:pPr>
      <w:r>
        <w:rPr>
          <w:spacing w:val="2"/>
          <w:lang w:val="el-GR"/>
        </w:rPr>
      </w:r>
    </w:p>
    <w:p>
      <w:pPr>
        <w:pStyle w:val="Normal"/>
        <w:rPr>
          <w:spacing w:val="2"/>
          <w:lang w:val="el-GR"/>
        </w:rPr>
      </w:pPr>
      <w:r>
        <w:rPr>
          <w:spacing w:val="2"/>
          <w:lang w:val="el-GR"/>
        </w:rPr>
        <w:t>Η μη προσκόμιση των ζητουμένων δικαιολογητικών θα αποκλείει τον ενδιαφερόμενο από τη διαδικασία χορήγησης των αδειών.</w:t>
      </w:r>
    </w:p>
    <w:p>
      <w:pPr>
        <w:pStyle w:val="Normal"/>
        <w:rPr>
          <w:spacing w:val="2"/>
          <w:lang w:val="el-GR"/>
        </w:rPr>
      </w:pPr>
      <w:r>
        <w:rPr>
          <w:spacing w:val="2"/>
          <w:lang w:val="el-GR"/>
        </w:rPr>
      </w:r>
    </w:p>
    <w:p>
      <w:pPr>
        <w:pStyle w:val="Normal"/>
        <w:rPr>
          <w:spacing w:val="2"/>
          <w:lang w:val="el-GR"/>
        </w:rPr>
      </w:pPr>
      <w:r>
        <w:rPr>
          <w:spacing w:val="2"/>
          <w:lang w:val="el-GR"/>
        </w:rPr>
        <w:t>Κάθε ενδιαφερόμενος υποβάλλει μία (1) αίτηση - υπεύθυνη δήλωση. Τυχόν υποβολή δεύτερης αίτησης - υπεύθυνης δήλωσης με διαφορετικό περιεχόμενο θα θεωρείται ως ανάκληση της πρώτης, η οποία θα παύει αμέσως να ισχύει.</w:t>
      </w:r>
    </w:p>
    <w:p>
      <w:pPr>
        <w:pStyle w:val="Normal"/>
        <w:rPr>
          <w:spacing w:val="2"/>
          <w:lang w:val="el-GR"/>
        </w:rPr>
      </w:pPr>
      <w:r>
        <w:rPr>
          <w:spacing w:val="2"/>
          <w:lang w:val="el-GR"/>
        </w:rPr>
      </w:r>
    </w:p>
    <w:p>
      <w:pPr>
        <w:pStyle w:val="Normal"/>
        <w:rPr>
          <w:spacing w:val="2"/>
          <w:lang w:val="el-GR"/>
        </w:rPr>
      </w:pPr>
      <w:r>
        <w:rPr>
          <w:spacing w:val="2"/>
          <w:lang w:val="el-GR"/>
        </w:rPr>
        <w:t>Επισημαίνεται ότι η δήλωση του εμπόρου περί των πωλούμενων ειδών στην Εμποροπανήγυρη, που σημειώνεται πάνω στην αίτηση συμμετοχής, υπέχει θέση υπεύθυνης δήλωσης του ν.1599/1986 και δεσμεύει τον αιτούντα. Σε περίπτωση που διαπιστωθεί ψευδή δήλωση, θα ανακαλείται η έγκριση συμμετοχής του στην Εμποροπανήγυρη.</w:t>
      </w:r>
    </w:p>
    <w:p>
      <w:pPr>
        <w:pStyle w:val="Normal"/>
        <w:rPr>
          <w:spacing w:val="2"/>
          <w:lang w:val="el-GR"/>
        </w:rPr>
      </w:pPr>
      <w:r>
        <w:rPr>
          <w:spacing w:val="2"/>
          <w:lang w:val="el-GR"/>
        </w:rPr>
      </w:r>
    </w:p>
    <w:p>
      <w:pPr>
        <w:pStyle w:val="Normal"/>
        <w:rPr>
          <w:spacing w:val="2"/>
          <w:lang w:val="el-GR"/>
        </w:rPr>
      </w:pPr>
      <w:r>
        <w:rPr>
          <w:spacing w:val="2"/>
          <w:lang w:val="el-GR"/>
        </w:rPr>
        <w:t>Κάθε ενδιαφερόμενος θα υποβάλλει αίτηση για συγκεκριμένη κατηγορία πωλούμενων ειδών.</w:t>
      </w:r>
    </w:p>
    <w:p>
      <w:pPr>
        <w:pStyle w:val="Normal"/>
        <w:rPr>
          <w:spacing w:val="2"/>
          <w:lang w:val="el-GR"/>
        </w:rPr>
      </w:pPr>
      <w:r>
        <w:rPr>
          <w:spacing w:val="2"/>
          <w:lang w:val="el-GR"/>
        </w:rPr>
      </w:r>
    </w:p>
    <w:p>
      <w:pPr>
        <w:pStyle w:val="Normal"/>
        <w:rPr>
          <w:spacing w:val="2"/>
          <w:lang w:val="el-GR"/>
        </w:rPr>
      </w:pPr>
      <w:r>
        <w:rPr>
          <w:spacing w:val="2"/>
          <w:lang w:val="el-GR"/>
        </w:rPr>
        <w:t>Ύστερα από το πέρας υποβολής των αιτήσεων συμμετοχής, η διαδικασία έγκρισης της συμμετοχής και η τοποθέτηση των πωλητών σε θέσεις ανά κατηγορία πωλούμενων ειδών θα γίνεται ως εξής:</w:t>
      </w:r>
    </w:p>
    <w:p>
      <w:pPr>
        <w:pStyle w:val="Normal"/>
        <w:ind w:start="720" w:hanging="0"/>
        <w:rPr>
          <w:spacing w:val="2"/>
          <w:lang w:val="el-GR"/>
        </w:rPr>
      </w:pPr>
      <w:r>
        <w:rPr>
          <w:b/>
          <w:bCs/>
          <w:spacing w:val="2"/>
          <w:lang w:val="el-GR"/>
        </w:rPr>
        <w:t>α)</w:t>
      </w:r>
      <w:r>
        <w:rPr>
          <w:spacing w:val="2"/>
          <w:lang w:val="el-GR"/>
        </w:rPr>
        <w:t xml:space="preserve"> Σε περίπτωση που οι αιτήσεις είναι λιγότερες από τον αριθμό των θέσεων της κατηγορίας τότε επιλέγονται όλοι οι ενδιαφερόμενοι. Εφόσον ο αριθμός των αιτήσεων υπερβαίνει τον αριθμό των θέσεων για την συγκεκριμένη κατηγορία, τότε θα γίνεται κλήρωση.</w:t>
      </w:r>
    </w:p>
    <w:p>
      <w:pPr>
        <w:pStyle w:val="Normal"/>
        <w:ind w:start="720" w:hanging="0"/>
        <w:rPr>
          <w:spacing w:val="2"/>
          <w:lang w:val="el-GR"/>
        </w:rPr>
      </w:pPr>
      <w:r>
        <w:rPr>
          <w:b/>
          <w:bCs/>
          <w:spacing w:val="2"/>
          <w:lang w:val="el-GR"/>
        </w:rPr>
        <w:t>β)</w:t>
      </w:r>
      <w:r>
        <w:rPr>
          <w:spacing w:val="2"/>
          <w:lang w:val="el-GR"/>
        </w:rPr>
        <w:t xml:space="preserve"> Στη συνέχεια σε κάθε πωλητή που επιλέχθηκε για τη συγκεκριμένη κατηγορία, θα του αποδίδεται η θέση που επιλέγει, σε περίπτωση που δεν ζητείται από άλλον πωλητή που επιλέχθηκε για την ίδια κατηγορία. Σε περίπτωση που μία θέση ζητείται από περισσότερους αιτούντες, τότε αυτή θα αποδίδεται, επίσης, με κλήρωση.</w:t>
      </w:r>
    </w:p>
    <w:p>
      <w:pPr>
        <w:pStyle w:val="Normal"/>
        <w:ind w:start="720" w:hanging="0"/>
        <w:rPr>
          <w:spacing w:val="2"/>
          <w:lang w:val="el-GR"/>
        </w:rPr>
      </w:pPr>
      <w:r>
        <w:rPr>
          <w:b/>
          <w:bCs/>
          <w:spacing w:val="2"/>
          <w:lang w:val="el-GR"/>
        </w:rPr>
        <w:t>γ)</w:t>
      </w:r>
      <w:r>
        <w:rPr>
          <w:spacing w:val="2"/>
          <w:lang w:val="el-GR"/>
        </w:rPr>
        <w:t xml:space="preserve"> Για τις κατηγορίες πωλούμενων ειδών ισχύουν τα εξής: Σε περίπτωση που υπάρξουν κενές θέσεις σε κάποια κατηγορία και περισσότερες αιτήσεις από τις θέσεις σε άλλη κατηγορία, δύναται να καταλαμβάνονται οι κενές θέσεις της μίας κατηγορίας από αιτούντες της κατηγορίας που οι αιτήσεις υπερτερούν των θέσεων. Αυτό θα γίνεται με απόφαση της Επιτροπής διεξαγωγής, αφού κρίνει ότι με αυτόν τον τρόπο δε διαταράσσεται η λειτουργία της Εμποροπανήγυρης.</w:t>
      </w:r>
    </w:p>
    <w:p>
      <w:pPr>
        <w:pStyle w:val="Normal"/>
        <w:ind w:start="720" w:hanging="0"/>
        <w:rPr>
          <w:spacing w:val="2"/>
          <w:lang w:val="el-GR"/>
        </w:rPr>
      </w:pPr>
      <w:r>
        <w:rPr>
          <w:b/>
          <w:bCs/>
          <w:spacing w:val="2"/>
          <w:lang w:val="el-GR"/>
        </w:rPr>
        <w:t>δ)</w:t>
      </w:r>
      <w:r>
        <w:rPr>
          <w:spacing w:val="2"/>
          <w:lang w:val="el-GR"/>
        </w:rPr>
        <w:t xml:space="preserve"> Στη συνέχεια, μετά το πέρας υποβολής των ενστάσεων και εξέτασης αυτών από την Επιτροπή διεξαγωγής, ο κατάλογος συμμετεχόντων οριστικοποιείται και διαβιβάζεται στο αρμόδιο Τμήμα του Δήμου για ανάρτηση στον Πίνακα Ανακοινώσεων και στην ιστοσελίδα, προκειμένου να καταβληθεί από τους επιλεγέντες το ανάλογο τέλος χρήσης κοινόχρηστου χώρου. </w:t>
      </w:r>
      <w:r>
        <w:rPr>
          <w:b/>
          <w:bCs/>
          <w:spacing w:val="2"/>
          <w:u w:val="single"/>
          <w:lang w:val="el-GR"/>
        </w:rPr>
        <w:t>Η οριστικοποίηση του καταλόγου συμμετεχόντων θα πρέπει υποχρεωτικά να έχει ολοκληρωθεί το αργότερο μέχρι την 15η Οκτωβρίου, προθεσμία που δύναται να παρατείνεται με αιτιολογημένη απόφαση της Επιτροπής διεξαγωγής Εμποροπανήγυρης.</w:t>
      </w:r>
    </w:p>
    <w:p>
      <w:pPr>
        <w:pStyle w:val="Normal"/>
        <w:ind w:start="720" w:hanging="0"/>
        <w:rPr>
          <w:spacing w:val="2"/>
          <w:lang w:val="el-GR"/>
        </w:rPr>
      </w:pPr>
      <w:r>
        <w:rPr>
          <w:b/>
          <w:bCs/>
          <w:spacing w:val="2"/>
          <w:lang w:val="el-GR"/>
        </w:rPr>
        <w:t>ε)</w:t>
      </w:r>
      <w:r>
        <w:rPr>
          <w:spacing w:val="2"/>
          <w:lang w:val="el-GR"/>
        </w:rPr>
        <w:t xml:space="preserve"> Στη συνέχεια θα γίνεται η καταβολή του ανάλογου τέλους και</w:t>
      </w:r>
    </w:p>
    <w:p>
      <w:pPr>
        <w:pStyle w:val="Normal"/>
        <w:ind w:start="720" w:hanging="0"/>
        <w:rPr>
          <w:spacing w:val="2"/>
          <w:lang w:val="el-GR"/>
        </w:rPr>
      </w:pPr>
      <w:r>
        <w:rPr>
          <w:b/>
          <w:bCs/>
          <w:spacing w:val="2"/>
          <w:lang w:val="el-GR"/>
        </w:rPr>
        <w:t>στ)</w:t>
      </w:r>
      <w:r>
        <w:rPr>
          <w:spacing w:val="2"/>
          <w:lang w:val="el-GR"/>
        </w:rPr>
        <w:t xml:space="preserve"> τέλος θα εκδίδεται η απόφαση έγκρισης συμμετοχής από τον αρμόδιο Αντιδήμαρχο Οικονομικών Υπηρεσιών, η οποία θα αναρτάται στο Ο.Π.Σ.Α.Α, στην ιστοσελίδα και στον Πίνακα Ανακοινώσεων του Δήμου Καρδίτσας.</w:t>
      </w:r>
    </w:p>
    <w:p>
      <w:pPr>
        <w:pStyle w:val="Normal"/>
        <w:rPr>
          <w:spacing w:val="2"/>
          <w:lang w:val="el-GR"/>
        </w:rPr>
      </w:pPr>
      <w:r>
        <w:rPr>
          <w:spacing w:val="2"/>
          <w:lang w:val="el-GR"/>
        </w:rPr>
      </w:r>
    </w:p>
    <w:p>
      <w:pPr>
        <w:pStyle w:val="Normal"/>
        <w:rPr>
          <w:spacing w:val="2"/>
          <w:lang w:val="el-GR"/>
        </w:rPr>
      </w:pPr>
      <w:r>
        <w:rPr>
          <w:spacing w:val="2"/>
          <w:lang w:val="el-GR"/>
        </w:rPr>
        <w:t>Αμοιβαία αλλαγή θέσεων μεταξύ των πωλητών επιτρέπεται ύστερα από αίτηση των ενδιαφερομένων στο Δήμο, αρμόδια να επιληφθεί του θέματος είναι η Επιτροπή διεξαγωγής Εμποροπανήγυρης.</w:t>
      </w:r>
    </w:p>
    <w:p>
      <w:pPr>
        <w:pStyle w:val="Normal"/>
        <w:rPr>
          <w:spacing w:val="2"/>
          <w:lang w:val="el-GR"/>
        </w:rPr>
      </w:pPr>
      <w:r>
        <w:rPr>
          <w:spacing w:val="2"/>
          <w:lang w:val="el-GR"/>
        </w:rPr>
      </w:r>
    </w:p>
    <w:p>
      <w:pPr>
        <w:pStyle w:val="Normal"/>
        <w:rPr>
          <w:spacing w:val="2"/>
          <w:lang w:val="el-GR"/>
        </w:rPr>
      </w:pPr>
      <w:r>
        <w:rPr>
          <w:spacing w:val="2"/>
          <w:lang w:val="el-GR"/>
        </w:rPr>
        <w:t>Σε περίπτωση που μετά το τέλος της προθεσμίας υποβολής των αιτήσεων και μέχρι την έναρξη της Εμποροπανήγυρης υπάρχουν κενές θέσεις, δύναται να γίνονται δεκτές εκπρόθεσμες αιτήσεις μέχρι της πλήρωσης των θέσεων, για τις οποίες η τοποθέτηση στις θέσεις θα γίνεται κατά χρονολογική σειρά προτεραιότητας.</w:t>
      </w:r>
    </w:p>
    <w:p>
      <w:pPr>
        <w:pStyle w:val="Normal"/>
        <w:rPr>
          <w:spacing w:val="2"/>
          <w:lang w:val="el-GR"/>
        </w:rPr>
      </w:pPr>
      <w:r>
        <w:rPr>
          <w:spacing w:val="2"/>
          <w:lang w:val="el-GR"/>
        </w:rPr>
      </w:r>
    </w:p>
    <w:p>
      <w:pPr>
        <w:pStyle w:val="Normal"/>
        <w:rPr>
          <w:spacing w:val="2"/>
          <w:lang w:val="el-GR"/>
        </w:rPr>
      </w:pPr>
      <w:r>
        <w:rPr>
          <w:spacing w:val="2"/>
          <w:lang w:val="el-GR"/>
        </w:rPr>
        <w:t>Τυχόν αδιάθετες θέσεις μετά την έναρξη της Εμποροπανήγυρης θα διατίθενται με απόφαση της Επιτροπής διεξαγωγής και οι πωλητές θα καταβάλλουν το αναλογούν προβλεπόμενο τέλος χρήσης για το υπόλοιπο της διάρκειας της Εμποροπανήγυρης.</w:t>
      </w:r>
    </w:p>
    <w:p>
      <w:pPr>
        <w:pStyle w:val="Normal"/>
        <w:rPr/>
      </w:pPr>
      <w:r>
        <w:rPr/>
      </w:r>
    </w:p>
    <w:p>
      <w:pPr>
        <w:pStyle w:val="Normal"/>
        <w:shd w:val="pct15" w:color="auto" w:fill="auto"/>
        <w:rPr>
          <w:b/>
          <w:b/>
          <w:bCs/>
        </w:rPr>
      </w:pPr>
      <w:r>
        <w:rPr>
          <w:b/>
          <w:bCs/>
        </w:rPr>
        <w:t>ΣΤ. ΚΑΤΑΒΑΛΛΟΜΕΝΑ ΤΕΛΗ</w:t>
      </w:r>
      <w:r>
        <w:rPr>
          <w:b/>
          <w:bCs/>
          <w:lang w:val="el-GR"/>
        </w:rPr>
        <w:t xml:space="preserve"> ΚΑΙ</w:t>
      </w:r>
      <w:r>
        <w:rPr>
          <w:b/>
          <w:bCs/>
        </w:rPr>
        <w:t xml:space="preserve"> ΤΡΟΠΟΣ ΕΙΣΠΡΑΞΗΣ ΑΥΤΩΝ</w:t>
      </w:r>
    </w:p>
    <w:p>
      <w:pPr>
        <w:pStyle w:val="Normal"/>
        <w:rPr/>
      </w:pPr>
      <w:r>
        <w:rPr/>
      </w:r>
    </w:p>
    <w:p>
      <w:pPr>
        <w:pStyle w:val="Normal"/>
        <w:rPr/>
      </w:pPr>
      <w:r>
        <w:rPr/>
        <w:t>Για την έκδοση της έγκρισης συμμετοχής στην εμποροπανήγυρη απαιτείται η προηγούμενη καταβολή του αντίστοιχου τέλους χρήσης ανά θέση.</w:t>
      </w:r>
    </w:p>
    <w:p>
      <w:pPr>
        <w:pStyle w:val="Normal"/>
        <w:rPr/>
      </w:pPr>
      <w:r>
        <w:rPr/>
      </w:r>
    </w:p>
    <w:p>
      <w:pPr>
        <w:pStyle w:val="Normal"/>
        <w:rPr/>
      </w:pPr>
      <w:r>
        <w:rPr>
          <w:spacing w:val="2"/>
          <w:lang w:val="el-GR"/>
        </w:rPr>
        <w:t xml:space="preserve">Το Δημοτικό Συμβούλιο Καρδίτσας, με την υπ’ αριθ. 207/23.09.2025 Απόφασή του (ΑΔΑ: 9ΝΥ0ΩΕΗ-2ΚΩ), καθόρισε το ύψος του καταβαλλόμενου τέλους χρήσης κοινόχρηστου χώρου ανά άδεια, θέση και κατηγορία πωλούμενων προϊόντων για το έτος 2025 ως εξής: </w:t>
      </w:r>
    </w:p>
    <w:p>
      <w:pPr>
        <w:pStyle w:val="Normal"/>
        <w:rPr>
          <w:spacing w:val="2"/>
          <w:lang w:val="el-GR"/>
        </w:rPr>
      </w:pPr>
      <w:r>
        <w:rPr>
          <w:spacing w:val="2"/>
          <w:lang w:val="el-GR"/>
        </w:rPr>
      </w:r>
    </w:p>
    <w:tbl>
      <w:tblPr>
        <w:tblW w:w="4750" w:type="pct"/>
        <w:jc w:val="start"/>
        <w:tblInd w:w="0" w:type="dxa"/>
        <w:tblLayout w:type="fixed"/>
        <w:tblCellMar>
          <w:top w:w="0" w:type="dxa"/>
          <w:start w:w="108" w:type="dxa"/>
          <w:bottom w:w="0" w:type="dxa"/>
          <w:end w:w="108" w:type="dxa"/>
        </w:tblCellMar>
        <w:tblLook w:firstRow="1" w:noVBand="1" w:lastRow="0" w:firstColumn="1" w:lastColumn="0" w:noHBand="0" w:val="04a0"/>
      </w:tblPr>
      <w:tblGrid>
        <w:gridCol w:w="792"/>
        <w:gridCol w:w="4546"/>
        <w:gridCol w:w="1407"/>
        <w:gridCol w:w="1828"/>
      </w:tblGrid>
      <w:tr>
        <w:trPr/>
        <w:tc>
          <w:tcPr>
            <w:tcW w:w="792" w:type="dxa"/>
            <w:tcBorders>
              <w:top w:val="single" w:sz="4" w:space="0" w:color="000000"/>
              <w:start w:val="single" w:sz="4" w:space="0" w:color="000000"/>
              <w:bottom w:val="single" w:sz="4" w:space="0" w:color="000000"/>
              <w:end w:val="single" w:sz="4" w:space="0" w:color="000000"/>
            </w:tcBorders>
            <w:shd w:color="000000" w:fill="E7E6E6" w:val="clear"/>
            <w:vAlign w:val="center"/>
          </w:tcPr>
          <w:p>
            <w:pPr>
              <w:pStyle w:val="Normal"/>
              <w:widowControl w:val="false"/>
              <w:jc w:val="center"/>
              <w:rPr/>
            </w:pPr>
            <w:r>
              <w:rPr>
                <w:b/>
                <w:bCs/>
              </w:rPr>
              <w:t>ΚΑΤ.</w:t>
            </w:r>
          </w:p>
        </w:tc>
        <w:tc>
          <w:tcPr>
            <w:tcW w:w="4546" w:type="dxa"/>
            <w:tcBorders>
              <w:top w:val="single" w:sz="4" w:space="0" w:color="000000"/>
              <w:bottom w:val="single" w:sz="4" w:space="0" w:color="000000"/>
              <w:end w:val="single" w:sz="4" w:space="0" w:color="000000"/>
            </w:tcBorders>
            <w:shd w:color="000000" w:fill="E7E6E6" w:val="clear"/>
            <w:vAlign w:val="center"/>
          </w:tcPr>
          <w:p>
            <w:pPr>
              <w:pStyle w:val="Normal"/>
              <w:widowControl w:val="false"/>
              <w:rPr/>
            </w:pPr>
            <w:r>
              <w:rPr>
                <w:b/>
                <w:bCs/>
              </w:rPr>
              <w:t>ΠΩΛΟΥΜΕΝΑ ΕΙΔΗ</w:t>
            </w:r>
          </w:p>
        </w:tc>
        <w:tc>
          <w:tcPr>
            <w:tcW w:w="1407" w:type="dxa"/>
            <w:tcBorders>
              <w:top w:val="single" w:sz="4" w:space="0" w:color="000000"/>
              <w:bottom w:val="single" w:sz="4" w:space="0" w:color="000000"/>
              <w:end w:val="single" w:sz="4" w:space="0" w:color="000000"/>
            </w:tcBorders>
            <w:shd w:color="000000" w:fill="E7E6E6" w:val="clear"/>
            <w:vAlign w:val="center"/>
          </w:tcPr>
          <w:p>
            <w:pPr>
              <w:pStyle w:val="Normal"/>
              <w:widowControl w:val="false"/>
              <w:jc w:val="center"/>
              <w:rPr/>
            </w:pPr>
            <w:r>
              <w:rPr>
                <w:b/>
                <w:bCs/>
              </w:rPr>
              <w:t>ΣΥΝΟΛΟ</w:t>
              <w:br/>
              <w:t>ΘΕΣΕΩΝ</w:t>
            </w:r>
          </w:p>
        </w:tc>
        <w:tc>
          <w:tcPr>
            <w:tcW w:w="1828" w:type="dxa"/>
            <w:tcBorders>
              <w:top w:val="single" w:sz="4" w:space="0" w:color="000000"/>
              <w:bottom w:val="single" w:sz="4" w:space="0" w:color="000000"/>
              <w:end w:val="single" w:sz="4" w:space="0" w:color="000000"/>
            </w:tcBorders>
            <w:shd w:color="000000" w:fill="E7E6E6" w:val="clear"/>
            <w:vAlign w:val="center"/>
          </w:tcPr>
          <w:p>
            <w:pPr>
              <w:pStyle w:val="Normal"/>
              <w:widowControl w:val="false"/>
              <w:jc w:val="center"/>
              <w:rPr/>
            </w:pPr>
            <w:r>
              <w:rPr>
                <w:b/>
                <w:bCs/>
                <w:lang w:val="el-GR"/>
              </w:rPr>
              <w:t>ΤΙΜΗ ΘΕΣΗΣ</w:t>
            </w:r>
          </w:p>
        </w:tc>
      </w:tr>
      <w:tr>
        <w:trPr/>
        <w:tc>
          <w:tcPr>
            <w:tcW w:w="792" w:type="dxa"/>
            <w:tcBorders>
              <w:start w:val="single" w:sz="4" w:space="0" w:color="000000"/>
              <w:bottom w:val="single" w:sz="4" w:space="0" w:color="000000"/>
              <w:end w:val="single" w:sz="4" w:space="0" w:color="000000"/>
            </w:tcBorders>
            <w:vAlign w:val="center"/>
          </w:tcPr>
          <w:p>
            <w:pPr>
              <w:pStyle w:val="Normal"/>
              <w:widowControl w:val="false"/>
              <w:jc w:val="center"/>
              <w:rPr/>
            </w:pPr>
            <w:r>
              <w:rPr>
                <w:b/>
                <w:bCs/>
              </w:rPr>
              <w:t>I-Α</w:t>
            </w:r>
          </w:p>
        </w:tc>
        <w:tc>
          <w:tcPr>
            <w:tcW w:w="4546" w:type="dxa"/>
            <w:tcBorders>
              <w:bottom w:val="single" w:sz="4" w:space="0" w:color="000000"/>
              <w:end w:val="single" w:sz="4" w:space="0" w:color="000000"/>
            </w:tcBorders>
            <w:vAlign w:val="center"/>
          </w:tcPr>
          <w:p>
            <w:pPr>
              <w:pStyle w:val="Normal"/>
              <w:widowControl w:val="false"/>
              <w:rPr/>
            </w:pPr>
            <w:r>
              <w:rPr>
                <w:lang w:val="el-GR"/>
              </w:rPr>
              <w:t>Ψητοπωλεία – Καντίνες (Ζώνη Α).</w:t>
            </w:r>
          </w:p>
        </w:tc>
        <w:tc>
          <w:tcPr>
            <w:tcW w:w="1407" w:type="dxa"/>
            <w:tcBorders>
              <w:bottom w:val="single" w:sz="4" w:space="0" w:color="000000"/>
              <w:end w:val="single" w:sz="4" w:space="0" w:color="000000"/>
            </w:tcBorders>
            <w:vAlign w:val="center"/>
          </w:tcPr>
          <w:p>
            <w:pPr>
              <w:pStyle w:val="Normal"/>
              <w:widowControl w:val="false"/>
              <w:jc w:val="center"/>
              <w:rPr/>
            </w:pPr>
            <w:r>
              <w:rPr/>
              <w:t>4</w:t>
            </w:r>
          </w:p>
        </w:tc>
        <w:tc>
          <w:tcPr>
            <w:tcW w:w="1828" w:type="dxa"/>
            <w:tcBorders>
              <w:bottom w:val="single" w:sz="4" w:space="0" w:color="000000"/>
              <w:end w:val="single" w:sz="4" w:space="0" w:color="000000"/>
            </w:tcBorders>
            <w:vAlign w:val="center"/>
          </w:tcPr>
          <w:p>
            <w:pPr>
              <w:pStyle w:val="Normal"/>
              <w:widowControl w:val="false"/>
              <w:jc w:val="center"/>
              <w:rPr/>
            </w:pPr>
            <w:r>
              <w:rPr>
                <w:lang w:val="el-GR"/>
              </w:rPr>
              <w:t>1.000,00€</w:t>
            </w:r>
          </w:p>
        </w:tc>
      </w:tr>
      <w:tr>
        <w:trPr/>
        <w:tc>
          <w:tcPr>
            <w:tcW w:w="792" w:type="dxa"/>
            <w:tcBorders>
              <w:start w:val="single" w:sz="4" w:space="0" w:color="000000"/>
              <w:bottom w:val="single" w:sz="4" w:space="0" w:color="000000"/>
              <w:end w:val="single" w:sz="4" w:space="0" w:color="000000"/>
            </w:tcBorders>
            <w:vAlign w:val="center"/>
          </w:tcPr>
          <w:p>
            <w:pPr>
              <w:pStyle w:val="Normal"/>
              <w:widowControl w:val="false"/>
              <w:jc w:val="center"/>
              <w:rPr/>
            </w:pPr>
            <w:r>
              <w:rPr>
                <w:b/>
                <w:bCs/>
              </w:rPr>
              <w:t>I-Β</w:t>
            </w:r>
          </w:p>
        </w:tc>
        <w:tc>
          <w:tcPr>
            <w:tcW w:w="4546" w:type="dxa"/>
            <w:tcBorders>
              <w:bottom w:val="single" w:sz="4" w:space="0" w:color="000000"/>
              <w:end w:val="single" w:sz="4" w:space="0" w:color="000000"/>
            </w:tcBorders>
            <w:vAlign w:val="center"/>
          </w:tcPr>
          <w:p>
            <w:pPr>
              <w:pStyle w:val="Normal"/>
              <w:widowControl w:val="false"/>
              <w:rPr/>
            </w:pPr>
            <w:r>
              <w:rPr>
                <w:lang w:val="el-GR"/>
              </w:rPr>
              <w:t>Ψητοπωλεία – Καντίνες (Ζώνη Β).</w:t>
            </w:r>
          </w:p>
        </w:tc>
        <w:tc>
          <w:tcPr>
            <w:tcW w:w="1407" w:type="dxa"/>
            <w:tcBorders>
              <w:bottom w:val="single" w:sz="4" w:space="0" w:color="000000"/>
              <w:end w:val="single" w:sz="4" w:space="0" w:color="000000"/>
            </w:tcBorders>
            <w:vAlign w:val="center"/>
          </w:tcPr>
          <w:p>
            <w:pPr>
              <w:pStyle w:val="Normal"/>
              <w:widowControl w:val="false"/>
              <w:jc w:val="center"/>
              <w:rPr/>
            </w:pPr>
            <w:r>
              <w:rPr/>
              <w:t>4</w:t>
            </w:r>
          </w:p>
        </w:tc>
        <w:tc>
          <w:tcPr>
            <w:tcW w:w="1828" w:type="dxa"/>
            <w:tcBorders>
              <w:bottom w:val="single" w:sz="4" w:space="0" w:color="000000"/>
              <w:end w:val="single" w:sz="4" w:space="0" w:color="000000"/>
            </w:tcBorders>
            <w:vAlign w:val="center"/>
          </w:tcPr>
          <w:p>
            <w:pPr>
              <w:pStyle w:val="Normal"/>
              <w:widowControl w:val="false"/>
              <w:jc w:val="center"/>
              <w:rPr/>
            </w:pPr>
            <w:r>
              <w:rPr>
                <w:lang w:val="el-GR"/>
              </w:rPr>
              <w:t>700,00€</w:t>
            </w:r>
          </w:p>
        </w:tc>
      </w:tr>
      <w:tr>
        <w:trPr/>
        <w:tc>
          <w:tcPr>
            <w:tcW w:w="792" w:type="dxa"/>
            <w:tcBorders>
              <w:start w:val="single" w:sz="4" w:space="0" w:color="000000"/>
              <w:bottom w:val="single" w:sz="4" w:space="0" w:color="000000"/>
              <w:end w:val="single" w:sz="4" w:space="0" w:color="000000"/>
            </w:tcBorders>
            <w:vAlign w:val="center"/>
          </w:tcPr>
          <w:p>
            <w:pPr>
              <w:pStyle w:val="Normal"/>
              <w:widowControl w:val="false"/>
              <w:jc w:val="center"/>
              <w:rPr/>
            </w:pPr>
            <w:r>
              <w:rPr>
                <w:b/>
                <w:bCs/>
              </w:rPr>
              <w:t>I-Γ</w:t>
            </w:r>
          </w:p>
        </w:tc>
        <w:tc>
          <w:tcPr>
            <w:tcW w:w="4546" w:type="dxa"/>
            <w:tcBorders>
              <w:bottom w:val="single" w:sz="4" w:space="0" w:color="000000"/>
              <w:end w:val="single" w:sz="4" w:space="0" w:color="000000"/>
            </w:tcBorders>
            <w:vAlign w:val="center"/>
          </w:tcPr>
          <w:p>
            <w:pPr>
              <w:pStyle w:val="Normal"/>
              <w:widowControl w:val="false"/>
              <w:rPr/>
            </w:pPr>
            <w:r>
              <w:rPr>
                <w:lang w:val="el-GR"/>
              </w:rPr>
              <w:t>Ψητοπωλεία – Καντίνες (Ζώνη Γ).</w:t>
            </w:r>
          </w:p>
        </w:tc>
        <w:tc>
          <w:tcPr>
            <w:tcW w:w="1407" w:type="dxa"/>
            <w:tcBorders>
              <w:bottom w:val="single" w:sz="4" w:space="0" w:color="000000"/>
              <w:end w:val="single" w:sz="4" w:space="0" w:color="000000"/>
            </w:tcBorders>
            <w:vAlign w:val="center"/>
          </w:tcPr>
          <w:p>
            <w:pPr>
              <w:pStyle w:val="Normal"/>
              <w:widowControl w:val="false"/>
              <w:jc w:val="center"/>
              <w:rPr/>
            </w:pPr>
            <w:r>
              <w:rPr/>
              <w:t>4</w:t>
            </w:r>
          </w:p>
        </w:tc>
        <w:tc>
          <w:tcPr>
            <w:tcW w:w="1828" w:type="dxa"/>
            <w:tcBorders>
              <w:bottom w:val="single" w:sz="4" w:space="0" w:color="000000"/>
              <w:end w:val="single" w:sz="4" w:space="0" w:color="000000"/>
            </w:tcBorders>
            <w:vAlign w:val="center"/>
          </w:tcPr>
          <w:p>
            <w:pPr>
              <w:pStyle w:val="Normal"/>
              <w:widowControl w:val="false"/>
              <w:jc w:val="center"/>
              <w:rPr/>
            </w:pPr>
            <w:r>
              <w:rPr>
                <w:lang w:val="el-GR"/>
              </w:rPr>
              <w:t>500,00€</w:t>
            </w:r>
          </w:p>
        </w:tc>
      </w:tr>
      <w:tr>
        <w:trPr/>
        <w:tc>
          <w:tcPr>
            <w:tcW w:w="792" w:type="dxa"/>
            <w:tcBorders>
              <w:start w:val="single" w:sz="4" w:space="0" w:color="000000"/>
              <w:bottom w:val="single" w:sz="4" w:space="0" w:color="000000"/>
              <w:end w:val="single" w:sz="4" w:space="0" w:color="000000"/>
            </w:tcBorders>
            <w:vAlign w:val="center"/>
          </w:tcPr>
          <w:p>
            <w:pPr>
              <w:pStyle w:val="Normal"/>
              <w:widowControl w:val="false"/>
              <w:jc w:val="center"/>
              <w:rPr/>
            </w:pPr>
            <w:r>
              <w:rPr>
                <w:b/>
                <w:bCs/>
                <w:lang w:val="el-GR"/>
              </w:rPr>
              <w:t>ΙΙ</w:t>
            </w:r>
          </w:p>
        </w:tc>
        <w:tc>
          <w:tcPr>
            <w:tcW w:w="4546" w:type="dxa"/>
            <w:tcBorders>
              <w:bottom w:val="single" w:sz="4" w:space="0" w:color="000000"/>
              <w:end w:val="single" w:sz="4" w:space="0" w:color="000000"/>
            </w:tcBorders>
            <w:vAlign w:val="center"/>
          </w:tcPr>
          <w:p>
            <w:pPr>
              <w:pStyle w:val="Normal"/>
              <w:widowControl w:val="false"/>
              <w:rPr/>
            </w:pPr>
            <w:r>
              <w:rPr>
                <w:lang w:val="el-GR"/>
              </w:rPr>
              <w:t>Χαλβαδοποιία – Καφενεία.</w:t>
            </w:r>
          </w:p>
        </w:tc>
        <w:tc>
          <w:tcPr>
            <w:tcW w:w="1407" w:type="dxa"/>
            <w:tcBorders>
              <w:bottom w:val="single" w:sz="4" w:space="0" w:color="000000"/>
              <w:end w:val="single" w:sz="4" w:space="0" w:color="000000"/>
            </w:tcBorders>
            <w:vAlign w:val="center"/>
          </w:tcPr>
          <w:p>
            <w:pPr>
              <w:pStyle w:val="Normal"/>
              <w:widowControl w:val="false"/>
              <w:jc w:val="center"/>
              <w:rPr/>
            </w:pPr>
            <w:r>
              <w:rPr>
                <w:lang w:val="el-GR"/>
              </w:rPr>
              <w:t>18</w:t>
            </w:r>
          </w:p>
        </w:tc>
        <w:tc>
          <w:tcPr>
            <w:tcW w:w="1828" w:type="dxa"/>
            <w:tcBorders>
              <w:bottom w:val="single" w:sz="4" w:space="0" w:color="000000"/>
              <w:end w:val="single" w:sz="4" w:space="0" w:color="000000"/>
            </w:tcBorders>
            <w:vAlign w:val="center"/>
          </w:tcPr>
          <w:p>
            <w:pPr>
              <w:pStyle w:val="Normal"/>
              <w:widowControl w:val="false"/>
              <w:jc w:val="center"/>
              <w:rPr/>
            </w:pPr>
            <w:r>
              <w:rPr>
                <w:lang w:val="el-GR"/>
              </w:rPr>
              <w:t>500,00</w:t>
            </w:r>
          </w:p>
        </w:tc>
      </w:tr>
      <w:tr>
        <w:trPr/>
        <w:tc>
          <w:tcPr>
            <w:tcW w:w="792" w:type="dxa"/>
            <w:tcBorders>
              <w:start w:val="single" w:sz="4" w:space="0" w:color="000000"/>
              <w:bottom w:val="single" w:sz="4" w:space="0" w:color="000000"/>
              <w:end w:val="single" w:sz="4" w:space="0" w:color="000000"/>
            </w:tcBorders>
            <w:vAlign w:val="center"/>
          </w:tcPr>
          <w:p>
            <w:pPr>
              <w:pStyle w:val="Normal"/>
              <w:widowControl w:val="false"/>
              <w:jc w:val="center"/>
              <w:rPr/>
            </w:pPr>
            <w:r>
              <w:rPr>
                <w:b/>
                <w:bCs/>
              </w:rPr>
              <w:t>ΙΙΙ</w:t>
            </w:r>
          </w:p>
        </w:tc>
        <w:tc>
          <w:tcPr>
            <w:tcW w:w="4546" w:type="dxa"/>
            <w:tcBorders>
              <w:bottom w:val="single" w:sz="4" w:space="0" w:color="000000"/>
              <w:end w:val="single" w:sz="4" w:space="0" w:color="000000"/>
            </w:tcBorders>
            <w:vAlign w:val="center"/>
          </w:tcPr>
          <w:p>
            <w:pPr>
              <w:pStyle w:val="Normal"/>
              <w:widowControl w:val="false"/>
              <w:rPr/>
            </w:pPr>
            <w:r>
              <w:rPr>
                <w:lang w:val="el-GR"/>
              </w:rPr>
              <w:t>Εμπορικές δραστηριότητες, Βιομηχανικά είδη και μη πλην ηλεκτροδοτούμενων ηλεκτρικών ειδών και παιχνιδιών, Εδώδιμα είδη, Καλλιτεχνήματα – Χειροτεχνήματα ίδιας δημιουργίας.</w:t>
            </w:r>
          </w:p>
        </w:tc>
        <w:tc>
          <w:tcPr>
            <w:tcW w:w="1407" w:type="dxa"/>
            <w:tcBorders>
              <w:bottom w:val="single" w:sz="4" w:space="0" w:color="000000"/>
              <w:end w:val="single" w:sz="4" w:space="0" w:color="000000"/>
            </w:tcBorders>
            <w:vAlign w:val="center"/>
          </w:tcPr>
          <w:p>
            <w:pPr>
              <w:pStyle w:val="Normal"/>
              <w:widowControl w:val="false"/>
              <w:jc w:val="center"/>
              <w:rPr/>
            </w:pPr>
            <w:r>
              <w:rPr/>
              <w:t>280</w:t>
            </w:r>
          </w:p>
        </w:tc>
        <w:tc>
          <w:tcPr>
            <w:tcW w:w="1828" w:type="dxa"/>
            <w:tcBorders>
              <w:bottom w:val="single" w:sz="4" w:space="0" w:color="000000"/>
              <w:end w:val="single" w:sz="4" w:space="0" w:color="000000"/>
            </w:tcBorders>
            <w:vAlign w:val="center"/>
          </w:tcPr>
          <w:p>
            <w:pPr>
              <w:pStyle w:val="Normal"/>
              <w:widowControl w:val="false"/>
              <w:jc w:val="center"/>
              <w:rPr/>
            </w:pPr>
            <w:r>
              <w:rPr>
                <w:lang w:val="el-GR"/>
              </w:rPr>
              <w:t>250,00€</w:t>
            </w:r>
          </w:p>
        </w:tc>
      </w:tr>
      <w:tr>
        <w:trPr/>
        <w:tc>
          <w:tcPr>
            <w:tcW w:w="792" w:type="dxa"/>
            <w:tcBorders/>
            <w:vAlign w:val="center"/>
          </w:tcPr>
          <w:p>
            <w:pPr>
              <w:pStyle w:val="Normal"/>
              <w:widowControl w:val="false"/>
              <w:rPr/>
            </w:pPr>
            <w:r>
              <w:rPr/>
            </w:r>
          </w:p>
        </w:tc>
        <w:tc>
          <w:tcPr>
            <w:tcW w:w="4546" w:type="dxa"/>
            <w:tcBorders/>
            <w:vAlign w:val="center"/>
          </w:tcPr>
          <w:p>
            <w:pPr>
              <w:pStyle w:val="Normal"/>
              <w:widowControl w:val="false"/>
              <w:jc w:val="center"/>
              <w:rPr/>
            </w:pPr>
            <w:r>
              <w:rPr/>
            </w:r>
          </w:p>
        </w:tc>
        <w:tc>
          <w:tcPr>
            <w:tcW w:w="1407" w:type="dxa"/>
            <w:tcBorders>
              <w:start w:val="single" w:sz="4" w:space="0" w:color="000000"/>
              <w:bottom w:val="single" w:sz="4" w:space="0" w:color="000000"/>
              <w:end w:val="single" w:sz="4" w:space="0" w:color="000000"/>
            </w:tcBorders>
            <w:shd w:color="000000" w:fill="E7E6E6" w:val="clear"/>
            <w:vAlign w:val="center"/>
          </w:tcPr>
          <w:p>
            <w:pPr>
              <w:pStyle w:val="Normal"/>
              <w:widowControl w:val="false"/>
              <w:jc w:val="center"/>
              <w:rPr/>
            </w:pPr>
            <w:r>
              <w:rPr>
                <w:b/>
                <w:bCs/>
              </w:rPr>
              <w:t>310</w:t>
            </w:r>
          </w:p>
        </w:tc>
        <w:tc>
          <w:tcPr>
            <w:tcW w:w="1828" w:type="dxa"/>
            <w:tcBorders>
              <w:start w:val="single" w:sz="4" w:space="0" w:color="000000"/>
              <w:bottom w:val="single" w:sz="4" w:space="0" w:color="000000"/>
              <w:end w:val="single" w:sz="4" w:space="0" w:color="000000"/>
            </w:tcBorders>
            <w:shd w:color="000000" w:fill="E7E6E6" w:val="clear"/>
            <w:vAlign w:val="center"/>
          </w:tcPr>
          <w:p>
            <w:pPr>
              <w:pStyle w:val="Normal"/>
              <w:widowControl w:val="false"/>
              <w:jc w:val="center"/>
              <w:rPr>
                <w:b/>
                <w:b/>
                <w:bCs/>
              </w:rPr>
            </w:pPr>
            <w:r>
              <w:rPr>
                <w:b/>
                <w:bCs/>
              </w:rPr>
            </w:r>
          </w:p>
        </w:tc>
      </w:tr>
    </w:tbl>
    <w:p>
      <w:pPr>
        <w:pStyle w:val="Normal"/>
        <w:rPr>
          <w:color w:val="C9211E"/>
          <w:spacing w:val="2"/>
          <w:lang w:val="el-GR"/>
        </w:rPr>
      </w:pPr>
      <w:r>
        <w:rPr>
          <w:color w:val="C9211E"/>
          <w:spacing w:val="2"/>
          <w:lang w:val="el-GR"/>
        </w:rPr>
      </w:r>
    </w:p>
    <w:p>
      <w:pPr>
        <w:pStyle w:val="Normal"/>
        <w:rPr>
          <w:spacing w:val="2"/>
          <w:lang w:val="el-GR"/>
        </w:rPr>
      </w:pPr>
      <w:r>
        <w:rPr>
          <w:spacing w:val="2"/>
          <w:lang w:val="el-GR"/>
        </w:rPr>
        <w:t>Στην περίπτωση που προκύψουν αιτήματα για κατάληψη θέσης εκτός διαγράμμισης (</w:t>
      </w:r>
      <w:r>
        <w:rPr>
          <w:i/>
          <w:iCs/>
          <w:spacing w:val="2"/>
          <w:lang w:val="el-GR"/>
        </w:rPr>
        <w:t>χωρίς περίπτερο</w:t>
      </w:r>
      <w:r>
        <w:rPr>
          <w:spacing w:val="2"/>
          <w:lang w:val="el-GR"/>
        </w:rPr>
        <w:t xml:space="preserve">), προτείνεται ως αντίτιμο υπέρ Δήμου για την κατάληψη του χώρου </w:t>
      </w:r>
      <w:r>
        <w:rPr>
          <w:b/>
          <w:bCs/>
          <w:spacing w:val="2"/>
          <w:lang w:val="el-GR"/>
        </w:rPr>
        <w:t>το ποσό των 30,00 €/ανά τ.μ. και όχι πέραν των 2,00 τ.μ.</w:t>
      </w:r>
      <w:r>
        <w:rPr>
          <w:spacing w:val="2"/>
          <w:lang w:val="el-GR"/>
        </w:rPr>
        <w:t xml:space="preserve"> Η Επιτροπή διεξαγωγής της Εμποροπανήγυρης, θα υποδεικνύει στον ενδιαφερόμενο, την προς κατάληψη θέση.</w:t>
      </w:r>
    </w:p>
    <w:p>
      <w:pPr>
        <w:pStyle w:val="Normal"/>
        <w:rPr>
          <w:lang w:val="el-GR"/>
        </w:rPr>
      </w:pPr>
      <w:r>
        <w:rPr>
          <w:lang w:val="el-GR"/>
        </w:rPr>
      </w:r>
    </w:p>
    <w:p>
      <w:pPr>
        <w:pStyle w:val="Normal"/>
        <w:rPr>
          <w:spacing w:val="2"/>
          <w:lang w:val="el-GR"/>
        </w:rPr>
      </w:pPr>
      <w:r>
        <w:rPr>
          <w:spacing w:val="2"/>
          <w:lang w:val="el-GR"/>
        </w:rPr>
        <w:t xml:space="preserve">Η καταβολή των αναλογούντων τελών υπέρ του Δήμου, η </w:t>
      </w:r>
      <w:r>
        <w:rPr>
          <w:b/>
          <w:bCs/>
          <w:spacing w:val="2"/>
          <w:u w:val="single"/>
          <w:lang w:val="el-GR"/>
        </w:rPr>
        <w:t>οποία γίνεται τοις μετρητοίς</w:t>
      </w:r>
      <w:r>
        <w:rPr>
          <w:spacing w:val="2"/>
          <w:lang w:val="el-GR"/>
        </w:rPr>
        <w:t xml:space="preserve">, </w:t>
      </w:r>
      <w:r>
        <w:rPr>
          <w:b/>
          <w:bCs/>
          <w:spacing w:val="2"/>
          <w:u w:val="single"/>
          <w:lang w:val="el-GR"/>
        </w:rPr>
        <w:t xml:space="preserve">εφάπαξ </w:t>
      </w:r>
      <w:r>
        <w:rPr>
          <w:b/>
          <w:bCs/>
          <w:u w:val="single"/>
        </w:rPr>
        <w:t xml:space="preserve">μετά την ανάρτηση στην επίσημη ιστοσελίδα του Δήμου του καταλόγου συμμετεχόντων </w:t>
      </w:r>
      <w:r>
        <w:rPr>
          <w:b/>
          <w:bCs/>
          <w:spacing w:val="2"/>
          <w:u w:val="single"/>
          <w:lang w:val="el-GR"/>
        </w:rPr>
        <w:t>και πριν την εγκατάσταση των συμμετεχόντων</w:t>
      </w:r>
      <w:r>
        <w:rPr>
          <w:spacing w:val="2"/>
          <w:lang w:val="el-GR"/>
        </w:rPr>
        <w:t>, πραγματοποιείται από τους αιτούντες ως εξής:</w:t>
      </w:r>
    </w:p>
    <w:p>
      <w:pPr>
        <w:pStyle w:val="Normal"/>
        <w:ind w:start="720" w:hanging="0"/>
        <w:rPr>
          <w:spacing w:val="2"/>
          <w:lang w:val="el-GR"/>
        </w:rPr>
      </w:pPr>
      <w:r>
        <w:rPr>
          <w:b/>
          <w:bCs/>
          <w:spacing w:val="2"/>
          <w:lang w:val="el-GR"/>
        </w:rPr>
        <w:t>α)</w:t>
      </w:r>
      <w:r>
        <w:rPr>
          <w:spacing w:val="2"/>
          <w:lang w:val="el-GR"/>
        </w:rPr>
        <w:t xml:space="preserve"> είτε απευθείας στο Ταμείο του Δήμου</w:t>
      </w:r>
    </w:p>
    <w:p>
      <w:pPr>
        <w:pStyle w:val="Normal"/>
        <w:ind w:start="720" w:hanging="0"/>
        <w:rPr>
          <w:spacing w:val="2"/>
          <w:lang w:val="el-GR"/>
        </w:rPr>
      </w:pPr>
      <w:r>
        <w:rPr>
          <w:b/>
          <w:bCs/>
          <w:spacing w:val="2"/>
          <w:lang w:val="el-GR"/>
        </w:rPr>
        <w:t>β)</w:t>
      </w:r>
      <w:r>
        <w:rPr>
          <w:spacing w:val="2"/>
          <w:lang w:val="el-GR"/>
        </w:rPr>
        <w:t xml:space="preserve"> είτε με κατάθεση σε Τράπεζα, στον τραπεζικό λογαριασμό του Δήμου Καρδίτσας,</w:t>
      </w:r>
    </w:p>
    <w:p>
      <w:pPr>
        <w:pStyle w:val="Normal"/>
        <w:ind w:start="720" w:hanging="0"/>
        <w:rPr>
          <w:spacing w:val="2"/>
          <w:lang w:val="el-GR"/>
        </w:rPr>
      </w:pPr>
      <w:r>
        <w:rPr>
          <w:b/>
          <w:bCs/>
          <w:spacing w:val="2"/>
          <w:lang w:val="el-GR"/>
        </w:rPr>
        <w:t>γ)</w:t>
      </w:r>
      <w:r>
        <w:rPr>
          <w:spacing w:val="2"/>
          <w:lang w:val="el-GR"/>
        </w:rPr>
        <w:t xml:space="preserve"> είτε με πληρωμή μέσω ηλεκτρονικής τραπεζικής (e-banking, web-banking κ.λπ.).</w:t>
      </w:r>
    </w:p>
    <w:p>
      <w:pPr>
        <w:pStyle w:val="Normal"/>
        <w:rPr>
          <w:spacing w:val="2"/>
          <w:lang w:val="el-GR"/>
        </w:rPr>
      </w:pPr>
      <w:r>
        <w:rPr>
          <w:spacing w:val="2"/>
          <w:lang w:val="el-GR"/>
        </w:rPr>
        <w:t>Σε περίπτωση μη καταβολής από τους υπόχρεους του αναλογούντος τέλους εντός της νόμιμης προθεσμίας, τότε οι θέσεις που τους διατέθηκαν θεωρούνται χηρευάμενες και μπορούν αμέσως μετά την παρέλευση άπρακτης της προθεσμίας να διατεθούν εκ νέου. Το ίδιο ισχύει και σε περίπτωση μη συμμετοχής τους στην Εμποροπανήγυρη, εφόσον προηγουμένως έχουν πληρώσει το αναλογούν τέλος και λάβει σχετική άδεια. Επιστροφή καταβληθέντος ποσού δύναται να συμβεί μόνο με αιτιολογημένη απόφαση της Επιτροπής διεξαγωγής Εμποροπανήγυρης υπό την αυστηρή προϋπόθεση ότι η μη συμμετοχή τους οφείλεται αποδεδειγμένα σε ανωτέρα βία.</w:t>
      </w:r>
    </w:p>
    <w:p>
      <w:pPr>
        <w:pStyle w:val="Normal"/>
        <w:rPr>
          <w:spacing w:val="2"/>
          <w:lang w:val="el-GR"/>
        </w:rPr>
      </w:pPr>
      <w:r>
        <w:rPr>
          <w:spacing w:val="2"/>
          <w:lang w:val="el-GR"/>
        </w:rPr>
      </w:r>
    </w:p>
    <w:p>
      <w:pPr>
        <w:pStyle w:val="Normal"/>
        <w:rPr>
          <w:spacing w:val="2"/>
          <w:lang w:val="el-GR"/>
        </w:rPr>
      </w:pPr>
      <w:r>
        <w:rPr>
          <w:spacing w:val="2"/>
          <w:lang w:val="el-GR"/>
        </w:rPr>
        <w:t>Αντίγραφο του διπλοτύπου κατάθεσης υποχρεωτικά κατατίθεται από τον ενδιαφερόμενο στο αρμόδιο Τμήμα του Δήμου, προκειμένου να εκδοθεί η άδεια συμμετοχής, στο σώμα της οποίας αναγράφεται ο αριθμός του γραμματίου είσπραξης.</w:t>
      </w:r>
    </w:p>
    <w:p>
      <w:pPr>
        <w:pStyle w:val="Normal"/>
        <w:rPr>
          <w:lang w:val="el-GR"/>
        </w:rPr>
      </w:pPr>
      <w:r>
        <w:rPr>
          <w:lang w:val="el-GR"/>
        </w:rPr>
      </w:r>
    </w:p>
    <w:p>
      <w:pPr>
        <w:pStyle w:val="Normal"/>
        <w:rPr/>
      </w:pPr>
      <w:r>
        <w:rPr>
          <w:lang w:val="el-GR"/>
        </w:rPr>
        <w:t xml:space="preserve">Για οποιοδήποτε θέμα που δεν καλύπτεται από την παρούσα προκήρυξη, ισχύει η υπ’ αριθ. 272/11.07.2023 </w:t>
      </w:r>
      <w:r>
        <w:rPr/>
        <w:t xml:space="preserve">Απόφαση του Δημοτικού Συμβουλίου </w:t>
      </w:r>
      <w:r>
        <w:rPr>
          <w:lang w:val="el-GR"/>
        </w:rPr>
        <w:t>Καρδίτσας</w:t>
      </w:r>
      <w:r>
        <w:rPr/>
        <w:t xml:space="preserve"> </w:t>
      </w:r>
      <w:r>
        <w:rPr>
          <w:lang w:val="el-GR"/>
        </w:rPr>
        <w:t>«</w:t>
      </w:r>
      <w:r>
        <w:rPr>
          <w:i/>
          <w:iCs/>
          <w:lang w:val="el-GR"/>
        </w:rPr>
        <w:t>Ε</w:t>
      </w:r>
      <w:r>
        <w:rPr>
          <w:i/>
          <w:iCs/>
        </w:rPr>
        <w:t xml:space="preserve">γκριση Κανονισμού Οργάνωσης &amp; Λειτουργίας Παραδοσιακής Εμποροπανήγυρης </w:t>
      </w:r>
      <w:r>
        <w:rPr>
          <w:i/>
          <w:iCs/>
          <w:lang w:val="el-GR"/>
        </w:rPr>
        <w:t>Καρδίτσας</w:t>
      </w:r>
      <w:r>
        <w:rPr>
          <w:lang w:val="el-GR"/>
        </w:rPr>
        <w:t>»</w:t>
      </w:r>
      <w:r>
        <w:rPr/>
        <w:t xml:space="preserve"> (Α</w:t>
      </w:r>
      <w:r>
        <w:rPr>
          <w:lang w:val="el-GR"/>
        </w:rPr>
        <w:t>ΔΑ</w:t>
      </w:r>
      <w:r>
        <w:rPr/>
        <w:t>:</w:t>
      </w:r>
      <w:r>
        <w:rPr>
          <w:lang w:val="el-GR"/>
        </w:rPr>
        <w:t xml:space="preserve"> ΩΖΘ8ΩΕΗ-Φ87</w:t>
      </w:r>
      <w:r>
        <w:rPr/>
        <w:t>)</w:t>
      </w:r>
      <w:r>
        <w:rPr>
          <w:lang w:val="el-GR"/>
        </w:rPr>
        <w:t xml:space="preserve"> όπως τροποποιήθηκε και ισχύει έως σήμερα.</w:t>
      </w:r>
    </w:p>
    <w:p>
      <w:pPr>
        <w:pStyle w:val="Normal"/>
        <w:rPr>
          <w:lang w:val="el-GR"/>
        </w:rPr>
      </w:pPr>
      <w:r>
        <w:rPr>
          <w:lang w:val="el-GR"/>
        </w:rPr>
      </w:r>
    </w:p>
    <w:p>
      <w:pPr>
        <w:pStyle w:val="Normal"/>
        <w:rPr/>
      </w:pPr>
      <w:r>
        <w:rPr/>
        <w:t>Για οποιαδήποτε  διευκρίνιση οι ενδιαφερόμενοι μπορούν να απευθύνονται στο αρμόδιο</w:t>
      </w:r>
      <w:r>
        <w:rPr>
          <w:lang w:val="el-GR"/>
        </w:rPr>
        <w:t xml:space="preserve"> </w:t>
      </w:r>
      <w:r>
        <w:rPr>
          <w:b/>
          <w:bCs/>
          <w:lang w:val="el-GR"/>
        </w:rPr>
        <w:t xml:space="preserve">Τμήμα </w:t>
      </w:r>
      <w:r>
        <w:rPr>
          <w:b/>
          <w:bCs/>
        </w:rPr>
        <w:t>Αδειοδοτήσεων, Ρύθμισης Εμπορικών Δραστηριοτήτων &amp; Λαϊκών Αγορών</w:t>
      </w:r>
      <w:r>
        <w:rPr/>
        <w:t xml:space="preserve"> της Δ/νσης Οικονομικών Υπηρεσιών του Δήμου Καρδίτσας (</w:t>
      </w:r>
      <w:r>
        <w:rPr>
          <w:i/>
          <w:iCs/>
        </w:rPr>
        <w:t xml:space="preserve">τηλ.: </w:t>
      </w:r>
      <w:r>
        <w:rPr>
          <w:i/>
          <w:iCs/>
          <w:lang w:val="en-US"/>
        </w:rPr>
        <w:t>2441554074</w:t>
      </w:r>
      <w:r>
        <w:rPr/>
        <w:t>)</w:t>
      </w:r>
      <w:r>
        <w:rPr>
          <w:lang w:val="el-GR"/>
        </w:rPr>
        <w:t>.</w:t>
      </w:r>
    </w:p>
    <w:p>
      <w:pPr>
        <w:pStyle w:val="Normal"/>
        <w:rPr/>
      </w:pPr>
      <w:r>
        <w:rPr/>
      </w:r>
    </w:p>
    <w:p>
      <w:pPr>
        <w:pStyle w:val="Normal"/>
        <w:rPr/>
      </w:pPr>
      <w:r>
        <w:rPr/>
        <w:t xml:space="preserve">Η  παρούσα προκήρυξη θα αναρτηθεί στην επίσημη ιστοσελίδα του Δήμου </w:t>
      </w:r>
      <w:r>
        <w:rPr>
          <w:lang w:val="el-GR"/>
        </w:rPr>
        <w:t xml:space="preserve">Καρδίτσας </w:t>
      </w:r>
      <w:r>
        <w:rPr/>
        <w:t>και στον Πίνακα Ανακοινώσεων του Δήμου, ενώ περίληψη αυτής θα δημοσιευθεί με δαπάνες του Δήμου σε μία εβδομαδιαία τοπική εφημερίδα.</w:t>
      </w:r>
    </w:p>
    <w:p>
      <w:pPr>
        <w:pStyle w:val="Normal"/>
        <w:rPr/>
      </w:pPr>
      <w:r>
        <w:rPr/>
      </w:r>
    </w:p>
    <w:p>
      <w:pPr>
        <w:pStyle w:val="Normal"/>
        <w:rPr/>
      </w:pPr>
      <w:r>
        <w:rPr/>
      </w:r>
    </w:p>
    <w:p>
      <w:pPr>
        <w:pStyle w:val="Normal"/>
        <w:jc w:val="center"/>
        <w:rPr>
          <w:lang w:val="el-GR"/>
        </w:rPr>
      </w:pPr>
      <w:r>
        <w:rPr>
          <w:lang w:val="el-GR"/>
        </w:rPr>
        <w:t>Η</w:t>
      </w:r>
      <w:r>
        <w:rPr/>
        <w:t xml:space="preserve"> </w:t>
      </w:r>
      <w:r>
        <w:rPr>
          <w:lang w:val="el-GR"/>
        </w:rPr>
        <w:t>Αρμόδια Αντιδήμαρχος</w:t>
      </w:r>
    </w:p>
    <w:p>
      <w:pPr>
        <w:pStyle w:val="Normal"/>
        <w:jc w:val="center"/>
        <w:rPr>
          <w:lang w:val="el-GR"/>
        </w:rPr>
      </w:pPr>
      <w:r>
        <w:rPr>
          <w:lang w:val="el-GR"/>
        </w:rPr>
        <w:t>Επιχειρηματικών Δραστηριοτήτων και Δημοτικής Αστυνομίας</w:t>
      </w:r>
    </w:p>
    <w:p>
      <w:pPr>
        <w:pStyle w:val="Normal"/>
        <w:jc w:val="center"/>
        <w:rPr/>
      </w:pPr>
      <w:r>
        <w:rPr/>
      </w:r>
    </w:p>
    <w:p>
      <w:pPr>
        <w:pStyle w:val="Normal"/>
        <w:jc w:val="center"/>
        <w:rPr/>
      </w:pPr>
      <w:r>
        <w:rPr/>
      </w:r>
    </w:p>
    <w:p>
      <w:pPr>
        <w:pStyle w:val="Normal"/>
        <w:jc w:val="center"/>
        <w:rPr>
          <w:lang w:val="el-GR"/>
        </w:rPr>
      </w:pPr>
      <w:r>
        <w:rPr>
          <w:lang w:val="el-GR"/>
        </w:rPr>
        <w:t>ΜΑΚΡΗ ΟΛΓΑ</w:t>
      </w:r>
    </w:p>
    <w:sectPr>
      <w:type w:val="nextPage"/>
      <w:pgSz w:w="11906" w:h="16838"/>
      <w:pgMar w:left="1440" w:right="144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a1" w:characterSet="windows-1253"/>
    <w:family w:val="roman"/>
    <w:pitch w:val="variable"/>
  </w:font>
  <w:font w:name="Calibri">
    <w:charset w:val="a1" w:characterSet="windows-1253"/>
    <w:family w:val="roman"/>
    <w:pitch w:val="variable"/>
  </w:font>
  <w:font w:name="Times New Roman">
    <w:charset w:val="a1" w:characterSet="windows-1253"/>
    <w:family w:val="roman"/>
    <w:pitch w:val="variable"/>
  </w:font>
  <w:font w:name="Courier PS">
    <w:altName w:val="Times New Roman"/>
    <w:charset w:val="a1" w:characterSet="windows-1253"/>
    <w:family w:val="roman"/>
    <w:pitch w:val="variable"/>
  </w:font>
  <w:font w:name="Tahoma">
    <w:charset w:val="a1" w:characterSet="windows-1253"/>
    <w:family w:val="roman"/>
    <w:pitch w:val="variable"/>
  </w:font>
  <w:font w:name="Arial Unicode MS">
    <w:charset w:val="a1" w:characterSet="windows-1253"/>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2">
    <w:lvl w:ilvl="0">
      <w:start w:val="1"/>
      <w:numFmt w:val="bullet"/>
      <w:lvlText w:val="o"/>
      <w:lvlJc w:val="start"/>
      <w:pPr>
        <w:tabs>
          <w:tab w:val="num" w:pos="0"/>
        </w:tabs>
        <w:ind w:start="720" w:hanging="360"/>
      </w:pPr>
      <w:rPr>
        <w:rFonts w:ascii="Courier New" w:hAnsi="Courier New" w:cs="Courier New"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3">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4"/>
        <w:szCs w:val="24"/>
        <w:lang w:val="en-G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e19fa"/>
    <w:pPr>
      <w:widowControl/>
      <w:suppressAutoHyphens w:val="true"/>
      <w:bidi w:val="0"/>
      <w:spacing w:before="0" w:after="0"/>
      <w:jc w:val="start"/>
    </w:pPr>
    <w:rPr>
      <w:rFonts w:ascii="Times New Roman" w:hAnsi="Times New Roman" w:eastAsia="Times New Roman" w:cs="Times New Roman"/>
      <w:color w:val="auto"/>
      <w:kern w:val="0"/>
      <w:sz w:val="24"/>
      <w:szCs w:val="24"/>
      <w:lang w:val="en-GR" w:eastAsia="en-GB" w:bidi="ar-SA"/>
      <w14:ligatures w14:val="none"/>
    </w:rPr>
  </w:style>
  <w:style w:type="character" w:styleId="DefaultParagraphFont" w:default="1">
    <w:name w:val="Default Paragraph Font"/>
    <w:uiPriority w:val="1"/>
    <w:semiHidden/>
    <w:unhideWhenUsed/>
    <w:qFormat/>
    <w:rPr/>
  </w:style>
  <w:style w:type="character" w:styleId="Strong">
    <w:name w:val="Strong"/>
    <w:basedOn w:val="DefaultParagraphFont"/>
    <w:uiPriority w:val="22"/>
    <w:qFormat/>
    <w:rsid w:val="000875ba"/>
    <w:rPr>
      <w:b/>
      <w:bCs/>
    </w:rPr>
  </w:style>
  <w:style w:type="character" w:styleId="Style14">
    <w:name w:val="Σύνδεσμος διαδικτύου"/>
    <w:basedOn w:val="DefaultParagraphFont"/>
    <w:uiPriority w:val="99"/>
    <w:unhideWhenUsed/>
    <w:rsid w:val="00e33613"/>
    <w:rPr>
      <w:color w:val="0563C1" w:themeColor="hyperlink"/>
      <w:u w:val="single"/>
    </w:rPr>
  </w:style>
  <w:style w:type="character" w:styleId="UnresolvedMention">
    <w:name w:val="Unresolved Mention"/>
    <w:basedOn w:val="DefaultParagraphFont"/>
    <w:uiPriority w:val="99"/>
    <w:semiHidden/>
    <w:unhideWhenUsed/>
    <w:qFormat/>
    <w:rsid w:val="00e33613"/>
    <w:rPr>
      <w:color w:val="605E5C"/>
      <w:shd w:fill="E1DFDD" w:val="clear"/>
    </w:rPr>
  </w:style>
  <w:style w:type="paragraph" w:styleId="Style15" w:customStyle="1">
    <w:name w:val="Επικεφαλίδα"/>
    <w:basedOn w:val="Normal"/>
    <w:next w:val="Style16"/>
    <w:qFormat/>
    <w:pPr>
      <w:keepNext w:val="true"/>
      <w:spacing w:before="240" w:after="120"/>
    </w:pPr>
    <w:rPr>
      <w:rFonts w:ascii="Courier PS;Times New Roman" w:hAnsi="Courier PS;Times New Roman" w:eastAsia="PingFang SC" w:cs="Arial Unicode MS"/>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ascii="Tahoma" w:hAnsi="Tahoma" w:cs="Arial Unicode MS"/>
    </w:rPr>
  </w:style>
  <w:style w:type="paragraph" w:styleId="Style18">
    <w:name w:val="Caption"/>
    <w:basedOn w:val="Normal"/>
    <w:qFormat/>
    <w:pPr>
      <w:suppressLineNumbers/>
      <w:spacing w:before="120" w:after="120"/>
    </w:pPr>
    <w:rPr>
      <w:rFonts w:cs="Arial"/>
      <w:i/>
      <w:iCs/>
      <w:sz w:val="24"/>
      <w:szCs w:val="24"/>
    </w:rPr>
  </w:style>
  <w:style w:type="paragraph" w:styleId="Style19" w:customStyle="1">
    <w:name w:val="Ευρετήριο"/>
    <w:basedOn w:val="Normal"/>
    <w:qFormat/>
    <w:pPr>
      <w:suppressLineNumbers/>
    </w:pPr>
    <w:rPr>
      <w:rFonts w:ascii="Courier PS;Times New Roman" w:hAnsi="Courier PS;Times New Roman" w:cs="Arial Unicode MS"/>
    </w:rPr>
  </w:style>
  <w:style w:type="paragraph" w:styleId="Caption">
    <w:name w:val="caption"/>
    <w:basedOn w:val="Normal"/>
    <w:qFormat/>
    <w:pPr>
      <w:suppressLineNumbers/>
      <w:spacing w:before="120" w:after="120"/>
    </w:pPr>
    <w:rPr>
      <w:rFonts w:ascii="Courier PS;Times New Roman" w:hAnsi="Courier PS;Times New Roman" w:cs="Arial Unicode MS"/>
      <w:i/>
      <w:iCs/>
    </w:rPr>
  </w:style>
  <w:style w:type="paragraph" w:styleId="ListParagraph">
    <w:name w:val="List Paragraph"/>
    <w:basedOn w:val="Normal"/>
    <w:uiPriority w:val="34"/>
    <w:qFormat/>
    <w:rsid w:val="00397a58"/>
    <w:pPr>
      <w:spacing w:before="0" w:after="0"/>
      <w:ind w:start="720" w:hanging="0"/>
      <w:contextualSpacing/>
    </w:pPr>
    <w:rPr/>
  </w:style>
  <w:style w:type="paragraph" w:styleId="NormalWeb">
    <w:name w:val="Normal (Web)"/>
    <w:basedOn w:val="Normal"/>
    <w:uiPriority w:val="99"/>
    <w:semiHidden/>
    <w:unhideWhenUsed/>
    <w:qFormat/>
    <w:rsid w:val="000875ba"/>
    <w:pPr>
      <w:spacing w:beforeAutospacing="1" w:afterAutospacing="1"/>
    </w:pPr>
    <w:rPr/>
  </w:style>
  <w:style w:type="paragraph" w:styleId="Style20" w:customStyle="1">
    <w:name w:val="Περιεχόμενα πίνακα"/>
    <w:qFormat/>
    <w:rsid w:val="00c36aff"/>
    <w:pPr>
      <w:widowControl/>
      <w:suppressAutoHyphens w:val="true"/>
      <w:bidi w:val="0"/>
      <w:spacing w:before="0" w:after="0"/>
      <w:jc w:val="start"/>
    </w:pPr>
    <w:rPr>
      <w:rFonts w:ascii="Arial Unicode MS" w:hAnsi="Arial Unicode MS" w:eastAsia="Arial Unicode MS" w:cs="Arial Unicode MS"/>
      <w:color w:val="000000"/>
      <w:kern w:val="0"/>
      <w:sz w:val="24"/>
      <w:szCs w:val="24"/>
      <w:u w:val="none" w:color="000000"/>
      <w:lang w:val="el-GR" w:eastAsia="el-GR" w:bidi="ar-SA"/>
      <w14:ligatures w14:val="none"/>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image" Target="media/image2.wmf"/><Relationship Id="rId4" Type="http://schemas.openxmlformats.org/officeDocument/2006/relationships/hyperlink" Target="mailto:gealk@dimoskarditsas.gov.gr" TargetMode="External"/><Relationship Id="rId5" Type="http://schemas.openxmlformats.org/officeDocument/2006/relationships/hyperlink" Target="mailto:municipality@dimoskarditsas.gov.gr" TargetMode="Externa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Application>LibreOffice/7.1.1.2$Windows_X86_64 LibreOffice_project/fe0b08f4af1bacafe4c7ecc87ce55bb426164676</Application>
  <AppVersion>15.0000</AppVersion>
  <Pages>8</Pages>
  <Words>2357</Words>
  <Characters>15006</Characters>
  <CharactersWithSpaces>17205</CharactersWithSpaces>
  <Paragraphs>169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2023-07-06T17:58:00Z</dcterms:created>
  <dc:creator>Κωνσταντίνος Κορκόντζελος</dc:creator>
  <dc:description/>
  <dc:language>el-GR</dc:language>
  <cp:lastModifiedBy/>
  <cp:lastPrinted>2025-09-24T12:56:29Z</cp:lastPrinted>
  <dcterms:modified xsi:type="dcterms:W3CDTF">2025-09-24T12:56:01Z</dcterms:modified>
  <cp:revision>38</cp:revision>
  <dc:subject/>
  <dc:title/>
</cp:coreProperties>
</file>

<file path=docProps/custom.xml><?xml version="1.0" encoding="utf-8"?>
<Properties xmlns="http://schemas.openxmlformats.org/officeDocument/2006/custom-properties" xmlns:vt="http://schemas.openxmlformats.org/officeDocument/2006/docPropsVTypes"/>
</file>