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868A" w14:textId="48BA4854" w:rsidR="00537C13" w:rsidRPr="00537C13" w:rsidRDefault="00537C13" w:rsidP="00537C13">
      <w:pPr>
        <w:jc w:val="center"/>
        <w:rPr>
          <w:b/>
          <w:bCs/>
          <w:sz w:val="36"/>
          <w:szCs w:val="36"/>
        </w:rPr>
      </w:pPr>
      <w:r w:rsidRPr="00537C13">
        <w:rPr>
          <w:b/>
          <w:bCs/>
          <w:sz w:val="36"/>
          <w:szCs w:val="36"/>
        </w:rPr>
        <w:t>Event 12 – Σεμινάριο αξιολόγησης</w:t>
      </w:r>
    </w:p>
    <w:p w14:paraId="00000001" w14:textId="31B0F1CF" w:rsidR="00400226" w:rsidRDefault="00000000">
      <w:pPr>
        <w:jc w:val="both"/>
      </w:pPr>
      <w:r>
        <w:t>Στο πλαίσιο της Εκδήλωσης 12, στις 23-24 Σεπτεμβρίου 2024, η UNIRIJEKA και η ŽMERGO διοργάνωσαν διήμερο διακρατικό σεμινάριο αξιολόγησης στην Opatija της Κροατίας,</w:t>
      </w:r>
      <w:r w:rsidR="002A6F1A">
        <w:t xml:space="preserve"> ως επιτόπια εκδήλωση</w:t>
      </w:r>
      <w:r>
        <w:t xml:space="preserve"> με στόχο τη συζήτηση και ανταλλαγή απόψεων μεταξύ όλων των εταίρων και των εκπαιδευτών σχετικά με τα αποτελέσματα της Εκδήλωσης 11.  Σε δύο ημέρες, 3</w:t>
      </w:r>
      <w:r w:rsidR="002A6F1A">
        <w:t>8</w:t>
      </w:r>
      <w:r>
        <w:t xml:space="preserve"> συμμετέχοντες παρουσίασαν και συζήτησαν τον τρόπο με τον οποίο οι δραστηριότητες του έργου συμβάλλουν στις αλλαγές στις τοπικές κοινότητες.</w:t>
      </w:r>
    </w:p>
    <w:p w14:paraId="3A76E35E" w14:textId="77777777" w:rsidR="002A6F1A" w:rsidRDefault="002A6F1A" w:rsidP="002A6F1A">
      <w:pPr>
        <w:jc w:val="both"/>
      </w:pPr>
      <w:r w:rsidRPr="002A6F1A">
        <w:t>Εκπρόσωποι των CO-GREEN εκπαιδευτών κάθε εταίρου παρουσίασαν και σύγκριναν σημειώσεις σχετικά με τις μεθοδολογίες, τις διαδικασίες και τα αποτελέσματα. Στη συνέχεια, οι εκπαιδευτές του κάθε εταίρου, τοπικοί φορείς και CO-GREEN ενεργοποιητές από την Κροατία περιέγραψαν τις θετικές αλλαγές στις κοινότητες που προέκυψαν από τα εργαστήρια πολιτών και τα τοπικά εργαστήρια.</w:t>
      </w:r>
    </w:p>
    <w:p w14:paraId="3517711E" w14:textId="77777777" w:rsidR="003032D9" w:rsidRDefault="003032D9" w:rsidP="003032D9">
      <w:pPr>
        <w:jc w:val="both"/>
      </w:pPr>
      <w:r w:rsidRPr="003032D9">
        <w:rPr>
          <w:b/>
          <w:bCs/>
        </w:rPr>
        <w:t>Ιταλία:</w:t>
      </w:r>
      <w:r>
        <w:t xml:space="preserve"> Σε τρεις κοινότητες, Cavalese, Magione και Cosenza-Panebianco, μια ομάδα από πολίτες και κατοίκους έχει δημιουργηθεί και ενεργοποιηθεί, για την καλή ευημερία της κοινότητας. Δημιουργήθηκαν δίκτυα και σχέσεις με σχολεία, πανεπιστήμια, επιχειρήσεις, και δήμους. Εγχειρίδια για ''κοινότητα'' και ''πράσινη κοινότητα'' έχουν δημιουργηθεί και διανεμηθεί σε σχολεία και κοινότητες. Οι τρεις κοινότητες συνεργάζονται για την παραγωγή ενός βίντεο και συνεντεύξεων.</w:t>
      </w:r>
    </w:p>
    <w:p w14:paraId="5F5B63A3" w14:textId="77777777" w:rsidR="003032D9" w:rsidRDefault="003032D9" w:rsidP="003032D9">
      <w:pPr>
        <w:jc w:val="both"/>
      </w:pPr>
      <w:r w:rsidRPr="003032D9">
        <w:rPr>
          <w:b/>
          <w:bCs/>
        </w:rPr>
        <w:t>Κροατία:</w:t>
      </w:r>
      <w:r>
        <w:t xml:space="preserve"> Οι εκπαιδευτές και οι ενεργοποιητές από την Κροατία ανέφεραν ότι ο στόχος της κροατικής ομάδας επιτεύχθηκε:</w:t>
      </w:r>
    </w:p>
    <w:p w14:paraId="500A58F4" w14:textId="77777777" w:rsidR="003032D9" w:rsidRDefault="003032D9" w:rsidP="003032D9">
      <w:pPr>
        <w:jc w:val="both"/>
      </w:pPr>
      <w:r>
        <w:t>Η ομάδα ενθάρρυνε με επιτυχία τους ενδιαφερόμενους φορείς (οργανώσεις και άτομα) να συμμετέχουν ενεργά στη διαδικασία της κοινωνικής καινοτομίας στις κοινότητές τους και να ενισχύσει τις συνεργασίες μεταξύ ατόμων και οργανώσεων που συνεργάζονται σε κοινά περιβαλλοντικά ζητήματα. Το ''Πράσινο'' δίκτυο του Primorje-Gorski Kotar δημιουργήθηκε για να συμμετέχει στη λήψη αποφάσεων σχετικά με τα κανάλια διάδοσης και την καταλληλότερη στρατηγική επικοινωνίας μεταξύ των ενώσεων, οργανώσεων και μέσων ενημέρωσης. Ως αποτέλεσμα, η εσωτερική επικοινωνία μεταξύ των μελών, καθώς και η εξωτερική επικοινωνία με το κοινό, έχουν δημιουργηθεί για να ενημερώνουν σχετικά με τα τρέχοντα περιβαλλοντικά γεγονότα και να αυξήσουν τη συμμετοχή των πολιτών στην αντιμετώπιση των προβλημάτων που έχει εντοπίσει το δίκτυο.</w:t>
      </w:r>
    </w:p>
    <w:p w14:paraId="38036255" w14:textId="77777777" w:rsidR="003032D9" w:rsidRDefault="003032D9" w:rsidP="003032D9">
      <w:pPr>
        <w:jc w:val="both"/>
      </w:pPr>
      <w:r>
        <w:t>Τρόποι επικοινωνίας με τους τοπικούς ηγέτες και τους πολίτες: Ενεργοποιητές και μέντορες έμαθαν αποτελεσματικές τεχνικές επικοινωνίας και διερεύνησαν τρόπους κινητοποίησης των πολιτών για βιώσιμη δράση. Οι συμμετέχοντες κατά τη διάρκεια της υλοποίησης του έργου εντόπισαν δράσεις που απαιτούνται στην τοπική κοινωνία και ορισμένες από αυτές υλοποιήθηκαν φέρνοντας αλλαγές μέσω του έργου CO GREEN.</w:t>
      </w:r>
    </w:p>
    <w:p w14:paraId="6FD4C405" w14:textId="74E01A9C" w:rsidR="003032D9" w:rsidRDefault="003032D9" w:rsidP="003032D9">
      <w:pPr>
        <w:jc w:val="both"/>
      </w:pPr>
      <w:r w:rsidRPr="003032D9">
        <w:rPr>
          <w:b/>
          <w:bCs/>
        </w:rPr>
        <w:t>Πολωνία:</w:t>
      </w:r>
      <w:r>
        <w:t xml:space="preserve"> Οι ενεργοποιητές παρουσίασαν τους στόχους των τοπικών έργων (αναζωογόνηση μιας υποβαθμισμένης περιοχής της οδού Stawidłowa στο Elbląg, βιβλίο παραμυθιών και επέκταση του κοινοτικού κήπου στο Starachowice), τις πρωτότυπες μεθόδους εργασίας τους με τις κοινότητες, μαζί με σχόλια σχετικά με την εξέλιξή τους. Οι ενεργοποιητές υπογράμμισαν τα αποτελέσματα που πέτυχαν οι πρωτοβουλίες του έργου: την ενσωμάτωση των γενεών, την ενσωμάτωση των τοπικών κοινοτήτων, την ενεργοποίηση των τοπικών ηγετών και την ενίσχυση της συνεργασίας. Οι συμμετέχοντες στο σεμινάριο μελέτησαν </w:t>
      </w:r>
      <w:r>
        <w:lastRenderedPageBreak/>
        <w:t>φωτογραφική τεκμηρίωση των δραστηριοτήτων στο Elbląg και ένα βιβλίο που εκδόθηκε από τους εταίρους στο Starachowice, το οποίο ήταν ένα από τα αποτελέσματα του έργου.</w:t>
      </w:r>
    </w:p>
    <w:p w14:paraId="5D653397" w14:textId="5FB83FDD" w:rsidR="002A6F1A" w:rsidRDefault="00000000" w:rsidP="002A6F1A">
      <w:pPr>
        <w:jc w:val="both"/>
      </w:pPr>
      <w:r>
        <w:rPr>
          <w:b/>
        </w:rPr>
        <w:t>Ελλάδα:</w:t>
      </w:r>
      <w:r w:rsidR="002A6F1A">
        <w:t xml:space="preserve"> Στην κοινότητα της Καρδίτσας, διοργανώθηκαν 10 επιτόπιες συναντήσεις με πολλούς συμμετέχοντες, με διάφορες μορφές, όπως εργαστήρια, συνέδρια, τοπικά σεμινάρια, στρογγυλά τραπέζια και ομάδες εστίασης, με στόχο το έργο να εμπνεύσει την κοινοτική δράση για την πράσινη μετάβαση, η οποία θα επικυρωθεί και θα υποστηριχθεί από τους πολίτες.</w:t>
      </w:r>
    </w:p>
    <w:p w14:paraId="0E790F69" w14:textId="77777777" w:rsidR="002A6F1A" w:rsidRDefault="002A6F1A" w:rsidP="002A6F1A">
      <w:pPr>
        <w:jc w:val="both"/>
      </w:pPr>
      <w:r>
        <w:t>Από τις συναντήσεις αυτές προέκυψαν, μετά από χαρτογράφηση, οι βασικοί εμπλεκόμενοι φορείς, εκ των οποίων πέντε έγιναν οι εκπαιδευτές και δεκαπέντε οι πράσινοι ενεργοποιητές.</w:t>
      </w:r>
    </w:p>
    <w:p w14:paraId="5550EF22" w14:textId="77777777" w:rsidR="002A6F1A" w:rsidRDefault="002A6F1A" w:rsidP="002A6F1A">
      <w:pPr>
        <w:jc w:val="both"/>
      </w:pPr>
      <w:r>
        <w:t>Αναδείχθηκαν επίσης τα σημαντικά ζητήματα της πράσινης μετάβασης που αφορούν την ευρύτερη περιοχή της Καρδίτσας:</w:t>
      </w:r>
    </w:p>
    <w:p w14:paraId="1CF2C9D7" w14:textId="77777777" w:rsidR="002A6F1A" w:rsidRDefault="002A6F1A" w:rsidP="002A6F1A">
      <w:pPr>
        <w:jc w:val="both"/>
      </w:pPr>
      <w:r>
        <w:t>- Πρόληψη και προστασία από επαναλαμβανόμενες φυσικές καταστροφές λόγω της κλιματικής αλλαγής</w:t>
      </w:r>
    </w:p>
    <w:p w14:paraId="2935F275" w14:textId="77777777" w:rsidR="002A6F1A" w:rsidRDefault="002A6F1A" w:rsidP="002A6F1A">
      <w:pPr>
        <w:jc w:val="both"/>
      </w:pPr>
      <w:r>
        <w:t>- Προώθηση της οικολογικής συνείδησης των κατοίκων (βιώσιμη κινητικότητα, ανακύκλωση, κυκλική οικονομία, μείωση της χρήσης χημικών ουσιών, εθελοντισμός και συνεργασία)</w:t>
      </w:r>
    </w:p>
    <w:p w14:paraId="15A33292" w14:textId="77777777" w:rsidR="002A6F1A" w:rsidRDefault="002A6F1A" w:rsidP="002A6F1A">
      <w:pPr>
        <w:jc w:val="both"/>
      </w:pPr>
      <w:r>
        <w:t>- Μείωση του περιβαλλοντικού αποτυπώματος (εναλλακτικές μορφές ενέργειας, ενεργειακές κοινότητες, βιομάζα, ενεργητικά παθητικά κτίρια)</w:t>
      </w:r>
    </w:p>
    <w:p w14:paraId="30D7CA21" w14:textId="77777777" w:rsidR="002A6F1A" w:rsidRDefault="002A6F1A" w:rsidP="002A6F1A">
      <w:pPr>
        <w:jc w:val="both"/>
      </w:pPr>
      <w:r>
        <w:t>- Πολεοδομικός σχεδιασμός και ανάπτυξη/βελτίωση των χώρων πρασίνου στην πόλη (βελτίωση της ποιότητας ζωής, συνεργασία μεταξύ φορέων και κυβέρνησης)</w:t>
      </w:r>
    </w:p>
    <w:p w14:paraId="61722B94" w14:textId="77777777" w:rsidR="002A6F1A" w:rsidRDefault="002A6F1A" w:rsidP="002A6F1A">
      <w:pPr>
        <w:jc w:val="both"/>
      </w:pPr>
      <w:r>
        <w:t>- Προστασία της υπαίθρου και των προστατευόμενων περιοχών και της βιοποικιλότητας (χρήση γης, αναγεννητική γεωργία χωρίς χημικά, προστασία ειδών χλωρίδας και πανίδας)</w:t>
      </w:r>
    </w:p>
    <w:p w14:paraId="73FEB390" w14:textId="77777777" w:rsidR="002A6F1A" w:rsidRDefault="002A6F1A" w:rsidP="002A6F1A">
      <w:pPr>
        <w:jc w:val="both"/>
      </w:pPr>
      <w:r>
        <w:t>- Διαχείριση των υδάτινων πόρων (υπερβολική άρδευση, ρύπανση του υδροφόρου ορίζοντα, διασφάλιση της ποιότητας του νερού).</w:t>
      </w:r>
    </w:p>
    <w:p w14:paraId="0D3BA39C" w14:textId="77777777" w:rsidR="002A6F1A" w:rsidRDefault="002A6F1A" w:rsidP="002A6F1A">
      <w:pPr>
        <w:jc w:val="both"/>
      </w:pPr>
      <w:r>
        <w:t>Έγινε επίσης κατανοητό ότι οι Πράσινοι Ενεργοποιητές είναι πολίτες που στοχεύουν σε κοινωνικές, οικολογικές, οικονομικές και πολιτιστικές αλλαγές που οδηγούν στην πράσινη μετάβαση της κοινότητας και ο ρόλος τους απαιτεί μεταξύ άλλων: να είναι σε θέση να κατανοήσουν τις ανάγκες της τοπικής κοινότητας για πράσινη μετάβαση, να είναι σε θέση να διερευνήσουν τις ευκαιρίες για πράσινη ανάπτυξη, να είναι σε θέση να παρακινήσουν τους πολίτες να συμμετέχουν ενεργά στην κοινότητα, να είναι σε θέση να διεξάγουν απλές έρευνες, μέσω συζητήσεων, ερωτηματολογίων, παρατήρησης, να έχουν διαπραγματευτικές και επικοινωνιακές δεξιότητες και να είναι σε θέση να συνδυάζουν διαφορετικές απόψεις και γνώμες.</w:t>
      </w:r>
    </w:p>
    <w:p w14:paraId="44005ABC" w14:textId="77777777" w:rsidR="002A6F1A" w:rsidRDefault="002A6F1A" w:rsidP="002A6F1A">
      <w:pPr>
        <w:jc w:val="both"/>
      </w:pPr>
      <w:r>
        <w:t>Επιπλέον, η 40ωρη εκπαίδευση των πράσινων ενεργοποιητών, είχε ως αποτέλεσμα την ανάπτυξη δύο ολοκληρωμένων προτάσεων που επικεντρώνονται σε πράσινες πρωτοβουλίες που μπορεί να υλοποιήσει η κοινότητα Καρδίτσας για την αντιμετώπιση πραγματικών προκλήσεων και αυτές είναι:</w:t>
      </w:r>
    </w:p>
    <w:p w14:paraId="5CA5A793" w14:textId="3F586340" w:rsidR="002A6F1A" w:rsidRDefault="002A6F1A" w:rsidP="003032D9">
      <w:pPr>
        <w:pStyle w:val="a5"/>
        <w:numPr>
          <w:ilvl w:val="0"/>
          <w:numId w:val="2"/>
        </w:numPr>
        <w:jc w:val="both"/>
      </w:pPr>
      <w:r>
        <w:t xml:space="preserve">‘’Πιλοτική αξιοποίηση υπολειμμάτων δασικής βιομάζας στην περιοχή ευθύνης του Δασαρχείου Μουζακίου’’ με κύριο στόχο την εκπαίδευση και ενημέρωση των επαγγελματικών ομάδων που εμπλέκονται στη δασική εκμετάλλευση και την ενημέρωση των τοπικών κοινωνιών για τις αξίες της κυκλικής βιοοικονομίας, την </w:t>
      </w:r>
      <w:r>
        <w:lastRenderedPageBreak/>
        <w:t>αξιοποίηση των ιδίων πόρων, τις υπηρεσίες οικοσυστημάτων, τον μετριασμό των επιπτώσεων της κλιματικής αλλαγής, την προστασία της βιοποικιλότητας του εδάφους και τα ενεργειακά οφέλη για τις ευάλωτες κοινωνικές ομάδες.</w:t>
      </w:r>
    </w:p>
    <w:p w14:paraId="5A1AA4F7" w14:textId="624DC21E" w:rsidR="002A6F1A" w:rsidRDefault="002A6F1A" w:rsidP="003032D9">
      <w:pPr>
        <w:pStyle w:val="a5"/>
        <w:numPr>
          <w:ilvl w:val="0"/>
          <w:numId w:val="2"/>
        </w:numPr>
        <w:jc w:val="both"/>
      </w:pPr>
      <w:r>
        <w:t>‘’Συντονισμένη απομάκρυνση οικοσκευών από περιοχές που επλήγησαν από τον κυκλώνα Daniel’’ με κύριο στόχο τη διάθεση των οικοσκευών με περιβαλλοντικά ορθό τρόπο μέσω της εκπαίδευσης και ευαισθητοποίησης των κατοίκων, της ενίσχυσης της περιβαλλοντικής ευαισθητοποίησης των εμπλεκόμενων ατόμων και φορέων και της αύξησης του εθελοντισμού και της ενεργού συμμετοχής των κατοίκων.</w:t>
      </w:r>
    </w:p>
    <w:p w14:paraId="0000001A" w14:textId="77777777" w:rsidR="00400226" w:rsidRDefault="00000000">
      <w:pPr>
        <w:jc w:val="both"/>
      </w:pPr>
      <w:r>
        <w:t xml:space="preserve">Τέλος, οι εταίροι του έργου, οι εκπαιδευτές και οι ακτιβιστές συζήτησαν την παρακαταθήκη του προγράμματος CO-GREEN και κατέληξαν στο συμπέρασμα ότι οι εκπαιδευτές και οι εταίροι του έργου έπαιξαν καθοριστικό ρόλο στην παρακίνηση των εμψυχωτών και στην παροχή ολοκληρωμένης κατάρτισης και υποστήριξης.  </w:t>
      </w:r>
    </w:p>
    <w:p w14:paraId="0000001B" w14:textId="579AF3E8" w:rsidR="00400226" w:rsidRDefault="00000000">
      <w:pPr>
        <w:jc w:val="both"/>
      </w:pPr>
      <w:bookmarkStart w:id="0" w:name="_heading=h.gjdgxs" w:colFirst="0" w:colLast="0"/>
      <w:bookmarkEnd w:id="0"/>
      <w:r>
        <w:t>Οι ενεργοποιητές του CO-GREEN χρησιμοποίησαν διάφορα εργαλεία και οργάνωσαν συναντήσεις για την αντιμετώπιση σημαντικών θεμάτων όπως η ανάπτυξη της κοινότητας, η βιωσιμότητα και η ισότητα των φύλων. Η μεθοδολογία του έργου ενθάρρυνε τους κατοίκους να αναλάβουν τα ηνία, προωθώντας την ενεργό συμμετοχή των πολιτών και δημιουργώντας χώρους χωρίς αποκλεισμούς για ανταλλαγή απόψεων.</w:t>
      </w:r>
      <w:r w:rsidR="00484A4A">
        <w:t xml:space="preserve"> </w:t>
      </w:r>
      <w:r w:rsidR="00484A4A" w:rsidRPr="00484A4A">
        <w:t>Ως αποτέλεσμα, προέκυψαν νέες μορφές ενεργού συμμετοχής των πολιτών, που οδήγησαν στη δημιουργία νέων οργανώσεων και διαγενεακών αλληλεπιδράσεων εντός των κοινοτήτων.</w:t>
      </w:r>
    </w:p>
    <w:sectPr w:rsidR="00400226">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0610" w14:textId="77777777" w:rsidR="00523D61" w:rsidRDefault="00523D61" w:rsidP="003417DE">
      <w:pPr>
        <w:spacing w:after="0" w:line="240" w:lineRule="auto"/>
      </w:pPr>
      <w:r>
        <w:separator/>
      </w:r>
    </w:p>
  </w:endnote>
  <w:endnote w:type="continuationSeparator" w:id="0">
    <w:p w14:paraId="2BD8DF3C" w14:textId="77777777" w:rsidR="00523D61" w:rsidRDefault="00523D61" w:rsidP="0034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CFEA" w14:textId="6C75519C" w:rsidR="003417DE" w:rsidRDefault="003417DE">
    <w:pPr>
      <w:pStyle w:val="a7"/>
    </w:pPr>
    <w:r>
      <w:rPr>
        <w:noProof/>
      </w:rPr>
      <w:drawing>
        <wp:inline distT="0" distB="0" distL="0" distR="0" wp14:anchorId="32D8D40E" wp14:editId="44AAEB86">
          <wp:extent cx="468128" cy="709930"/>
          <wp:effectExtent l="0" t="0" r="8255" b="0"/>
          <wp:docPr id="17262676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67639" name="Εικόνα 1726267639"/>
                  <pic:cNvPicPr/>
                </pic:nvPicPr>
                <pic:blipFill>
                  <a:blip r:embed="rId1">
                    <a:extLst>
                      <a:ext uri="{28A0092B-C50C-407E-A947-70E740481C1C}">
                        <a14:useLocalDpi xmlns:a14="http://schemas.microsoft.com/office/drawing/2010/main" val="0"/>
                      </a:ext>
                    </a:extLst>
                  </a:blip>
                  <a:stretch>
                    <a:fillRect/>
                  </a:stretch>
                </pic:blipFill>
                <pic:spPr>
                  <a:xfrm>
                    <a:off x="0" y="0"/>
                    <a:ext cx="472792" cy="717004"/>
                  </a:xfrm>
                  <a:prstGeom prst="rect">
                    <a:avLst/>
                  </a:prstGeom>
                </pic:spPr>
              </pic:pic>
            </a:graphicData>
          </a:graphic>
        </wp:inline>
      </w:drawing>
    </w:r>
    <w:r>
      <w:rPr>
        <w:noProof/>
      </w:rPr>
      <w:t xml:space="preserve">   </w:t>
    </w:r>
    <w:r>
      <w:rPr>
        <w:noProof/>
      </w:rPr>
      <w:drawing>
        <wp:inline distT="0" distB="0" distL="0" distR="0" wp14:anchorId="436E46A7" wp14:editId="540CE204">
          <wp:extent cx="1428750" cy="419067"/>
          <wp:effectExtent l="0" t="0" r="0" b="635"/>
          <wp:docPr id="40057972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9722" name="Εικόνα 400579722"/>
                  <pic:cNvPicPr/>
                </pic:nvPicPr>
                <pic:blipFill>
                  <a:blip r:embed="rId2">
                    <a:extLst>
                      <a:ext uri="{28A0092B-C50C-407E-A947-70E740481C1C}">
                        <a14:useLocalDpi xmlns:a14="http://schemas.microsoft.com/office/drawing/2010/main" val="0"/>
                      </a:ext>
                    </a:extLst>
                  </a:blip>
                  <a:stretch>
                    <a:fillRect/>
                  </a:stretch>
                </pic:blipFill>
                <pic:spPr>
                  <a:xfrm>
                    <a:off x="0" y="0"/>
                    <a:ext cx="1459297" cy="428027"/>
                  </a:xfrm>
                  <a:prstGeom prst="rect">
                    <a:avLst/>
                  </a:prstGeom>
                </pic:spPr>
              </pic:pic>
            </a:graphicData>
          </a:graphic>
        </wp:inline>
      </w:drawing>
    </w:r>
    <w:r>
      <w:rPr>
        <w:noProof/>
      </w:rPr>
      <w:t xml:space="preserve">                                                                                   </w:t>
    </w:r>
    <w:r>
      <w:rPr>
        <w:noProof/>
      </w:rPr>
      <w:drawing>
        <wp:inline distT="0" distB="0" distL="0" distR="0" wp14:anchorId="0C6C71B2" wp14:editId="1B4DA6D7">
          <wp:extent cx="628650" cy="702912"/>
          <wp:effectExtent l="0" t="0" r="0" b="2540"/>
          <wp:docPr id="11090467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4998" cy="710010"/>
                  </a:xfrm>
                  <a:prstGeom prst="rect">
                    <a:avLst/>
                  </a:prstGeom>
                  <a:noFill/>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A270" w14:textId="77777777" w:rsidR="00523D61" w:rsidRDefault="00523D61" w:rsidP="003417DE">
      <w:pPr>
        <w:spacing w:after="0" w:line="240" w:lineRule="auto"/>
      </w:pPr>
      <w:r>
        <w:separator/>
      </w:r>
    </w:p>
  </w:footnote>
  <w:footnote w:type="continuationSeparator" w:id="0">
    <w:p w14:paraId="44868AF0" w14:textId="77777777" w:rsidR="00523D61" w:rsidRDefault="00523D61" w:rsidP="0034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A0B"/>
    <w:multiLevelType w:val="hybridMultilevel"/>
    <w:tmpl w:val="CF4E698A"/>
    <w:lvl w:ilvl="0" w:tplc="679A20A6">
      <w:start w:val="5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29434B"/>
    <w:multiLevelType w:val="hybridMultilevel"/>
    <w:tmpl w:val="6A7EDD9A"/>
    <w:lvl w:ilvl="0" w:tplc="C3E2368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8178798">
    <w:abstractNumId w:val="0"/>
  </w:num>
  <w:num w:numId="2" w16cid:durableId="191990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6"/>
    <w:rsid w:val="0024122B"/>
    <w:rsid w:val="002A6F1A"/>
    <w:rsid w:val="003032D9"/>
    <w:rsid w:val="003417DE"/>
    <w:rsid w:val="00400226"/>
    <w:rsid w:val="00484A4A"/>
    <w:rsid w:val="004D1896"/>
    <w:rsid w:val="00523D61"/>
    <w:rsid w:val="00537C13"/>
    <w:rsid w:val="00564F78"/>
    <w:rsid w:val="006C395E"/>
    <w:rsid w:val="006D4D67"/>
    <w:rsid w:val="007367DD"/>
    <w:rsid w:val="007A2456"/>
    <w:rsid w:val="00801EC6"/>
    <w:rsid w:val="0084576B"/>
    <w:rsid w:val="00AC6827"/>
    <w:rsid w:val="00CB34E1"/>
    <w:rsid w:val="00D93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7909"/>
  <w15:docId w15:val="{463CB758-26F5-4DD8-AE13-09EF594B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B34E1"/>
    <w:pPr>
      <w:ind w:left="720"/>
      <w:contextualSpacing/>
    </w:pPr>
  </w:style>
  <w:style w:type="paragraph" w:styleId="a6">
    <w:name w:val="header"/>
    <w:basedOn w:val="a"/>
    <w:link w:val="Char"/>
    <w:uiPriority w:val="99"/>
    <w:unhideWhenUsed/>
    <w:rsid w:val="003417DE"/>
    <w:pPr>
      <w:tabs>
        <w:tab w:val="center" w:pos="4153"/>
        <w:tab w:val="right" w:pos="8306"/>
      </w:tabs>
      <w:spacing w:after="0" w:line="240" w:lineRule="auto"/>
    </w:pPr>
  </w:style>
  <w:style w:type="character" w:customStyle="1" w:styleId="Char">
    <w:name w:val="Κεφαλίδα Char"/>
    <w:basedOn w:val="a0"/>
    <w:link w:val="a6"/>
    <w:uiPriority w:val="99"/>
    <w:rsid w:val="003417DE"/>
  </w:style>
  <w:style w:type="paragraph" w:styleId="a7">
    <w:name w:val="footer"/>
    <w:basedOn w:val="a"/>
    <w:link w:val="Char0"/>
    <w:uiPriority w:val="99"/>
    <w:unhideWhenUsed/>
    <w:rsid w:val="003417DE"/>
    <w:pPr>
      <w:tabs>
        <w:tab w:val="center" w:pos="4153"/>
        <w:tab w:val="right" w:pos="8306"/>
      </w:tabs>
      <w:spacing w:after="0" w:line="240" w:lineRule="auto"/>
    </w:pPr>
  </w:style>
  <w:style w:type="character" w:customStyle="1" w:styleId="Char0">
    <w:name w:val="Υποσέλιδο Char"/>
    <w:basedOn w:val="a0"/>
    <w:link w:val="a7"/>
    <w:uiPriority w:val="99"/>
    <w:rsid w:val="0034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Hgriy9SDIWUIKN9rfWSpApi6Dw==">CgMxLjAyCGguZ2pkZ3hzOAByITFJU0U3aFNYYklLdTE4U1l4QzVwVTRZcVFpWkdicVpjRg==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1183</Words>
  <Characters>6392</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mahera.m</cp:lastModifiedBy>
  <cp:revision>21</cp:revision>
  <dcterms:created xsi:type="dcterms:W3CDTF">2024-10-31T12:09:00Z</dcterms:created>
  <dcterms:modified xsi:type="dcterms:W3CDTF">2024-11-07T07:31:00Z</dcterms:modified>
</cp:coreProperties>
</file>