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Override PartName="/word/_rels/footnotes.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17"/>
        <w:rPr>
          <w:szCs w:val="22"/>
          <w:lang w:val="el-GR"/>
        </w:rPr>
      </w:pPr>
      <w:r>
        <w:rPr>
          <w:szCs w:val="22"/>
          <w:lang w:val="el-GR"/>
        </w:rPr>
        <w:t xml:space="preserve"> </w:t>
      </w:r>
    </w:p>
    <w:tbl>
      <w:tblPr>
        <w:tblW w:w="16829" w:type="dxa"/>
        <w:jc w:val="left"/>
        <w:tblInd w:w="-531" w:type="dxa"/>
        <w:tblLayout w:type="fixed"/>
        <w:tblCellMar>
          <w:top w:w="0" w:type="dxa"/>
          <w:left w:w="108" w:type="dxa"/>
          <w:bottom w:w="0" w:type="dxa"/>
          <w:right w:w="108" w:type="dxa"/>
        </w:tblCellMar>
        <w:tblLook w:firstRow="0" w:noVBand="0" w:lastRow="0" w:firstColumn="0" w:lastColumn="0" w:noHBand="0" w:val="0000"/>
      </w:tblPr>
      <w:tblGrid>
        <w:gridCol w:w="3572"/>
        <w:gridCol w:w="13256"/>
      </w:tblGrid>
      <w:tr>
        <w:trPr/>
        <w:tc>
          <w:tcPr>
            <w:tcW w:w="3572" w:type="dxa"/>
            <w:tcBorders/>
            <w:shd w:color="auto" w:fill="auto" w:val="clear"/>
          </w:tcPr>
          <w:p>
            <w:pPr>
              <w:pStyle w:val="Normal"/>
              <w:widowControl w:val="false"/>
              <w:spacing w:before="0" w:after="0"/>
              <w:rPr>
                <w:rFonts w:ascii="Calibri" w:hAnsi="Calibri"/>
                <w:sz w:val="28"/>
                <w:szCs w:val="28"/>
              </w:rPr>
            </w:pPr>
            <w:r>
              <w:rPr>
                <w:b/>
                <w:sz w:val="28"/>
                <w:szCs w:val="28"/>
                <w:lang w:val="el-GR"/>
              </w:rPr>
              <w:t xml:space="preserve"> </w:t>
            </w:r>
            <w:r>
              <w:rPr>
                <w:b/>
                <w:sz w:val="24"/>
                <w:szCs w:val="24"/>
                <w:lang w:val="el-GR"/>
              </w:rPr>
              <w:t>ΕΛΛΗΝΙΚΗ ΔΗΜΟΚΡΑΤΙΑ</w:t>
            </w:r>
          </w:p>
          <w:p>
            <w:pPr>
              <w:pStyle w:val="Normal"/>
              <w:widowControl w:val="false"/>
              <w:spacing w:before="0" w:after="0"/>
              <w:rPr>
                <w:rFonts w:ascii="Calibri" w:hAnsi="Calibri"/>
                <w:sz w:val="12"/>
                <w:szCs w:val="12"/>
              </w:rPr>
            </w:pPr>
            <w:r>
              <w:rPr>
                <w:sz w:val="12"/>
                <w:szCs w:val="12"/>
              </w:rPr>
            </w:r>
          </w:p>
          <w:tbl>
            <w:tblPr>
              <w:tblW w:w="16250"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250"/>
            </w:tblGrid>
            <w:tr>
              <w:trPr/>
              <w:tc>
                <w:tcPr>
                  <w:tcW w:w="16250" w:type="dxa"/>
                  <w:tcBorders/>
                  <w:shd w:color="auto" w:fill="auto" w:val="clear"/>
                </w:tcPr>
                <w:p>
                  <w:pPr>
                    <w:pStyle w:val="Normal"/>
                    <w:widowControl w:val="false"/>
                    <w:spacing w:before="0" w:after="0"/>
                    <w:rPr>
                      <w:rFonts w:ascii="Calibri" w:hAnsi="Calibri"/>
                      <w:sz w:val="24"/>
                      <w:szCs w:val="24"/>
                    </w:rPr>
                  </w:pPr>
                  <w:r>
                    <w:rPr>
                      <w:b/>
                      <w:sz w:val="24"/>
                      <w:szCs w:val="24"/>
                      <w:lang w:val="el-GR"/>
                    </w:rPr>
                    <w:t>ΔΗΜΟΣ  ΚΑΡΔΙΤΣΑΣ</w:t>
                  </w:r>
                </w:p>
              </w:tc>
            </w:tr>
            <w:tr>
              <w:trPr/>
              <w:tc>
                <w:tcPr>
                  <w:tcW w:w="16250" w:type="dxa"/>
                  <w:tcBorders/>
                  <w:shd w:color="auto" w:fill="auto" w:val="clear"/>
                </w:tcPr>
                <w:p>
                  <w:pPr>
                    <w:pStyle w:val="Normal"/>
                    <w:widowControl w:val="false"/>
                    <w:spacing w:before="0" w:after="0"/>
                    <w:rPr>
                      <w:rFonts w:ascii="Calibri" w:hAnsi="Calibri"/>
                      <w:sz w:val="24"/>
                      <w:szCs w:val="24"/>
                    </w:rPr>
                  </w:pPr>
                  <w:r>
                    <w:rPr>
                      <w:b/>
                      <w:bCs/>
                      <w:sz w:val="24"/>
                      <w:szCs w:val="24"/>
                      <w:lang w:val="el-GR"/>
                    </w:rPr>
                    <w:t>Δ/ΝΣΗ ΤΕΧΝΙΚΩΝ ΥΠΗΡΕΣΙΩΝ</w:t>
                  </w:r>
                </w:p>
              </w:tc>
            </w:tr>
          </w:tbl>
          <w:p>
            <w:pPr>
              <w:pStyle w:val="Normal"/>
              <w:widowControl w:val="false"/>
              <w:spacing w:before="0" w:after="120"/>
              <w:rPr/>
            </w:pPr>
            <w:r>
              <w:rPr/>
            </w:r>
          </w:p>
        </w:tc>
        <w:tc>
          <w:tcPr>
            <w:tcW w:w="13256" w:type="dxa"/>
            <w:tcBorders/>
            <w:shd w:color="auto" w:fill="auto" w:val="clear"/>
          </w:tcPr>
          <w:p>
            <w:pPr>
              <w:pStyle w:val="Normal"/>
              <w:widowControl w:val="false"/>
              <w:suppressAutoHyphens w:val="true"/>
              <w:bidi w:val="0"/>
              <w:spacing w:before="0" w:after="63"/>
              <w:ind w:left="0" w:right="340" w:hanging="0"/>
              <w:jc w:val="left"/>
              <w:rPr/>
            </w:pPr>
            <w:r>
              <w:rPr>
                <w:rFonts w:ascii="Cambria" w:hAnsi="Cambria"/>
                <w:b/>
                <w:bCs/>
                <w:color w:val="000000"/>
                <w:sz w:val="20"/>
                <w:szCs w:val="20"/>
                <w:lang w:val="el-GR"/>
              </w:rPr>
              <w:t>ΤΙΤΛΟΣ</w:t>
            </w:r>
            <w:r>
              <w:rPr>
                <w:rFonts w:ascii="Cambria" w:hAnsi="Cambria"/>
                <w:b/>
                <w:bCs/>
                <w:color w:val="000000"/>
                <w:sz w:val="18"/>
                <w:szCs w:val="18"/>
                <w:lang w:val="el-GR"/>
              </w:rPr>
              <w:t xml:space="preserve">: </w:t>
            </w:r>
            <w:r>
              <w:rPr>
                <w:rFonts w:ascii="Cambria" w:hAnsi="Cambria"/>
                <w:b/>
                <w:bCs/>
                <w:color w:val="000000"/>
                <w:szCs w:val="22"/>
                <w:lang w:val="el-GR"/>
              </w:rPr>
              <w:t xml:space="preserve">Υποέργο 2 « </w:t>
            </w:r>
            <w:r>
              <w:rPr>
                <w:rFonts w:eastAsia="Times New Roman" w:cs="Calibri"/>
                <w:b/>
                <w:bCs/>
                <w:color w:val="000000"/>
                <w:kern w:val="0"/>
                <w:sz w:val="24"/>
                <w:szCs w:val="24"/>
                <w:lang w:val="el-GR" w:eastAsia="ar-SA" w:bidi="ar-SA"/>
              </w:rPr>
              <w:t>Κατασκευή κτιρίου και προμήθεια εξοπλισμού</w:t>
            </w:r>
          </w:p>
          <w:p>
            <w:pPr>
              <w:pStyle w:val="Normal"/>
              <w:widowControl w:val="false"/>
              <w:suppressAutoHyphens w:val="true"/>
              <w:bidi w:val="0"/>
              <w:spacing w:before="0" w:after="63"/>
              <w:ind w:left="0" w:right="340" w:hanging="0"/>
              <w:jc w:val="left"/>
              <w:rPr/>
            </w:pPr>
            <w:r>
              <w:rPr>
                <w:rFonts w:eastAsia="Times New Roman" w:cs="Calibri"/>
                <w:b/>
                <w:bCs/>
                <w:color w:val="000000"/>
                <w:kern w:val="0"/>
                <w:sz w:val="24"/>
                <w:szCs w:val="24"/>
                <w:lang w:val="el-GR" w:eastAsia="ar-SA" w:bidi="ar-SA"/>
              </w:rPr>
              <w:t>για πολυχώρο κοινωνικής αλληλεγγύης (κοινωνικό παντοπωλείο</w:t>
            </w:r>
          </w:p>
          <w:p>
            <w:pPr>
              <w:pStyle w:val="Normal"/>
              <w:widowControl w:val="false"/>
              <w:suppressAutoHyphens w:val="true"/>
              <w:bidi w:val="0"/>
              <w:spacing w:before="0" w:after="63"/>
              <w:ind w:left="0" w:right="340" w:hanging="0"/>
              <w:jc w:val="left"/>
              <w:rPr/>
            </w:pPr>
            <w:r>
              <w:rPr>
                <w:rFonts w:eastAsia="Times New Roman" w:cs="Calibri"/>
                <w:b/>
                <w:bCs/>
                <w:color w:val="000000"/>
                <w:kern w:val="0"/>
                <w:sz w:val="24"/>
                <w:szCs w:val="24"/>
                <w:lang w:val="el-GR" w:eastAsia="ar-SA" w:bidi="ar-SA"/>
              </w:rPr>
              <w:t xml:space="preserve"> </w:t>
            </w:r>
            <w:r>
              <w:rPr>
                <w:rFonts w:eastAsia="Times New Roman" w:cs="Calibri"/>
                <w:b/>
                <w:bCs/>
                <w:color w:val="000000"/>
                <w:kern w:val="0"/>
                <w:sz w:val="24"/>
                <w:szCs w:val="24"/>
                <w:lang w:val="el-GR" w:eastAsia="ar-SA" w:bidi="ar-SA"/>
              </w:rPr>
              <w:t xml:space="preserve">&amp; δομή υποστηριζόμενων διαμερισμάτων) - Προμήθεια </w:t>
            </w:r>
            <w:r>
              <w:rPr>
                <w:b/>
                <w:bCs/>
                <w:color w:val="000000"/>
                <w:sz w:val="24"/>
                <w:szCs w:val="24"/>
                <w:lang w:val="el-GR"/>
              </w:rPr>
              <w:t>»</w:t>
            </w:r>
          </w:p>
        </w:tc>
      </w:tr>
    </w:tbl>
    <w:p>
      <w:pPr>
        <w:pStyle w:val="Normal"/>
        <w:rPr>
          <w:szCs w:val="22"/>
          <w:lang w:val="el-GR"/>
        </w:rPr>
      </w:pPr>
      <w:r>
        <w:rPr>
          <w:szCs w:val="22"/>
          <w:lang w:val="el-GR"/>
        </w:rPr>
      </w:r>
    </w:p>
    <w:p>
      <w:pPr>
        <w:pStyle w:val="Normal"/>
        <w:rPr>
          <w:szCs w:val="22"/>
          <w:lang w:val="el-GR"/>
        </w:rPr>
      </w:pPr>
      <w:r>
        <w:rPr>
          <w:rFonts w:ascii="CIDFont+F4" w:hAnsi="CIDFont+F4"/>
          <w:sz w:val="22"/>
          <w:szCs w:val="22"/>
          <w:lang w:val="el-GR"/>
        </w:rPr>
        <w:t xml:space="preserve">  </w:t>
      </w:r>
      <w:r>
        <w:rPr>
          <w:rFonts w:ascii="CIDFont+F4" w:hAnsi="CIDFont+F4"/>
          <w:sz w:val="22"/>
          <w:szCs w:val="22"/>
          <w:lang w:val="el-GR"/>
        </w:rPr>
        <w:t>Aριθμ. Πρωτ.:</w:t>
      </w:r>
      <w:r>
        <w:rPr>
          <w:rFonts w:ascii="CIDFont+F4" w:hAnsi="CIDFont+F4"/>
          <w:sz w:val="22"/>
          <w:szCs w:val="22"/>
          <w:lang w:val="en-US"/>
        </w:rPr>
        <w:t xml:space="preserve">  31907 </w:t>
      </w:r>
      <w:r>
        <w:rPr>
          <w:rFonts w:ascii="CIDFont+F4" w:hAnsi="CIDFont+F4"/>
          <w:sz w:val="22"/>
          <w:szCs w:val="22"/>
          <w:lang w:val="el-GR"/>
        </w:rPr>
        <w:t>/07-10-2024</w:t>
      </w:r>
    </w:p>
    <w:p>
      <w:pPr>
        <w:pStyle w:val="Normal"/>
        <w:rPr>
          <w:szCs w:val="22"/>
          <w:lang w:val="el-GR"/>
        </w:rPr>
      </w:pPr>
      <w:r>
        <w:rPr>
          <w:szCs w:val="22"/>
          <w:lang w:val="el-GR"/>
        </w:rPr>
      </w:r>
    </w:p>
    <w:p>
      <w:pPr>
        <w:pStyle w:val="Normal"/>
        <w:widowControl w:val="false"/>
        <w:jc w:val="center"/>
        <w:rPr>
          <w:rFonts w:ascii="Calibri" w:hAnsi="Calibri"/>
          <w:sz w:val="28"/>
          <w:szCs w:val="28"/>
        </w:rPr>
      </w:pPr>
      <w:r>
        <w:rPr>
          <w:rFonts w:cs="Arial"/>
          <w:b/>
          <w:sz w:val="28"/>
          <w:szCs w:val="28"/>
          <w:lang w:val="el-GR"/>
        </w:rPr>
        <w:t>ΔΙΑΚΗΡΥΞΗ ΑΝΟΙΧΤΟΥ ΗΛΕΚΤΡΟΝΙΚΟΥ ΔΙΑΓΩΝΙΣΜΟΥ</w:t>
      </w:r>
    </w:p>
    <w:p>
      <w:pPr>
        <w:pStyle w:val="Normal"/>
        <w:widowControl w:val="false"/>
        <w:jc w:val="center"/>
        <w:rPr>
          <w:rFonts w:ascii="Calibri" w:hAnsi="Calibri"/>
          <w:sz w:val="24"/>
          <w:szCs w:val="24"/>
        </w:rPr>
      </w:pPr>
      <w:r>
        <w:rPr>
          <w:rFonts w:cs="Arial"/>
          <w:bCs/>
          <w:sz w:val="24"/>
          <w:szCs w:val="24"/>
          <w:lang w:val="el-GR"/>
        </w:rPr>
        <w:t>ΓΙΑ ΤΗΝ ΕΠΙΛΟΓΗ ΑΝΑΔΟΧΟΥ</w:t>
      </w:r>
    </w:p>
    <w:p>
      <w:pPr>
        <w:pStyle w:val="Normal"/>
        <w:widowControl w:val="false"/>
        <w:suppressAutoHyphens w:val="false"/>
        <w:spacing w:before="280" w:after="0"/>
        <w:jc w:val="center"/>
        <w:rPr>
          <w:rFonts w:ascii="Calibri" w:hAnsi="Calibri"/>
          <w:sz w:val="24"/>
          <w:szCs w:val="24"/>
        </w:rPr>
      </w:pPr>
      <w:r>
        <w:rPr>
          <w:rFonts w:cs="Arial"/>
          <w:color w:val="000000"/>
          <w:sz w:val="24"/>
          <w:szCs w:val="24"/>
          <w:lang w:val="el-GR" w:eastAsia="el-GR"/>
        </w:rPr>
        <w:t>ΓΙΑ ΤΗΝ ΠΡΟΜΗΘΕΙΑ ΜΕ ΤΙΤΛΟ</w:t>
      </w:r>
    </w:p>
    <w:p>
      <w:pPr>
        <w:pStyle w:val="Normal"/>
        <w:widowControl w:val="false"/>
        <w:suppressAutoHyphens w:val="false"/>
        <w:spacing w:lineRule="auto" w:line="240" w:before="0" w:after="0"/>
        <w:jc w:val="center"/>
        <w:rPr>
          <w:rFonts w:ascii="Calibri" w:hAnsi="Calibri"/>
          <w:sz w:val="24"/>
          <w:szCs w:val="24"/>
          <w:lang w:val="el-GR"/>
        </w:rPr>
      </w:pPr>
      <w:r>
        <w:rPr>
          <w:sz w:val="24"/>
          <w:szCs w:val="24"/>
          <w:lang w:val="el-GR"/>
        </w:rPr>
      </w:r>
    </w:p>
    <w:p>
      <w:pPr>
        <w:pStyle w:val="Normal"/>
        <w:widowControl w:val="false"/>
        <w:suppressAutoHyphens w:val="false"/>
        <w:spacing w:lineRule="auto" w:line="240" w:before="0" w:after="0"/>
        <w:jc w:val="center"/>
        <w:rPr>
          <w:rFonts w:ascii="Calibri" w:hAnsi="Calibri"/>
          <w:sz w:val="24"/>
          <w:szCs w:val="24"/>
        </w:rPr>
      </w:pPr>
      <w:r>
        <w:rPr>
          <w:rFonts w:cs="Tahoma"/>
          <w:b/>
          <w:bCs/>
          <w:color w:val="000000"/>
          <w:sz w:val="24"/>
          <w:szCs w:val="24"/>
          <w:lang w:val="el-GR" w:eastAsia="el-GR"/>
        </w:rPr>
        <w:t xml:space="preserve">ΥΠΟΕΡΓΟ </w:t>
      </w:r>
      <w:r>
        <w:rPr>
          <w:rFonts w:cs="Tahoma"/>
          <w:b/>
          <w:bCs/>
          <w:color w:val="000000"/>
          <w:sz w:val="24"/>
          <w:szCs w:val="24"/>
          <w:lang w:val="en-US" w:eastAsia="el-GR"/>
        </w:rPr>
        <w:t>2</w:t>
      </w:r>
      <w:r>
        <w:rPr>
          <w:rFonts w:cs="Tahoma"/>
          <w:b/>
          <w:bCs/>
          <w:color w:val="000000"/>
          <w:sz w:val="24"/>
          <w:szCs w:val="24"/>
          <w:lang w:val="el-GR" w:eastAsia="el-GR"/>
        </w:rPr>
        <w:t xml:space="preserve"> </w:t>
      </w:r>
    </w:p>
    <w:p>
      <w:pPr>
        <w:pStyle w:val="Normal"/>
        <w:widowControl w:val="false"/>
        <w:suppressAutoHyphens w:val="false"/>
        <w:spacing w:lineRule="auto" w:line="240" w:before="0" w:after="0"/>
        <w:jc w:val="center"/>
        <w:rPr>
          <w:rFonts w:ascii="Calibri" w:hAnsi="Calibri"/>
          <w:sz w:val="24"/>
          <w:szCs w:val="24"/>
        </w:rPr>
      </w:pPr>
      <w:r>
        <w:rPr>
          <w:b/>
          <w:bCs/>
          <w:color w:val="000000"/>
          <w:sz w:val="24"/>
          <w:szCs w:val="24"/>
          <w:lang w:val="el-GR"/>
        </w:rPr>
        <w:t>«</w:t>
      </w:r>
      <w:r>
        <w:rPr>
          <w:rFonts w:eastAsia="Times New Roman" w:cs="Calibri"/>
          <w:b/>
          <w:bCs/>
          <w:color w:val="000000"/>
          <w:kern w:val="0"/>
          <w:sz w:val="28"/>
          <w:szCs w:val="28"/>
          <w:lang w:val="el-GR" w:eastAsia="ar-SA" w:bidi="ar-SA"/>
        </w:rPr>
        <w:t>Κατασκευή κτιρίου και προμήθεια εξοπλισμού για πολυχώρο κοινωνικής αλληλεγγύης (κοινωνικό παντοπωλείο &amp; δομή υποστηριζόμενων διαμερισμάτων) - Προμήθεια</w:t>
      </w:r>
      <w:r>
        <w:rPr>
          <w:b/>
          <w:bCs/>
          <w:color w:val="000000"/>
          <w:sz w:val="24"/>
          <w:szCs w:val="24"/>
          <w:lang w:val="el-GR"/>
        </w:rPr>
        <w:t>»</w:t>
      </w:r>
    </w:p>
    <w:p>
      <w:pPr>
        <w:pStyle w:val="Normal"/>
        <w:widowControl w:val="false"/>
        <w:suppressAutoHyphens w:val="false"/>
        <w:spacing w:lineRule="auto" w:line="360" w:before="0" w:after="0"/>
        <w:ind w:left="-540" w:hanging="0"/>
        <w:jc w:val="center"/>
        <w:rPr>
          <w:rFonts w:ascii="Calibri" w:hAnsi="Calibri" w:cs="Arial"/>
          <w:bCs/>
          <w:sz w:val="24"/>
          <w:szCs w:val="24"/>
          <w:lang w:val="el-GR"/>
        </w:rPr>
      </w:pPr>
      <w:r>
        <w:rPr>
          <w:rFonts w:cs="Arial"/>
          <w:bCs/>
          <w:sz w:val="24"/>
          <w:szCs w:val="24"/>
          <w:lang w:val="el-GR"/>
        </w:rPr>
      </w:r>
    </w:p>
    <w:p>
      <w:pPr>
        <w:pStyle w:val="Normal"/>
        <w:widowControl w:val="false"/>
        <w:spacing w:lineRule="auto" w:line="276" w:before="0" w:after="0"/>
        <w:ind w:left="363" w:hanging="0"/>
        <w:jc w:val="center"/>
        <w:rPr>
          <w:rFonts w:ascii="Calibri" w:hAnsi="Calibri"/>
          <w:sz w:val="24"/>
          <w:szCs w:val="24"/>
        </w:rPr>
      </w:pPr>
      <w:r>
        <w:rPr>
          <w:rFonts w:cs="Arial"/>
          <w:kern w:val="2"/>
          <w:sz w:val="24"/>
          <w:szCs w:val="24"/>
          <w:shd w:fill="FFFFFF" w:val="clear"/>
          <w:lang w:val="el-GR" w:eastAsia="el-GR"/>
        </w:rPr>
        <w:t>ΑΞΙΑΣ</w:t>
      </w:r>
      <w:r>
        <w:rPr>
          <w:rFonts w:cs="Arial"/>
          <w:kern w:val="2"/>
          <w:sz w:val="24"/>
          <w:szCs w:val="24"/>
          <w:shd w:fill="auto" w:val="clear"/>
          <w:lang w:val="el-GR" w:eastAsia="el-GR"/>
        </w:rPr>
        <w:t xml:space="preserve"> </w:t>
      </w:r>
      <w:r>
        <w:rPr>
          <w:rFonts w:cs="Calibri"/>
          <w:b/>
          <w:bCs/>
          <w:kern w:val="2"/>
          <w:sz w:val="26"/>
          <w:szCs w:val="26"/>
          <w:shd w:fill="auto" w:val="clear"/>
          <w:lang w:val="el-GR" w:eastAsia="el-GR"/>
        </w:rPr>
        <w:t>21.674,64</w:t>
      </w:r>
      <w:r>
        <w:rPr>
          <w:rFonts w:cs="Arial"/>
          <w:b/>
          <w:bCs/>
          <w:sz w:val="24"/>
          <w:szCs w:val="24"/>
          <w:shd w:fill="auto" w:val="clear"/>
          <w:lang w:val="el-GR"/>
        </w:rPr>
        <w:t xml:space="preserve"> </w:t>
      </w:r>
      <w:r>
        <w:rPr>
          <w:rFonts w:cs="Arial"/>
          <w:b/>
          <w:bCs/>
          <w:sz w:val="24"/>
          <w:szCs w:val="24"/>
          <w:shd w:fill="FFFFFF" w:val="clear"/>
          <w:lang w:val="el-GR"/>
        </w:rPr>
        <w:t xml:space="preserve">€ </w:t>
      </w:r>
      <w:r>
        <w:rPr>
          <w:rFonts w:cs="Arial"/>
          <w:kern w:val="2"/>
          <w:sz w:val="24"/>
          <w:szCs w:val="24"/>
          <w:shd w:fill="FFFFFF" w:val="clear"/>
          <w:lang w:val="el-GR" w:eastAsia="el-GR"/>
        </w:rPr>
        <w:t xml:space="preserve"> ΣΥΜΠΕΡΙΛΑΜΒΑΝΟΜΕΝΟΥ ΤΟΥ ΦΠΑ 24%</w:t>
      </w:r>
    </w:p>
    <w:p>
      <w:pPr>
        <w:pStyle w:val="Normal"/>
        <w:widowControl w:val="false"/>
        <w:jc w:val="center"/>
        <w:rPr>
          <w:rFonts w:ascii="Calibri" w:hAnsi="Calibri"/>
          <w:sz w:val="24"/>
          <w:szCs w:val="24"/>
        </w:rPr>
      </w:pPr>
      <w:r>
        <w:rPr>
          <w:rFonts w:cs="Arial"/>
          <w:bCs/>
          <w:sz w:val="24"/>
          <w:szCs w:val="24"/>
          <w:lang w:val="el-GR"/>
        </w:rPr>
        <w:t>(</w:t>
      </w:r>
      <w:r>
        <w:rPr>
          <w:rFonts w:cs="Tahoma"/>
          <w:b/>
          <w:bCs/>
          <w:sz w:val="24"/>
          <w:szCs w:val="24"/>
          <w:lang w:val="en-US"/>
        </w:rPr>
        <w:t>17.479,55</w:t>
      </w:r>
      <w:r>
        <w:rPr>
          <w:rFonts w:cs="Tahoma"/>
          <w:b/>
          <w:bCs/>
          <w:sz w:val="24"/>
          <w:szCs w:val="24"/>
          <w:lang w:val="el-GR"/>
        </w:rPr>
        <w:t>,00</w:t>
      </w:r>
      <w:r>
        <w:rPr>
          <w:rFonts w:cs="Arial"/>
          <w:bCs/>
          <w:sz w:val="24"/>
          <w:szCs w:val="24"/>
          <w:lang w:val="el-GR"/>
        </w:rPr>
        <w:t xml:space="preserve"> € πλέον ΦΠΑ 24%,)</w:t>
      </w:r>
    </w:p>
    <w:p>
      <w:pPr>
        <w:pStyle w:val="Normal"/>
        <w:widowControl w:val="false"/>
        <w:jc w:val="center"/>
        <w:rPr>
          <w:rFonts w:ascii="Calibri" w:hAnsi="Calibri" w:cs="Arial"/>
          <w:b/>
          <w:b/>
          <w:bCs/>
          <w:sz w:val="24"/>
          <w:szCs w:val="24"/>
          <w:highlight w:val="white"/>
          <w:lang w:val="el-GR"/>
        </w:rPr>
      </w:pPr>
      <w:r>
        <w:rPr>
          <w:rFonts w:cs="Arial"/>
          <w:b/>
          <w:bCs/>
          <w:sz w:val="24"/>
          <w:szCs w:val="24"/>
          <w:highlight w:val="white"/>
          <w:lang w:val="el-GR"/>
        </w:rPr>
      </w:r>
    </w:p>
    <w:p>
      <w:pPr>
        <w:pStyle w:val="Normal"/>
        <w:widowControl w:val="false"/>
        <w:jc w:val="center"/>
        <w:rPr>
          <w:rFonts w:ascii="Calibri" w:hAnsi="Calibri"/>
          <w:sz w:val="24"/>
          <w:szCs w:val="24"/>
        </w:rPr>
      </w:pPr>
      <w:r>
        <w:rPr>
          <w:rFonts w:cs="Arial"/>
          <w:b/>
          <w:sz w:val="24"/>
          <w:szCs w:val="24"/>
          <w:lang w:val="el-GR"/>
        </w:rPr>
        <w:t>Ο ΔΗΜΑΡΧΟΣ ΚΑΡΔΙΤΣΑΣ</w:t>
      </w:r>
    </w:p>
    <w:p>
      <w:pPr>
        <w:pStyle w:val="Normal"/>
        <w:widowControl w:val="false"/>
        <w:jc w:val="center"/>
        <w:rPr>
          <w:rFonts w:ascii="Calibri" w:hAnsi="Calibri" w:cs="Arial"/>
          <w:sz w:val="24"/>
          <w:szCs w:val="24"/>
          <w:highlight w:val="white"/>
          <w:lang w:val="el-GR"/>
        </w:rPr>
      </w:pPr>
      <w:r>
        <w:rPr>
          <w:rFonts w:cs="Arial"/>
          <w:sz w:val="24"/>
          <w:szCs w:val="24"/>
          <w:highlight w:val="white"/>
          <w:lang w:val="el-GR"/>
        </w:rPr>
      </w:r>
    </w:p>
    <w:p>
      <w:pPr>
        <w:pStyle w:val="Normal"/>
        <w:widowControl w:val="false"/>
        <w:jc w:val="center"/>
        <w:rPr>
          <w:rFonts w:ascii="Calibri" w:hAnsi="Calibri"/>
          <w:sz w:val="24"/>
          <w:szCs w:val="24"/>
        </w:rPr>
      </w:pPr>
      <w:r>
        <w:rPr>
          <w:rFonts w:cs="Arial"/>
          <w:b/>
          <w:sz w:val="24"/>
          <w:szCs w:val="24"/>
          <w:shd w:fill="FFFFFF" w:val="clear"/>
          <w:lang w:val="el-GR"/>
        </w:rPr>
        <w:t>Δ Ι Α Κ Η Ρ Υ Σ Σ Ε Ι</w:t>
      </w:r>
    </w:p>
    <w:p>
      <w:pPr>
        <w:pStyle w:val="Normal"/>
        <w:widowControl w:val="false"/>
        <w:spacing w:lineRule="auto" w:line="276" w:before="0" w:after="0"/>
        <w:ind w:left="360" w:hanging="0"/>
        <w:jc w:val="center"/>
        <w:rPr>
          <w:rFonts w:ascii="Calibri" w:hAnsi="Calibri"/>
          <w:sz w:val="24"/>
          <w:szCs w:val="24"/>
        </w:rPr>
      </w:pPr>
      <w:r>
        <w:rPr>
          <w:rFonts w:cs="Arial"/>
          <w:sz w:val="24"/>
          <w:szCs w:val="24"/>
          <w:shd w:fill="FFFFFF" w:val="clear"/>
          <w:lang w:val="el-GR"/>
        </w:rPr>
        <w:t xml:space="preserve">ΤΗΝ ΑΝΟΙΚΤΗ  ΗΛΕΚΤΡΟΝΙΚΗ ΔΙΑΔΙΚΑΣΙΑ ΓΙΑ ΤΗΝ ΕΠΙΛΟΓΗ ΑΝΑΔΟΧΟΥ </w:t>
      </w:r>
    </w:p>
    <w:p>
      <w:pPr>
        <w:pStyle w:val="Normal"/>
        <w:widowControl w:val="false"/>
        <w:suppressAutoHyphens w:val="false"/>
        <w:spacing w:lineRule="auto" w:line="360" w:before="0" w:after="0"/>
        <w:ind w:left="-540" w:hanging="0"/>
        <w:jc w:val="center"/>
        <w:rPr>
          <w:rFonts w:ascii="Calibri" w:hAnsi="Calibri"/>
          <w:sz w:val="24"/>
          <w:szCs w:val="24"/>
          <w:lang w:val="el-GR"/>
        </w:rPr>
      </w:pPr>
      <w:r>
        <w:rPr>
          <w:rFonts w:cs="Arial"/>
          <w:bCs/>
          <w:kern w:val="2"/>
          <w:sz w:val="24"/>
          <w:szCs w:val="24"/>
          <w:shd w:fill="FFFFFF" w:val="clear"/>
          <w:lang w:val="el-GR" w:eastAsia="el-GR"/>
        </w:rPr>
        <w:t>για την παραπάνω προμήθεια</w:t>
      </w:r>
    </w:p>
    <w:p>
      <w:pPr>
        <w:pStyle w:val="Normal"/>
        <w:rPr>
          <w:szCs w:val="22"/>
          <w:lang w:val="el-GR"/>
        </w:rPr>
      </w:pPr>
      <w:r>
        <w:rPr>
          <w:szCs w:val="22"/>
          <w:lang w:val="el-GR"/>
        </w:rPr>
      </w:r>
    </w:p>
    <w:p>
      <w:pPr>
        <w:pStyle w:val="Normal"/>
        <w:rPr>
          <w:szCs w:val="22"/>
          <w:lang w:val="el-GR"/>
        </w:rPr>
      </w:pPr>
      <w:r>
        <w:rPr>
          <w:szCs w:val="22"/>
          <w:lang w:val="el-GR"/>
        </w:rPr>
      </w:r>
    </w:p>
    <w:p>
      <w:pPr>
        <w:pStyle w:val="Contents"/>
        <w:rPr/>
      </w:pPr>
      <w:bookmarkStart w:id="0" w:name="_Toc129004391"/>
      <w:r>
        <w:rPr/>
        <w:t>Περιεχόμενα</w:t>
      </w:r>
      <w:bookmarkEnd w:id="0"/>
    </w:p>
    <w:sdt>
      <w:sdtPr>
        <w:docPartObj>
          <w:docPartGallery w:val="Table of Contents"/>
          <w:docPartUnique w:val="true"/>
        </w:docPartObj>
      </w:sdtPr>
      <w:sdtContent>
        <w:p>
          <w:pPr>
            <w:pStyle w:val="19"/>
            <w:tabs>
              <w:tab w:val="clear" w:pos="720"/>
              <w:tab w:val="right" w:pos="9628" w:leader="dot"/>
            </w:tabs>
            <w:rPr>
              <w:rFonts w:cs="Times New Roman"/>
              <w:b w:val="false"/>
              <w:b w:val="false"/>
              <w:bCs w:val="false"/>
              <w:caps w:val="false"/>
              <w:smallCaps w:val="false"/>
              <w:sz w:val="22"/>
              <w:szCs w:val="22"/>
              <w:lang w:val="el-GR" w:eastAsia="el-GR"/>
            </w:rPr>
          </w:pPr>
          <w:r>
            <w:fldChar w:fldCharType="begin"/>
          </w:r>
          <w:r>
            <w:rPr/>
            <w:instrText xml:space="preserve"> TOC \o "1-4" \h</w:instrText>
          </w:r>
          <w:r>
            <w:rPr/>
            <w:fldChar w:fldCharType="separate"/>
          </w:r>
          <w:hyperlink w:anchor="_Toc129004390">
            <w:r>
              <w:rPr>
                <w:webHidden/>
              </w:rPr>
              <w:fldChar w:fldCharType="begin"/>
            </w:r>
            <w:r>
              <w:rPr>
                <w:webHidden/>
              </w:rPr>
              <w:instrText xml:space="preserve">PAGEREF _Toc129004390 \h</w:instrText>
            </w:r>
            <w:r>
              <w:rPr>
                <w:webHidden/>
              </w:rPr>
              <w:fldChar w:fldCharType="separate"/>
            </w:r>
            <w:r>
              <w:rPr/>
              <w:t>Υπόδειγμα Διακήρυξης για Συμβάσεις Προμηθειών  με Ανοικτή Διαδικασία μέσω ΕΣΗΔΗΣ</w:t>
              <w:tab/>
              <w:t>1</w:t>
            </w:r>
            <w:r>
              <w:rPr>
                <w:webHidden/>
              </w:rPr>
              <w:fldChar w:fldCharType="end"/>
            </w:r>
          </w:hyperlink>
        </w:p>
        <w:p>
          <w:pPr>
            <w:pStyle w:val="19"/>
            <w:tabs>
              <w:tab w:val="clear" w:pos="720"/>
              <w:tab w:val="right" w:pos="9628" w:leader="dot"/>
            </w:tabs>
            <w:rPr>
              <w:rFonts w:cs="Times New Roman"/>
              <w:b w:val="false"/>
              <w:b w:val="false"/>
              <w:bCs w:val="false"/>
              <w:caps w:val="false"/>
              <w:smallCaps w:val="false"/>
              <w:sz w:val="22"/>
              <w:szCs w:val="22"/>
              <w:lang w:val="el-GR" w:eastAsia="el-GR"/>
            </w:rPr>
          </w:pPr>
          <w:hyperlink w:anchor="_Toc129004391">
            <w:r>
              <w:rPr>
                <w:webHidden/>
              </w:rPr>
              <w:fldChar w:fldCharType="begin"/>
            </w:r>
            <w:r>
              <w:rPr>
                <w:webHidden/>
              </w:rPr>
              <w:instrText xml:space="preserve">PAGEREF _Toc129004391 \h</w:instrText>
            </w:r>
            <w:r>
              <w:rPr>
                <w:webHidden/>
              </w:rPr>
              <w:fldChar w:fldCharType="separate"/>
            </w:r>
            <w:r>
              <w:rPr/>
              <w:t>Περιεχόμενα</w:t>
              <w:tab/>
              <w:t>2</w:t>
            </w:r>
            <w:r>
              <w:rPr>
                <w:webHidden/>
              </w:rPr>
              <w:fldChar w:fldCharType="end"/>
            </w:r>
          </w:hyperlink>
        </w:p>
        <w:p>
          <w:pPr>
            <w:pStyle w:val="19"/>
            <w:tabs>
              <w:tab w:val="clear" w:pos="720"/>
              <w:tab w:val="left" w:pos="440" w:leader="none"/>
              <w:tab w:val="right" w:pos="9628" w:leader="dot"/>
            </w:tabs>
            <w:rPr>
              <w:rFonts w:cs="Times New Roman"/>
              <w:b w:val="false"/>
              <w:b w:val="false"/>
              <w:bCs w:val="false"/>
              <w:caps w:val="false"/>
              <w:smallCaps w:val="false"/>
              <w:sz w:val="22"/>
              <w:szCs w:val="22"/>
              <w:lang w:val="el-GR" w:eastAsia="el-GR"/>
            </w:rPr>
          </w:pPr>
          <w:hyperlink w:anchor="_Toc129004392">
            <w:r>
              <w:rPr>
                <w:lang w:val="el-GR"/>
              </w:rPr>
              <w:t>1.</w:t>
            </w:r>
            <w:r>
              <w:rPr>
                <w:rFonts w:cs="Times New Roman"/>
                <w:b w:val="false"/>
                <w:bCs w:val="false"/>
                <w:caps w:val="false"/>
                <w:smallCaps w:val="false"/>
                <w:sz w:val="22"/>
                <w:szCs w:val="22"/>
                <w:lang w:val="el-GR" w:eastAsia="el-GR"/>
              </w:rPr>
              <w:tab/>
            </w:r>
            <w:r>
              <w:rPr>
                <w:lang w:val="el-GR"/>
              </w:rPr>
              <w:t>ΑΝΑΘΕΤΟΥΣΑ ΑΡΧΗ ΚΑΙ ΑΝΤΙΚΕΙΜΕΝΟ ΣΥΜΒΑΣΗΣ</w:t>
            </w:r>
            <w:r>
              <w:rPr>
                <w:webHidden/>
              </w:rPr>
              <w:fldChar w:fldCharType="begin"/>
            </w:r>
            <w:r>
              <w:rPr>
                <w:webHidden/>
              </w:rPr>
              <w:instrText xml:space="preserve">PAGEREF _Toc129004392 \h</w:instrText>
            </w:r>
            <w:r>
              <w:rPr>
                <w:webHidden/>
              </w:rPr>
              <w:fldChar w:fldCharType="separate"/>
            </w:r>
            <w:r>
              <w:rPr/>
              <w:tab/>
              <w:t>4</w:t>
            </w:r>
            <w:r>
              <w:rPr>
                <w:webHidden/>
              </w:rPr>
              <w:fldChar w:fldCharType="end"/>
            </w:r>
          </w:hyperlink>
        </w:p>
        <w:p>
          <w:pPr>
            <w:pStyle w:val="210"/>
            <w:tabs>
              <w:tab w:val="clear" w:pos="720"/>
              <w:tab w:val="left" w:pos="880" w:leader="none"/>
              <w:tab w:val="right" w:pos="9628" w:leader="dot"/>
            </w:tabs>
            <w:rPr>
              <w:rFonts w:cs="Times New Roman"/>
              <w:caps w:val="false"/>
              <w:smallCaps w:val="false"/>
              <w:sz w:val="22"/>
              <w:szCs w:val="22"/>
              <w:lang w:val="el-GR" w:eastAsia="el-GR"/>
            </w:rPr>
          </w:pPr>
          <w:hyperlink w:anchor="_Toc129004393">
            <w:r>
              <w:rPr>
                <w:lang w:val="el-GR"/>
              </w:rPr>
              <w:t>1.1</w:t>
            </w:r>
            <w:r>
              <w:rPr>
                <w:rFonts w:cs="Times New Roman"/>
                <w:caps w:val="false"/>
                <w:smallCaps w:val="false"/>
                <w:sz w:val="22"/>
                <w:szCs w:val="22"/>
                <w:lang w:val="el-GR" w:eastAsia="el-GR"/>
              </w:rPr>
              <w:tab/>
            </w:r>
            <w:r>
              <w:rPr>
                <w:lang w:val="el-GR"/>
              </w:rPr>
              <w:t>Στοιχεία Αναθέτουσας Αρχής</w:t>
            </w:r>
            <w:r>
              <w:rPr>
                <w:webHidden/>
              </w:rPr>
              <w:fldChar w:fldCharType="begin"/>
            </w:r>
            <w:r>
              <w:rPr>
                <w:webHidden/>
              </w:rPr>
              <w:instrText xml:space="preserve">PAGEREF _Toc129004393 \h</w:instrText>
            </w:r>
            <w:r>
              <w:rPr>
                <w:webHidden/>
              </w:rPr>
              <w:fldChar w:fldCharType="separate"/>
            </w:r>
            <w:r>
              <w:rPr/>
              <w:tab/>
              <w:t>4</w:t>
            </w:r>
            <w:r>
              <w:rPr>
                <w:webHidden/>
              </w:rPr>
              <w:fldChar w:fldCharType="end"/>
            </w:r>
          </w:hyperlink>
        </w:p>
        <w:p>
          <w:pPr>
            <w:pStyle w:val="210"/>
            <w:tabs>
              <w:tab w:val="clear" w:pos="720"/>
              <w:tab w:val="left" w:pos="880" w:leader="none"/>
              <w:tab w:val="right" w:pos="9628" w:leader="dot"/>
            </w:tabs>
            <w:rPr>
              <w:rFonts w:cs="Times New Roman"/>
              <w:caps w:val="false"/>
              <w:smallCaps w:val="false"/>
              <w:sz w:val="22"/>
              <w:szCs w:val="22"/>
              <w:lang w:val="el-GR" w:eastAsia="el-GR"/>
            </w:rPr>
          </w:pPr>
          <w:hyperlink w:anchor="_Toc129004394">
            <w:r>
              <w:rPr>
                <w:lang w:val="el-GR"/>
              </w:rPr>
              <w:t>1.2</w:t>
            </w:r>
            <w:r>
              <w:rPr>
                <w:rFonts w:cs="Times New Roman"/>
                <w:caps w:val="false"/>
                <w:smallCaps w:val="false"/>
                <w:sz w:val="22"/>
                <w:szCs w:val="22"/>
                <w:lang w:val="el-GR" w:eastAsia="el-GR"/>
              </w:rPr>
              <w:tab/>
            </w:r>
            <w:r>
              <w:rPr>
                <w:lang w:val="el-GR"/>
              </w:rPr>
              <w:t>Στοιχεία Διαδικασίας-Χρηματοδότηση</w:t>
            </w:r>
            <w:r>
              <w:rPr>
                <w:webHidden/>
              </w:rPr>
              <w:fldChar w:fldCharType="begin"/>
            </w:r>
            <w:r>
              <w:rPr>
                <w:webHidden/>
              </w:rPr>
              <w:instrText xml:space="preserve">PAGEREF _Toc129004394 \h</w:instrText>
            </w:r>
            <w:r>
              <w:rPr>
                <w:webHidden/>
              </w:rPr>
              <w:fldChar w:fldCharType="separate"/>
            </w:r>
            <w:r>
              <w:rPr/>
              <w:tab/>
              <w:t>5</w:t>
            </w:r>
            <w:r>
              <w:rPr>
                <w:webHidden/>
              </w:rPr>
              <w:fldChar w:fldCharType="end"/>
            </w:r>
          </w:hyperlink>
        </w:p>
        <w:p>
          <w:pPr>
            <w:pStyle w:val="210"/>
            <w:tabs>
              <w:tab w:val="clear" w:pos="720"/>
              <w:tab w:val="left" w:pos="880" w:leader="none"/>
              <w:tab w:val="right" w:pos="9628" w:leader="dot"/>
            </w:tabs>
            <w:rPr>
              <w:rFonts w:cs="Times New Roman"/>
              <w:caps w:val="false"/>
              <w:smallCaps w:val="false"/>
              <w:sz w:val="22"/>
              <w:szCs w:val="22"/>
              <w:lang w:val="el-GR" w:eastAsia="el-GR"/>
            </w:rPr>
          </w:pPr>
          <w:hyperlink w:anchor="_Toc129004395">
            <w:r>
              <w:rPr>
                <w:lang w:val="el-GR"/>
              </w:rPr>
              <w:t>1.3</w:t>
            </w:r>
            <w:r>
              <w:rPr>
                <w:rFonts w:cs="Times New Roman"/>
                <w:caps w:val="false"/>
                <w:smallCaps w:val="false"/>
                <w:sz w:val="22"/>
                <w:szCs w:val="22"/>
                <w:lang w:val="el-GR" w:eastAsia="el-GR"/>
              </w:rPr>
              <w:tab/>
            </w:r>
            <w:r>
              <w:rPr>
                <w:lang w:val="el-GR"/>
              </w:rPr>
              <w:t>Συνοπτική Περιγραφή φυσικού και οικονομικού αντικειμένου της σύμβασης</w:t>
            </w:r>
            <w:r>
              <w:rPr>
                <w:webHidden/>
              </w:rPr>
              <w:fldChar w:fldCharType="begin"/>
            </w:r>
            <w:r>
              <w:rPr>
                <w:webHidden/>
              </w:rPr>
              <w:instrText xml:space="preserve">PAGEREF _Toc129004395 \h</w:instrText>
            </w:r>
            <w:r>
              <w:rPr>
                <w:webHidden/>
              </w:rPr>
              <w:fldChar w:fldCharType="separate"/>
            </w:r>
            <w:r>
              <w:rPr/>
              <w:tab/>
              <w:t>6</w:t>
            </w:r>
            <w:r>
              <w:rPr>
                <w:webHidden/>
              </w:rPr>
              <w:fldChar w:fldCharType="end"/>
            </w:r>
          </w:hyperlink>
        </w:p>
        <w:p>
          <w:pPr>
            <w:pStyle w:val="210"/>
            <w:tabs>
              <w:tab w:val="clear" w:pos="720"/>
              <w:tab w:val="left" w:pos="880" w:leader="none"/>
              <w:tab w:val="right" w:pos="9628" w:leader="dot"/>
            </w:tabs>
            <w:rPr>
              <w:rFonts w:cs="Times New Roman"/>
              <w:caps w:val="false"/>
              <w:smallCaps w:val="false"/>
              <w:sz w:val="22"/>
              <w:szCs w:val="22"/>
              <w:lang w:val="el-GR" w:eastAsia="el-GR"/>
            </w:rPr>
          </w:pPr>
          <w:hyperlink w:anchor="_Toc129004396">
            <w:r>
              <w:rPr>
                <w:lang w:val="el-GR"/>
              </w:rPr>
              <w:t>1.4</w:t>
            </w:r>
            <w:r>
              <w:rPr>
                <w:rFonts w:cs="Times New Roman"/>
                <w:caps w:val="false"/>
                <w:smallCaps w:val="false"/>
                <w:sz w:val="22"/>
                <w:szCs w:val="22"/>
                <w:lang w:val="el-GR" w:eastAsia="el-GR"/>
              </w:rPr>
              <w:tab/>
            </w:r>
            <w:r>
              <w:rPr>
                <w:lang w:val="el-GR"/>
              </w:rPr>
              <w:t>Θεσμικό πλαίσιο</w:t>
            </w:r>
            <w:r>
              <w:rPr>
                <w:webHidden/>
              </w:rPr>
              <w:fldChar w:fldCharType="begin"/>
            </w:r>
            <w:r>
              <w:rPr>
                <w:webHidden/>
              </w:rPr>
              <w:instrText xml:space="preserve">PAGEREF _Toc129004396 \h</w:instrText>
            </w:r>
            <w:r>
              <w:rPr>
                <w:webHidden/>
              </w:rPr>
              <w:fldChar w:fldCharType="separate"/>
            </w:r>
            <w:r>
              <w:rPr/>
              <w:tab/>
              <w:t>8</w:t>
            </w:r>
            <w:r>
              <w:rPr>
                <w:webHidden/>
              </w:rPr>
              <w:fldChar w:fldCharType="end"/>
            </w:r>
          </w:hyperlink>
        </w:p>
        <w:p>
          <w:pPr>
            <w:pStyle w:val="210"/>
            <w:tabs>
              <w:tab w:val="clear" w:pos="720"/>
              <w:tab w:val="left" w:pos="880" w:leader="none"/>
              <w:tab w:val="right" w:pos="9628" w:leader="dot"/>
            </w:tabs>
            <w:rPr>
              <w:rFonts w:cs="Times New Roman"/>
              <w:caps w:val="false"/>
              <w:smallCaps w:val="false"/>
              <w:sz w:val="22"/>
              <w:szCs w:val="22"/>
              <w:lang w:val="el-GR" w:eastAsia="el-GR"/>
            </w:rPr>
          </w:pPr>
          <w:hyperlink w:anchor="_Toc129004397">
            <w:r>
              <w:rPr>
                <w:lang w:val="el-GR"/>
              </w:rPr>
              <w:t>1.5</w:t>
            </w:r>
            <w:r>
              <w:rPr>
                <w:rFonts w:cs="Times New Roman"/>
                <w:caps w:val="false"/>
                <w:smallCaps w:val="false"/>
                <w:sz w:val="22"/>
                <w:szCs w:val="22"/>
                <w:lang w:val="el-GR" w:eastAsia="el-GR"/>
              </w:rPr>
              <w:tab/>
            </w:r>
            <w:r>
              <w:rPr>
                <w:lang w:val="el-GR"/>
              </w:rPr>
              <w:t>Προθεσμία παραλαβής προσφορών</w:t>
            </w:r>
            <w:r>
              <w:rPr>
                <w:webHidden/>
              </w:rPr>
              <w:fldChar w:fldCharType="begin"/>
            </w:r>
            <w:r>
              <w:rPr>
                <w:webHidden/>
              </w:rPr>
              <w:instrText xml:space="preserve">PAGEREF _Toc129004397 \h</w:instrText>
            </w:r>
            <w:r>
              <w:rPr>
                <w:webHidden/>
              </w:rPr>
              <w:fldChar w:fldCharType="separate"/>
            </w:r>
            <w:r>
              <w:rPr/>
              <w:tab/>
              <w:t>11</w:t>
            </w:r>
            <w:r>
              <w:rPr>
                <w:webHidden/>
              </w:rPr>
              <w:fldChar w:fldCharType="end"/>
            </w:r>
          </w:hyperlink>
        </w:p>
        <w:p>
          <w:pPr>
            <w:pStyle w:val="210"/>
            <w:tabs>
              <w:tab w:val="clear" w:pos="720"/>
              <w:tab w:val="left" w:pos="880" w:leader="none"/>
              <w:tab w:val="right" w:pos="9628" w:leader="dot"/>
            </w:tabs>
            <w:rPr>
              <w:rFonts w:cs="Times New Roman"/>
              <w:caps w:val="false"/>
              <w:smallCaps w:val="false"/>
              <w:sz w:val="22"/>
              <w:szCs w:val="22"/>
              <w:lang w:val="el-GR" w:eastAsia="el-GR"/>
            </w:rPr>
          </w:pPr>
          <w:hyperlink w:anchor="_Toc129004398">
            <w:r>
              <w:rPr>
                <w:lang w:val="el-GR"/>
              </w:rPr>
              <w:t>1.6</w:t>
            </w:r>
            <w:r>
              <w:rPr>
                <w:rFonts w:cs="Times New Roman"/>
                <w:caps w:val="false"/>
                <w:smallCaps w:val="false"/>
                <w:sz w:val="22"/>
                <w:szCs w:val="22"/>
                <w:lang w:val="el-GR" w:eastAsia="el-GR"/>
              </w:rPr>
              <w:tab/>
            </w:r>
            <w:r>
              <w:rPr>
                <w:lang w:val="el-GR"/>
              </w:rPr>
              <w:t>Δημοσιότητα</w:t>
            </w:r>
            <w:r>
              <w:rPr>
                <w:webHidden/>
              </w:rPr>
              <w:fldChar w:fldCharType="begin"/>
            </w:r>
            <w:r>
              <w:rPr>
                <w:webHidden/>
              </w:rPr>
              <w:instrText xml:space="preserve">PAGEREF _Toc129004398 \h</w:instrText>
            </w:r>
            <w:r>
              <w:rPr>
                <w:webHidden/>
              </w:rPr>
              <w:fldChar w:fldCharType="separate"/>
            </w:r>
            <w:r>
              <w:rPr/>
              <w:tab/>
              <w:t>11</w:t>
            </w:r>
            <w:r>
              <w:rPr>
                <w:webHidden/>
              </w:rPr>
              <w:fldChar w:fldCharType="end"/>
            </w:r>
          </w:hyperlink>
        </w:p>
        <w:p>
          <w:pPr>
            <w:pStyle w:val="210"/>
            <w:tabs>
              <w:tab w:val="clear" w:pos="720"/>
              <w:tab w:val="left" w:pos="880" w:leader="none"/>
              <w:tab w:val="right" w:pos="9628" w:leader="dot"/>
            </w:tabs>
            <w:rPr>
              <w:rFonts w:cs="Times New Roman"/>
              <w:caps w:val="false"/>
              <w:smallCaps w:val="false"/>
              <w:sz w:val="22"/>
              <w:szCs w:val="22"/>
              <w:lang w:val="el-GR" w:eastAsia="el-GR"/>
            </w:rPr>
          </w:pPr>
          <w:hyperlink w:anchor="_Toc129004399">
            <w:r>
              <w:rPr>
                <w:lang w:val="el-GR"/>
              </w:rPr>
              <w:t>1.7</w:t>
            </w:r>
            <w:r>
              <w:rPr>
                <w:rFonts w:cs="Times New Roman"/>
                <w:caps w:val="false"/>
                <w:smallCaps w:val="false"/>
                <w:sz w:val="22"/>
                <w:szCs w:val="22"/>
                <w:lang w:val="el-GR" w:eastAsia="el-GR"/>
              </w:rPr>
              <w:tab/>
            </w:r>
            <w:r>
              <w:rPr>
                <w:lang w:val="el-GR"/>
              </w:rPr>
              <w:t>Αρχές εφαρμοζόμενες στη διαδικασία σύναψης</w:t>
            </w:r>
            <w:r>
              <w:rPr>
                <w:webHidden/>
              </w:rPr>
              <w:fldChar w:fldCharType="begin"/>
            </w:r>
            <w:r>
              <w:rPr>
                <w:webHidden/>
              </w:rPr>
              <w:instrText xml:space="preserve">PAGEREF _Toc129004399 \h</w:instrText>
            </w:r>
            <w:r>
              <w:rPr>
                <w:webHidden/>
              </w:rPr>
              <w:fldChar w:fldCharType="separate"/>
            </w:r>
            <w:r>
              <w:rPr/>
              <w:tab/>
              <w:t>12</w:t>
            </w:r>
            <w:r>
              <w:rPr>
                <w:webHidden/>
              </w:rPr>
              <w:fldChar w:fldCharType="end"/>
            </w:r>
          </w:hyperlink>
        </w:p>
        <w:p>
          <w:pPr>
            <w:pStyle w:val="19"/>
            <w:tabs>
              <w:tab w:val="clear" w:pos="720"/>
              <w:tab w:val="left" w:pos="440" w:leader="none"/>
              <w:tab w:val="right" w:pos="9628" w:leader="dot"/>
            </w:tabs>
            <w:rPr>
              <w:rFonts w:cs="Times New Roman"/>
              <w:b w:val="false"/>
              <w:b w:val="false"/>
              <w:bCs w:val="false"/>
              <w:caps w:val="false"/>
              <w:smallCaps w:val="false"/>
              <w:sz w:val="22"/>
              <w:szCs w:val="22"/>
              <w:lang w:val="el-GR" w:eastAsia="el-GR"/>
            </w:rPr>
          </w:pPr>
          <w:hyperlink w:anchor="_Toc129004400">
            <w:r>
              <w:rPr>
                <w:lang w:val="el-GR"/>
              </w:rPr>
              <w:t>2.</w:t>
            </w:r>
            <w:r>
              <w:rPr>
                <w:rFonts w:cs="Times New Roman"/>
                <w:b w:val="false"/>
                <w:bCs w:val="false"/>
                <w:caps w:val="false"/>
                <w:smallCaps w:val="false"/>
                <w:sz w:val="22"/>
                <w:szCs w:val="22"/>
                <w:lang w:val="el-GR" w:eastAsia="el-GR"/>
              </w:rPr>
              <w:tab/>
            </w:r>
            <w:r>
              <w:rPr>
                <w:lang w:val="el-GR"/>
              </w:rPr>
              <w:t>ΓΕΝΙΚΟΙ ΚΑΙ ΕΙΔΙΚΟΙ ΟΡΟΙ ΣΥΜΜΕΤΟΧΗΣ</w:t>
            </w:r>
            <w:r>
              <w:rPr>
                <w:webHidden/>
              </w:rPr>
              <w:fldChar w:fldCharType="begin"/>
            </w:r>
            <w:r>
              <w:rPr>
                <w:webHidden/>
              </w:rPr>
              <w:instrText xml:space="preserve">PAGEREF _Toc129004400 \h</w:instrText>
            </w:r>
            <w:r>
              <w:rPr>
                <w:webHidden/>
              </w:rPr>
              <w:fldChar w:fldCharType="separate"/>
            </w:r>
            <w:r>
              <w:rPr/>
              <w:tab/>
              <w:t>14</w:t>
            </w:r>
            <w:r>
              <w:rPr>
                <w:webHidden/>
              </w:rPr>
              <w:fldChar w:fldCharType="end"/>
            </w:r>
          </w:hyperlink>
        </w:p>
        <w:p>
          <w:pPr>
            <w:pStyle w:val="210"/>
            <w:tabs>
              <w:tab w:val="clear" w:pos="720"/>
              <w:tab w:val="left" w:pos="880" w:leader="none"/>
              <w:tab w:val="right" w:pos="9628" w:leader="dot"/>
            </w:tabs>
            <w:rPr>
              <w:rFonts w:cs="Times New Roman"/>
              <w:caps w:val="false"/>
              <w:smallCaps w:val="false"/>
              <w:sz w:val="22"/>
              <w:szCs w:val="22"/>
              <w:lang w:val="el-GR" w:eastAsia="el-GR"/>
            </w:rPr>
          </w:pPr>
          <w:hyperlink w:anchor="_Toc129004401">
            <w:r>
              <w:rPr>
                <w:lang w:val="el-GR"/>
              </w:rPr>
              <w:t>2.1</w:t>
            </w:r>
            <w:r>
              <w:rPr>
                <w:rFonts w:cs="Times New Roman"/>
                <w:caps w:val="false"/>
                <w:smallCaps w:val="false"/>
                <w:sz w:val="22"/>
                <w:szCs w:val="22"/>
                <w:lang w:val="el-GR" w:eastAsia="el-GR"/>
              </w:rPr>
              <w:tab/>
            </w:r>
            <w:r>
              <w:rPr>
                <w:lang w:val="el-GR"/>
              </w:rPr>
              <w:t>Γενικές Πληροφορίες</w:t>
            </w:r>
            <w:r>
              <w:rPr>
                <w:webHidden/>
              </w:rPr>
              <w:fldChar w:fldCharType="begin"/>
            </w:r>
            <w:r>
              <w:rPr>
                <w:webHidden/>
              </w:rPr>
              <w:instrText xml:space="preserve">PAGEREF _Toc129004401 \h</w:instrText>
            </w:r>
            <w:r>
              <w:rPr>
                <w:webHidden/>
              </w:rPr>
              <w:fldChar w:fldCharType="separate"/>
            </w:r>
            <w:r>
              <w:rPr/>
              <w:tab/>
              <w:t>14</w:t>
            </w:r>
            <w:r>
              <w:rPr>
                <w:webHidden/>
              </w:rPr>
              <w:fldChar w:fldCharType="end"/>
            </w:r>
          </w:hyperlink>
        </w:p>
        <w:p>
          <w:pPr>
            <w:pStyle w:val="35"/>
            <w:tabs>
              <w:tab w:val="clear" w:pos="720"/>
              <w:tab w:val="left" w:pos="1100" w:leader="none"/>
              <w:tab w:val="right" w:pos="9628" w:leader="dot"/>
            </w:tabs>
            <w:rPr>
              <w:rFonts w:cs="Times New Roman"/>
              <w:i w:val="false"/>
              <w:i w:val="false"/>
              <w:iCs w:val="false"/>
              <w:sz w:val="22"/>
              <w:szCs w:val="22"/>
              <w:lang w:val="el-GR" w:eastAsia="el-GR"/>
            </w:rPr>
          </w:pPr>
          <w:hyperlink w:anchor="_Toc129004402">
            <w:r>
              <w:rPr>
                <w:lang w:val="el-GR"/>
              </w:rPr>
              <w:t>2.1.1</w:t>
            </w:r>
            <w:r>
              <w:rPr>
                <w:rFonts w:cs="Times New Roman"/>
                <w:i w:val="false"/>
                <w:iCs w:val="false"/>
                <w:sz w:val="22"/>
                <w:szCs w:val="22"/>
                <w:lang w:val="el-GR" w:eastAsia="el-GR"/>
              </w:rPr>
              <w:tab/>
            </w:r>
            <w:r>
              <w:rPr>
                <w:lang w:val="el-GR"/>
              </w:rPr>
              <w:t>Έγγραφα της σύμβασης</w:t>
            </w:r>
            <w:r>
              <w:rPr>
                <w:webHidden/>
              </w:rPr>
              <w:fldChar w:fldCharType="begin"/>
            </w:r>
            <w:r>
              <w:rPr>
                <w:webHidden/>
              </w:rPr>
              <w:instrText xml:space="preserve">PAGEREF _Toc129004402 \h</w:instrText>
            </w:r>
            <w:r>
              <w:rPr>
                <w:webHidden/>
              </w:rPr>
              <w:fldChar w:fldCharType="separate"/>
            </w:r>
            <w:r>
              <w:rPr/>
              <w:tab/>
              <w:t>14</w:t>
            </w:r>
            <w:r>
              <w:rPr>
                <w:webHidden/>
              </w:rPr>
              <w:fldChar w:fldCharType="end"/>
            </w:r>
          </w:hyperlink>
        </w:p>
        <w:p>
          <w:pPr>
            <w:pStyle w:val="35"/>
            <w:tabs>
              <w:tab w:val="clear" w:pos="720"/>
              <w:tab w:val="left" w:pos="1100" w:leader="none"/>
              <w:tab w:val="right" w:pos="9628" w:leader="dot"/>
            </w:tabs>
            <w:rPr>
              <w:rFonts w:cs="Times New Roman"/>
              <w:i w:val="false"/>
              <w:i w:val="false"/>
              <w:iCs w:val="false"/>
              <w:sz w:val="22"/>
              <w:szCs w:val="22"/>
              <w:lang w:val="el-GR" w:eastAsia="el-GR"/>
            </w:rPr>
          </w:pPr>
          <w:hyperlink w:anchor="_Toc129004403">
            <w:r>
              <w:rPr>
                <w:lang w:val="el-GR"/>
              </w:rPr>
              <w:t>2.1.2</w:t>
            </w:r>
            <w:r>
              <w:rPr>
                <w:rFonts w:cs="Times New Roman"/>
                <w:i w:val="false"/>
                <w:iCs w:val="false"/>
                <w:sz w:val="22"/>
                <w:szCs w:val="22"/>
                <w:lang w:val="el-GR" w:eastAsia="el-GR"/>
              </w:rPr>
              <w:tab/>
            </w:r>
            <w:r>
              <w:rPr>
                <w:lang w:val="el-GR"/>
              </w:rPr>
              <w:t>Επικοινωνία - Πρόσβαση στα έγγραφα της Σύμβασης</w:t>
            </w:r>
            <w:r>
              <w:rPr>
                <w:webHidden/>
              </w:rPr>
              <w:fldChar w:fldCharType="begin"/>
            </w:r>
            <w:r>
              <w:rPr>
                <w:webHidden/>
              </w:rPr>
              <w:instrText xml:space="preserve">PAGEREF _Toc129004403 \h</w:instrText>
            </w:r>
            <w:r>
              <w:rPr>
                <w:webHidden/>
              </w:rPr>
              <w:fldChar w:fldCharType="separate"/>
            </w:r>
            <w:r>
              <w:rPr/>
              <w:tab/>
              <w:t>14</w:t>
            </w:r>
            <w:r>
              <w:rPr>
                <w:webHidden/>
              </w:rPr>
              <w:fldChar w:fldCharType="end"/>
            </w:r>
          </w:hyperlink>
        </w:p>
        <w:p>
          <w:pPr>
            <w:pStyle w:val="35"/>
            <w:tabs>
              <w:tab w:val="clear" w:pos="720"/>
              <w:tab w:val="left" w:pos="1100" w:leader="none"/>
              <w:tab w:val="right" w:pos="9628" w:leader="dot"/>
            </w:tabs>
            <w:rPr>
              <w:rFonts w:cs="Times New Roman"/>
              <w:i w:val="false"/>
              <w:i w:val="false"/>
              <w:iCs w:val="false"/>
              <w:sz w:val="22"/>
              <w:szCs w:val="22"/>
              <w:lang w:val="el-GR" w:eastAsia="el-GR"/>
            </w:rPr>
          </w:pPr>
          <w:hyperlink w:anchor="_Toc129004404">
            <w:r>
              <w:rPr>
                <w:lang w:val="el-GR"/>
              </w:rPr>
              <w:t>2.1.3</w:t>
            </w:r>
            <w:r>
              <w:rPr>
                <w:rFonts w:cs="Times New Roman"/>
                <w:i w:val="false"/>
                <w:iCs w:val="false"/>
                <w:sz w:val="22"/>
                <w:szCs w:val="22"/>
                <w:lang w:val="el-GR" w:eastAsia="el-GR"/>
              </w:rPr>
              <w:tab/>
            </w:r>
            <w:r>
              <w:rPr>
                <w:lang w:val="el-GR"/>
              </w:rPr>
              <w:t>Παροχή Διευκρινίσεων</w:t>
            </w:r>
            <w:r>
              <w:rPr>
                <w:webHidden/>
              </w:rPr>
              <w:fldChar w:fldCharType="begin"/>
            </w:r>
            <w:r>
              <w:rPr>
                <w:webHidden/>
              </w:rPr>
              <w:instrText xml:space="preserve">PAGEREF _Toc129004404 \h</w:instrText>
            </w:r>
            <w:r>
              <w:rPr>
                <w:webHidden/>
              </w:rPr>
              <w:fldChar w:fldCharType="separate"/>
            </w:r>
            <w:r>
              <w:rPr/>
              <w:tab/>
              <w:t>15</w:t>
            </w:r>
            <w:r>
              <w:rPr>
                <w:webHidden/>
              </w:rPr>
              <w:fldChar w:fldCharType="end"/>
            </w:r>
          </w:hyperlink>
        </w:p>
        <w:p>
          <w:pPr>
            <w:pStyle w:val="35"/>
            <w:tabs>
              <w:tab w:val="clear" w:pos="720"/>
              <w:tab w:val="left" w:pos="1100" w:leader="none"/>
              <w:tab w:val="right" w:pos="9628" w:leader="dot"/>
            </w:tabs>
            <w:rPr>
              <w:rFonts w:cs="Times New Roman"/>
              <w:i w:val="false"/>
              <w:i w:val="false"/>
              <w:iCs w:val="false"/>
              <w:sz w:val="22"/>
              <w:szCs w:val="22"/>
              <w:lang w:val="el-GR" w:eastAsia="el-GR"/>
            </w:rPr>
          </w:pPr>
          <w:hyperlink w:anchor="_Toc129004405">
            <w:r>
              <w:rPr>
                <w:lang w:val="el-GR"/>
              </w:rPr>
              <w:t>2.1.4</w:t>
            </w:r>
            <w:r>
              <w:rPr>
                <w:rFonts w:cs="Times New Roman"/>
                <w:i w:val="false"/>
                <w:iCs w:val="false"/>
                <w:sz w:val="22"/>
                <w:szCs w:val="22"/>
                <w:lang w:val="el-GR" w:eastAsia="el-GR"/>
              </w:rPr>
              <w:tab/>
            </w:r>
            <w:r>
              <w:rPr>
                <w:lang w:val="el-GR"/>
              </w:rPr>
              <w:t>Γλώσσα</w:t>
            </w:r>
            <w:r>
              <w:rPr>
                <w:webHidden/>
              </w:rPr>
              <w:fldChar w:fldCharType="begin"/>
            </w:r>
            <w:r>
              <w:rPr>
                <w:webHidden/>
              </w:rPr>
              <w:instrText xml:space="preserve">PAGEREF _Toc129004405 \h</w:instrText>
            </w:r>
            <w:r>
              <w:rPr>
                <w:webHidden/>
              </w:rPr>
              <w:fldChar w:fldCharType="separate"/>
            </w:r>
            <w:r>
              <w:rPr/>
              <w:tab/>
              <w:t>17</w:t>
            </w:r>
            <w:r>
              <w:rPr>
                <w:webHidden/>
              </w:rPr>
              <w:fldChar w:fldCharType="end"/>
            </w:r>
          </w:hyperlink>
        </w:p>
        <w:p>
          <w:pPr>
            <w:pStyle w:val="35"/>
            <w:tabs>
              <w:tab w:val="clear" w:pos="720"/>
              <w:tab w:val="left" w:pos="1100" w:leader="none"/>
              <w:tab w:val="right" w:pos="9628" w:leader="dot"/>
            </w:tabs>
            <w:rPr>
              <w:rFonts w:cs="Times New Roman"/>
              <w:i w:val="false"/>
              <w:i w:val="false"/>
              <w:iCs w:val="false"/>
              <w:sz w:val="22"/>
              <w:szCs w:val="22"/>
              <w:lang w:val="el-GR" w:eastAsia="el-GR"/>
            </w:rPr>
          </w:pPr>
          <w:hyperlink w:anchor="_Toc129004406">
            <w:r>
              <w:rPr>
                <w:lang w:val="el-GR"/>
              </w:rPr>
              <w:t>2.1.5</w:t>
            </w:r>
            <w:r>
              <w:rPr>
                <w:rFonts w:cs="Times New Roman"/>
                <w:i w:val="false"/>
                <w:iCs w:val="false"/>
                <w:sz w:val="22"/>
                <w:szCs w:val="22"/>
                <w:lang w:val="el-GR" w:eastAsia="el-GR"/>
              </w:rPr>
              <w:tab/>
            </w:r>
            <w:r>
              <w:rPr>
                <w:lang w:val="el-GR"/>
              </w:rPr>
              <w:t>Εγγυήσεις</w:t>
            </w:r>
            <w:r>
              <w:rPr>
                <w:webHidden/>
              </w:rPr>
              <w:fldChar w:fldCharType="begin"/>
            </w:r>
            <w:r>
              <w:rPr>
                <w:webHidden/>
              </w:rPr>
              <w:instrText xml:space="preserve">PAGEREF _Toc129004406 \h</w:instrText>
            </w:r>
            <w:r>
              <w:rPr>
                <w:webHidden/>
              </w:rPr>
              <w:fldChar w:fldCharType="separate"/>
            </w:r>
            <w:r>
              <w:rPr/>
              <w:tab/>
              <w:t>17</w:t>
            </w:r>
            <w:r>
              <w:rPr>
                <w:webHidden/>
              </w:rPr>
              <w:fldChar w:fldCharType="end"/>
            </w:r>
          </w:hyperlink>
        </w:p>
        <w:p>
          <w:pPr>
            <w:pStyle w:val="35"/>
            <w:tabs>
              <w:tab w:val="clear" w:pos="720"/>
              <w:tab w:val="left" w:pos="1100" w:leader="none"/>
              <w:tab w:val="right" w:pos="9628" w:leader="dot"/>
            </w:tabs>
            <w:rPr>
              <w:rFonts w:cs="Times New Roman"/>
              <w:i w:val="false"/>
              <w:i w:val="false"/>
              <w:iCs w:val="false"/>
              <w:sz w:val="22"/>
              <w:szCs w:val="22"/>
              <w:lang w:val="el-GR" w:eastAsia="el-GR"/>
            </w:rPr>
          </w:pPr>
          <w:hyperlink w:anchor="_Toc129004407">
            <w:r>
              <w:rPr>
                <w:lang w:val="el-GR"/>
              </w:rPr>
              <w:t>2.1.6</w:t>
            </w:r>
            <w:r>
              <w:rPr>
                <w:rFonts w:cs="Times New Roman"/>
                <w:i w:val="false"/>
                <w:iCs w:val="false"/>
                <w:sz w:val="22"/>
                <w:szCs w:val="22"/>
                <w:lang w:val="el-GR" w:eastAsia="el-GR"/>
              </w:rPr>
              <w:tab/>
            </w:r>
            <w:r>
              <w:rPr>
                <w:lang w:val="el-GR"/>
              </w:rPr>
              <w:t>Προστασία Προσωπικών Δεδομένων</w:t>
            </w:r>
            <w:r>
              <w:rPr>
                <w:webHidden/>
              </w:rPr>
              <w:fldChar w:fldCharType="begin"/>
            </w:r>
            <w:r>
              <w:rPr>
                <w:webHidden/>
              </w:rPr>
              <w:instrText xml:space="preserve">PAGEREF _Toc129004407 \h</w:instrText>
            </w:r>
            <w:r>
              <w:rPr>
                <w:webHidden/>
              </w:rPr>
              <w:fldChar w:fldCharType="separate"/>
            </w:r>
            <w:r>
              <w:rPr/>
              <w:tab/>
              <w:t>18</w:t>
            </w:r>
            <w:r>
              <w:rPr>
                <w:webHidden/>
              </w:rPr>
              <w:fldChar w:fldCharType="end"/>
            </w:r>
          </w:hyperlink>
        </w:p>
        <w:p>
          <w:pPr>
            <w:pStyle w:val="210"/>
            <w:tabs>
              <w:tab w:val="clear" w:pos="720"/>
              <w:tab w:val="left" w:pos="880" w:leader="none"/>
              <w:tab w:val="right" w:pos="9628" w:leader="dot"/>
            </w:tabs>
            <w:rPr>
              <w:rFonts w:cs="Times New Roman"/>
              <w:caps w:val="false"/>
              <w:smallCaps w:val="false"/>
              <w:sz w:val="22"/>
              <w:szCs w:val="22"/>
              <w:lang w:val="el-GR" w:eastAsia="el-GR"/>
            </w:rPr>
          </w:pPr>
          <w:hyperlink w:anchor="_Toc129004408">
            <w:r>
              <w:rPr>
                <w:lang w:val="el-GR"/>
              </w:rPr>
              <w:t>2.2</w:t>
            </w:r>
            <w:r>
              <w:rPr>
                <w:rFonts w:cs="Times New Roman"/>
                <w:caps w:val="false"/>
                <w:smallCaps w:val="false"/>
                <w:sz w:val="22"/>
                <w:szCs w:val="22"/>
                <w:lang w:val="el-GR" w:eastAsia="el-GR"/>
              </w:rPr>
              <w:tab/>
            </w:r>
            <w:r>
              <w:rPr>
                <w:lang w:val="el-GR"/>
              </w:rPr>
              <w:t>Δικαίωμα Συμμετοχής - Κριτήρια Ποιοτικής Επιλογής</w:t>
            </w:r>
            <w:r>
              <w:rPr>
                <w:webHidden/>
              </w:rPr>
              <w:fldChar w:fldCharType="begin"/>
            </w:r>
            <w:r>
              <w:rPr>
                <w:webHidden/>
              </w:rPr>
              <w:instrText xml:space="preserve">PAGEREF _Toc129004408 \h</w:instrText>
            </w:r>
            <w:r>
              <w:rPr>
                <w:webHidden/>
              </w:rPr>
              <w:fldChar w:fldCharType="separate"/>
            </w:r>
            <w:r>
              <w:rPr/>
              <w:tab/>
              <w:t>18</w:t>
            </w:r>
            <w:r>
              <w:rPr>
                <w:webHidden/>
              </w:rPr>
              <w:fldChar w:fldCharType="end"/>
            </w:r>
          </w:hyperlink>
        </w:p>
        <w:p>
          <w:pPr>
            <w:pStyle w:val="35"/>
            <w:tabs>
              <w:tab w:val="clear" w:pos="720"/>
              <w:tab w:val="left" w:pos="1100" w:leader="none"/>
              <w:tab w:val="right" w:pos="9628" w:leader="dot"/>
            </w:tabs>
            <w:rPr>
              <w:rFonts w:cs="Times New Roman"/>
              <w:i w:val="false"/>
              <w:i w:val="false"/>
              <w:iCs w:val="false"/>
              <w:sz w:val="22"/>
              <w:szCs w:val="22"/>
              <w:lang w:val="el-GR" w:eastAsia="el-GR"/>
            </w:rPr>
          </w:pPr>
          <w:hyperlink w:anchor="_Toc129004409">
            <w:r>
              <w:rPr>
                <w:lang w:val="el-GR"/>
              </w:rPr>
              <w:t>2.2.1</w:t>
            </w:r>
            <w:r>
              <w:rPr>
                <w:rFonts w:cs="Times New Roman"/>
                <w:i w:val="false"/>
                <w:iCs w:val="false"/>
                <w:sz w:val="22"/>
                <w:szCs w:val="22"/>
                <w:lang w:val="el-GR" w:eastAsia="el-GR"/>
              </w:rPr>
              <w:tab/>
            </w:r>
            <w:r>
              <w:rPr>
                <w:lang w:val="el-GR"/>
              </w:rPr>
              <w:t>Δικαίωμα συμμετοχής</w:t>
            </w:r>
            <w:r>
              <w:rPr>
                <w:webHidden/>
              </w:rPr>
              <w:fldChar w:fldCharType="begin"/>
            </w:r>
            <w:r>
              <w:rPr>
                <w:webHidden/>
              </w:rPr>
              <w:instrText xml:space="preserve">PAGEREF _Toc129004409 \h</w:instrText>
            </w:r>
            <w:r>
              <w:rPr>
                <w:webHidden/>
              </w:rPr>
              <w:fldChar w:fldCharType="separate"/>
            </w:r>
            <w:r>
              <w:rPr/>
              <w:tab/>
              <w:t>18</w:t>
            </w:r>
            <w:r>
              <w:rPr>
                <w:webHidden/>
              </w:rPr>
              <w:fldChar w:fldCharType="end"/>
            </w:r>
          </w:hyperlink>
        </w:p>
        <w:p>
          <w:pPr>
            <w:pStyle w:val="35"/>
            <w:tabs>
              <w:tab w:val="clear" w:pos="720"/>
              <w:tab w:val="left" w:pos="1100" w:leader="none"/>
              <w:tab w:val="right" w:pos="9628" w:leader="dot"/>
            </w:tabs>
            <w:rPr>
              <w:rFonts w:cs="Times New Roman"/>
              <w:i w:val="false"/>
              <w:i w:val="false"/>
              <w:iCs w:val="false"/>
              <w:sz w:val="22"/>
              <w:szCs w:val="22"/>
              <w:lang w:val="el-GR" w:eastAsia="el-GR"/>
            </w:rPr>
          </w:pPr>
          <w:hyperlink w:anchor="_Toc129004410">
            <w:r>
              <w:rPr>
                <w:lang w:val="el-GR"/>
              </w:rPr>
              <w:t>2.2.2</w:t>
            </w:r>
            <w:r>
              <w:rPr>
                <w:rFonts w:cs="Times New Roman"/>
                <w:i w:val="false"/>
                <w:iCs w:val="false"/>
                <w:sz w:val="22"/>
                <w:szCs w:val="22"/>
                <w:lang w:val="el-GR" w:eastAsia="el-GR"/>
              </w:rPr>
              <w:tab/>
            </w:r>
            <w:r>
              <w:rPr>
                <w:lang w:val="el-GR"/>
              </w:rPr>
              <w:t>Εγγύηση συμμετοχής</w:t>
            </w:r>
            <w:r>
              <w:rPr>
                <w:webHidden/>
              </w:rPr>
              <w:fldChar w:fldCharType="begin"/>
            </w:r>
            <w:r>
              <w:rPr>
                <w:webHidden/>
              </w:rPr>
              <w:instrText xml:space="preserve">PAGEREF _Toc129004410 \h</w:instrText>
            </w:r>
            <w:r>
              <w:rPr>
                <w:webHidden/>
              </w:rPr>
              <w:fldChar w:fldCharType="separate"/>
            </w:r>
            <w:r>
              <w:rPr/>
              <w:tab/>
              <w:t>19</w:t>
            </w:r>
            <w:r>
              <w:rPr>
                <w:webHidden/>
              </w:rPr>
              <w:fldChar w:fldCharType="end"/>
            </w:r>
          </w:hyperlink>
        </w:p>
        <w:p>
          <w:pPr>
            <w:pStyle w:val="35"/>
            <w:tabs>
              <w:tab w:val="clear" w:pos="720"/>
              <w:tab w:val="left" w:pos="1100" w:leader="none"/>
              <w:tab w:val="right" w:pos="9628" w:leader="dot"/>
            </w:tabs>
            <w:rPr>
              <w:rFonts w:cs="Times New Roman"/>
              <w:i w:val="false"/>
              <w:i w:val="false"/>
              <w:iCs w:val="false"/>
              <w:sz w:val="22"/>
              <w:szCs w:val="22"/>
              <w:lang w:val="el-GR" w:eastAsia="el-GR"/>
            </w:rPr>
          </w:pPr>
          <w:hyperlink w:anchor="_Toc129004411">
            <w:r>
              <w:rPr>
                <w:lang w:val="el-GR"/>
              </w:rPr>
              <w:t>2.2.3</w:t>
            </w:r>
            <w:r>
              <w:rPr>
                <w:rFonts w:cs="Times New Roman"/>
                <w:i w:val="false"/>
                <w:iCs w:val="false"/>
                <w:sz w:val="22"/>
                <w:szCs w:val="22"/>
                <w:lang w:val="el-GR" w:eastAsia="el-GR"/>
              </w:rPr>
              <w:tab/>
            </w:r>
            <w:r>
              <w:rPr>
                <w:lang w:val="el-GR"/>
              </w:rPr>
              <w:t>Λόγοι αποκλεισμού</w:t>
            </w:r>
            <w:r>
              <w:rPr>
                <w:webHidden/>
              </w:rPr>
              <w:fldChar w:fldCharType="begin"/>
            </w:r>
            <w:r>
              <w:rPr>
                <w:webHidden/>
              </w:rPr>
              <w:instrText xml:space="preserve">PAGEREF _Toc129004411 \h</w:instrText>
            </w:r>
            <w:r>
              <w:rPr>
                <w:webHidden/>
              </w:rPr>
              <w:fldChar w:fldCharType="separate"/>
            </w:r>
            <w:r>
              <w:rPr/>
              <w:tab/>
              <w:t>20</w:t>
            </w:r>
            <w:r>
              <w:rPr>
                <w:webHidden/>
              </w:rPr>
              <w:fldChar w:fldCharType="end"/>
            </w:r>
          </w:hyperlink>
        </w:p>
        <w:p>
          <w:pPr>
            <w:pStyle w:val="35"/>
            <w:tabs>
              <w:tab w:val="clear" w:pos="720"/>
              <w:tab w:val="left" w:pos="1100" w:leader="none"/>
              <w:tab w:val="right" w:pos="9628" w:leader="dot"/>
            </w:tabs>
            <w:rPr>
              <w:rFonts w:cs="Times New Roman"/>
              <w:i w:val="false"/>
              <w:i w:val="false"/>
              <w:iCs w:val="false"/>
              <w:sz w:val="22"/>
              <w:szCs w:val="22"/>
              <w:lang w:val="el-GR" w:eastAsia="el-GR"/>
            </w:rPr>
          </w:pPr>
          <w:hyperlink w:anchor="_Toc129004412">
            <w:r>
              <w:rPr>
                <w:lang w:val="el-GR"/>
              </w:rPr>
              <w:t>2.2.4</w:t>
            </w:r>
            <w:r>
              <w:rPr>
                <w:rFonts w:cs="Times New Roman"/>
                <w:i w:val="false"/>
                <w:iCs w:val="false"/>
                <w:sz w:val="22"/>
                <w:szCs w:val="22"/>
                <w:lang w:val="el-GR" w:eastAsia="el-GR"/>
              </w:rPr>
              <w:tab/>
            </w:r>
            <w:r>
              <w:rPr>
                <w:lang w:val="el-GR"/>
              </w:rPr>
              <w:t>Καταλληλότητα άσκησης επαγγελματικής δραστηριότητας</w:t>
            </w:r>
            <w:r>
              <w:rPr>
                <w:webHidden/>
              </w:rPr>
              <w:fldChar w:fldCharType="begin"/>
            </w:r>
            <w:r>
              <w:rPr>
                <w:webHidden/>
              </w:rPr>
              <w:instrText xml:space="preserve">PAGEREF _Toc129004412 \h</w:instrText>
            </w:r>
            <w:r>
              <w:rPr>
                <w:webHidden/>
              </w:rPr>
              <w:fldChar w:fldCharType="separate"/>
            </w:r>
            <w:r>
              <w:rPr/>
              <w:tab/>
              <w:t>26</w:t>
            </w:r>
            <w:r>
              <w:rPr>
                <w:webHidden/>
              </w:rPr>
              <w:fldChar w:fldCharType="end"/>
            </w:r>
          </w:hyperlink>
        </w:p>
        <w:p>
          <w:pPr>
            <w:pStyle w:val="35"/>
            <w:tabs>
              <w:tab w:val="clear" w:pos="720"/>
              <w:tab w:val="left" w:pos="1100" w:leader="none"/>
              <w:tab w:val="right" w:pos="9628" w:leader="dot"/>
            </w:tabs>
            <w:rPr>
              <w:rFonts w:cs="Times New Roman"/>
              <w:i w:val="false"/>
              <w:i w:val="false"/>
              <w:iCs w:val="false"/>
              <w:sz w:val="22"/>
              <w:szCs w:val="22"/>
              <w:lang w:val="el-GR" w:eastAsia="el-GR"/>
            </w:rPr>
          </w:pPr>
          <w:hyperlink w:anchor="_Toc129004413">
            <w:r>
              <w:rPr>
                <w:lang w:val="el-GR"/>
              </w:rPr>
              <w:t>2.2.5</w:t>
            </w:r>
            <w:r>
              <w:rPr>
                <w:rFonts w:cs="Times New Roman"/>
                <w:i w:val="false"/>
                <w:iCs w:val="false"/>
                <w:sz w:val="22"/>
                <w:szCs w:val="22"/>
                <w:lang w:val="el-GR" w:eastAsia="el-GR"/>
              </w:rPr>
              <w:tab/>
            </w:r>
            <w:r>
              <w:rPr>
                <w:lang w:val="el-GR"/>
              </w:rPr>
              <w:t>Οικονομική και χρηματοοικονομική επάρκεια</w:t>
            </w:r>
            <w:r>
              <w:rPr>
                <w:webHidden/>
              </w:rPr>
              <w:fldChar w:fldCharType="begin"/>
            </w:r>
            <w:r>
              <w:rPr>
                <w:webHidden/>
              </w:rPr>
              <w:instrText xml:space="preserve">PAGEREF _Toc129004413 \h</w:instrText>
            </w:r>
            <w:r>
              <w:rPr>
                <w:webHidden/>
              </w:rPr>
              <w:fldChar w:fldCharType="separate"/>
            </w:r>
            <w:r>
              <w:rPr/>
              <w:tab/>
              <w:t>27</w:t>
            </w:r>
            <w:r>
              <w:rPr>
                <w:webHidden/>
              </w:rPr>
              <w:fldChar w:fldCharType="end"/>
            </w:r>
          </w:hyperlink>
        </w:p>
        <w:p>
          <w:pPr>
            <w:pStyle w:val="35"/>
            <w:tabs>
              <w:tab w:val="clear" w:pos="720"/>
              <w:tab w:val="left" w:pos="1100" w:leader="none"/>
              <w:tab w:val="right" w:pos="9628" w:leader="dot"/>
            </w:tabs>
            <w:rPr>
              <w:rFonts w:cs="Times New Roman"/>
              <w:i w:val="false"/>
              <w:i w:val="false"/>
              <w:iCs w:val="false"/>
              <w:sz w:val="22"/>
              <w:szCs w:val="22"/>
              <w:lang w:val="el-GR" w:eastAsia="el-GR"/>
            </w:rPr>
          </w:pPr>
          <w:hyperlink w:anchor="_Toc129004414">
            <w:r>
              <w:rPr>
                <w:lang w:val="el-GR"/>
              </w:rPr>
              <w:t>2.2.6</w:t>
            </w:r>
            <w:r>
              <w:rPr>
                <w:rFonts w:cs="Times New Roman"/>
                <w:i w:val="false"/>
                <w:iCs w:val="false"/>
                <w:sz w:val="22"/>
                <w:szCs w:val="22"/>
                <w:lang w:val="el-GR" w:eastAsia="el-GR"/>
              </w:rPr>
              <w:tab/>
            </w:r>
            <w:r>
              <w:rPr>
                <w:lang w:val="el-GR"/>
              </w:rPr>
              <w:t>Τεχνική και επαγγελματική ικανότητα</w:t>
            </w:r>
            <w:r>
              <w:rPr>
                <w:webHidden/>
              </w:rPr>
              <w:fldChar w:fldCharType="begin"/>
            </w:r>
            <w:r>
              <w:rPr>
                <w:webHidden/>
              </w:rPr>
              <w:instrText xml:space="preserve">PAGEREF _Toc129004414 \h</w:instrText>
            </w:r>
            <w:r>
              <w:rPr>
                <w:webHidden/>
              </w:rPr>
              <w:fldChar w:fldCharType="separate"/>
            </w:r>
            <w:r>
              <w:rPr/>
              <w:tab/>
              <w:t>28</w:t>
            </w:r>
            <w:r>
              <w:rPr>
                <w:webHidden/>
              </w:rPr>
              <w:fldChar w:fldCharType="end"/>
            </w:r>
          </w:hyperlink>
        </w:p>
        <w:p>
          <w:pPr>
            <w:pStyle w:val="35"/>
            <w:tabs>
              <w:tab w:val="clear" w:pos="720"/>
              <w:tab w:val="left" w:pos="1100" w:leader="none"/>
              <w:tab w:val="right" w:pos="9628" w:leader="dot"/>
            </w:tabs>
            <w:rPr>
              <w:rFonts w:cs="Times New Roman"/>
              <w:i w:val="false"/>
              <w:i w:val="false"/>
              <w:iCs w:val="false"/>
              <w:sz w:val="22"/>
              <w:szCs w:val="22"/>
              <w:lang w:val="el-GR" w:eastAsia="el-GR"/>
            </w:rPr>
          </w:pPr>
          <w:hyperlink w:anchor="_Toc129004415">
            <w:r>
              <w:rPr>
                <w:lang w:val="el-GR"/>
              </w:rPr>
              <w:t>2.2.7</w:t>
            </w:r>
            <w:r>
              <w:rPr>
                <w:rFonts w:cs="Times New Roman"/>
                <w:i w:val="false"/>
                <w:iCs w:val="false"/>
                <w:sz w:val="22"/>
                <w:szCs w:val="22"/>
                <w:lang w:val="el-GR" w:eastAsia="el-GR"/>
              </w:rPr>
              <w:tab/>
            </w:r>
            <w:r>
              <w:rPr>
                <w:lang w:val="el-GR"/>
              </w:rPr>
              <w:t>Πρότυπα διασφάλισης ποιότητας και πρότυπα περιβαλλοντικής διαχείρισης</w:t>
            </w:r>
            <w:r>
              <w:rPr>
                <w:webHidden/>
              </w:rPr>
              <w:fldChar w:fldCharType="begin"/>
            </w:r>
            <w:r>
              <w:rPr>
                <w:webHidden/>
              </w:rPr>
              <w:instrText xml:space="preserve">PAGEREF _Toc129004415 \h</w:instrText>
            </w:r>
            <w:r>
              <w:rPr>
                <w:webHidden/>
              </w:rPr>
              <w:fldChar w:fldCharType="separate"/>
            </w:r>
            <w:r>
              <w:rPr/>
              <w:tab/>
              <w:t>30</w:t>
            </w:r>
            <w:r>
              <w:rPr>
                <w:webHidden/>
              </w:rPr>
              <w:fldChar w:fldCharType="end"/>
            </w:r>
          </w:hyperlink>
        </w:p>
        <w:p>
          <w:pPr>
            <w:pStyle w:val="35"/>
            <w:tabs>
              <w:tab w:val="clear" w:pos="720"/>
              <w:tab w:val="left" w:pos="1100" w:leader="none"/>
              <w:tab w:val="right" w:pos="9628" w:leader="dot"/>
            </w:tabs>
            <w:rPr>
              <w:rFonts w:cs="Times New Roman"/>
              <w:i w:val="false"/>
              <w:i w:val="false"/>
              <w:iCs w:val="false"/>
              <w:sz w:val="22"/>
              <w:szCs w:val="22"/>
              <w:lang w:val="el-GR" w:eastAsia="el-GR"/>
            </w:rPr>
          </w:pPr>
          <w:hyperlink w:anchor="_Toc129004416">
            <w:r>
              <w:rPr>
                <w:lang w:val="el-GR"/>
              </w:rPr>
              <w:t>2.2.8</w:t>
            </w:r>
            <w:r>
              <w:rPr>
                <w:rFonts w:cs="Times New Roman"/>
                <w:i w:val="false"/>
                <w:iCs w:val="false"/>
                <w:sz w:val="22"/>
                <w:szCs w:val="22"/>
                <w:lang w:val="el-GR" w:eastAsia="el-GR"/>
              </w:rPr>
              <w:tab/>
            </w:r>
            <w:r>
              <w:rPr>
                <w:lang w:val="el-GR"/>
              </w:rPr>
              <w:t>Στήριξη στην ικανότητα τρίτων – Υπεργολαβία</w:t>
            </w:r>
            <w:r>
              <w:rPr>
                <w:webHidden/>
              </w:rPr>
              <w:fldChar w:fldCharType="begin"/>
            </w:r>
            <w:r>
              <w:rPr>
                <w:webHidden/>
              </w:rPr>
              <w:instrText xml:space="preserve">PAGEREF _Toc129004416 \h</w:instrText>
            </w:r>
            <w:r>
              <w:rPr>
                <w:webHidden/>
              </w:rPr>
              <w:fldChar w:fldCharType="separate"/>
            </w:r>
            <w:r>
              <w:rPr/>
              <w:tab/>
              <w:t>30</w:t>
            </w:r>
            <w:r>
              <w:rPr>
                <w:webHidden/>
              </w:rPr>
              <w:fldChar w:fldCharType="end"/>
            </w:r>
          </w:hyperlink>
        </w:p>
        <w:p>
          <w:pPr>
            <w:pStyle w:val="45"/>
            <w:tabs>
              <w:tab w:val="clear" w:pos="720"/>
              <w:tab w:val="right" w:pos="9628" w:leader="dot"/>
            </w:tabs>
            <w:rPr>
              <w:rFonts w:cs="Times New Roman"/>
              <w:sz w:val="22"/>
              <w:szCs w:val="22"/>
              <w:lang w:val="el-GR" w:eastAsia="el-GR"/>
            </w:rPr>
          </w:pPr>
          <w:hyperlink w:anchor="_Toc129004417">
            <w:r>
              <w:rPr>
                <w:lang w:val="el-GR"/>
              </w:rPr>
              <w:t>2.2.8.1. Στήριξη στην ικανότητα τρίτων</w:t>
            </w:r>
            <w:r>
              <w:rPr>
                <w:webHidden/>
              </w:rPr>
              <w:fldChar w:fldCharType="begin"/>
            </w:r>
            <w:r>
              <w:rPr>
                <w:webHidden/>
              </w:rPr>
              <w:instrText xml:space="preserve">PAGEREF _Toc129004417 \h</w:instrText>
            </w:r>
            <w:r>
              <w:rPr>
                <w:webHidden/>
              </w:rPr>
              <w:fldChar w:fldCharType="separate"/>
            </w:r>
            <w:r>
              <w:rPr/>
              <w:tab/>
              <w:t>30</w:t>
            </w:r>
            <w:r>
              <w:rPr>
                <w:webHidden/>
              </w:rPr>
              <w:fldChar w:fldCharType="end"/>
            </w:r>
          </w:hyperlink>
        </w:p>
        <w:p>
          <w:pPr>
            <w:pStyle w:val="45"/>
            <w:tabs>
              <w:tab w:val="clear" w:pos="720"/>
              <w:tab w:val="right" w:pos="9628" w:leader="dot"/>
            </w:tabs>
            <w:rPr>
              <w:rFonts w:cs="Times New Roman"/>
              <w:sz w:val="22"/>
              <w:szCs w:val="22"/>
              <w:lang w:val="el-GR" w:eastAsia="el-GR"/>
            </w:rPr>
          </w:pPr>
          <w:hyperlink w:anchor="_Toc129004418">
            <w:r>
              <w:rPr>
                <w:lang w:val="el-GR"/>
              </w:rPr>
              <w:t>2.2.8.2. Υπεργολαβία</w:t>
            </w:r>
            <w:r>
              <w:rPr>
                <w:webHidden/>
              </w:rPr>
              <w:fldChar w:fldCharType="begin"/>
            </w:r>
            <w:r>
              <w:rPr>
                <w:webHidden/>
              </w:rPr>
              <w:instrText xml:space="preserve">PAGEREF _Toc129004418 \h</w:instrText>
            </w:r>
            <w:r>
              <w:rPr>
                <w:webHidden/>
              </w:rPr>
              <w:fldChar w:fldCharType="separate"/>
            </w:r>
            <w:r>
              <w:rPr/>
              <w:tab/>
              <w:t>31</w:t>
            </w:r>
            <w:r>
              <w:rPr>
                <w:webHidden/>
              </w:rPr>
              <w:fldChar w:fldCharType="end"/>
            </w:r>
          </w:hyperlink>
        </w:p>
        <w:p>
          <w:pPr>
            <w:pStyle w:val="35"/>
            <w:tabs>
              <w:tab w:val="clear" w:pos="720"/>
              <w:tab w:val="left" w:pos="1100" w:leader="none"/>
              <w:tab w:val="right" w:pos="9628" w:leader="dot"/>
            </w:tabs>
            <w:rPr>
              <w:rFonts w:cs="Times New Roman"/>
              <w:i w:val="false"/>
              <w:i w:val="false"/>
              <w:iCs w:val="false"/>
              <w:sz w:val="22"/>
              <w:szCs w:val="22"/>
              <w:lang w:val="el-GR" w:eastAsia="el-GR"/>
            </w:rPr>
          </w:pPr>
          <w:hyperlink w:anchor="_Toc129004419">
            <w:r>
              <w:rPr>
                <w:lang w:val="el-GR"/>
              </w:rPr>
              <w:t>2.2.9</w:t>
            </w:r>
            <w:r>
              <w:rPr>
                <w:rFonts w:cs="Times New Roman"/>
                <w:i w:val="false"/>
                <w:iCs w:val="false"/>
                <w:sz w:val="22"/>
                <w:szCs w:val="22"/>
                <w:lang w:val="el-GR" w:eastAsia="el-GR"/>
              </w:rPr>
              <w:tab/>
            </w:r>
            <w:r>
              <w:rPr>
                <w:lang w:val="el-GR"/>
              </w:rPr>
              <w:t>Κανόνες απόδειξης ποιοτικής επιλογής</w:t>
            </w:r>
            <w:r>
              <w:rPr>
                <w:webHidden/>
              </w:rPr>
              <w:fldChar w:fldCharType="begin"/>
            </w:r>
            <w:r>
              <w:rPr>
                <w:webHidden/>
              </w:rPr>
              <w:instrText xml:space="preserve">PAGEREF _Toc129004419 \h</w:instrText>
            </w:r>
            <w:r>
              <w:rPr>
                <w:webHidden/>
              </w:rPr>
              <w:fldChar w:fldCharType="separate"/>
            </w:r>
            <w:r>
              <w:rPr/>
              <w:tab/>
              <w:t>32</w:t>
            </w:r>
            <w:r>
              <w:rPr>
                <w:webHidden/>
              </w:rPr>
              <w:fldChar w:fldCharType="end"/>
            </w:r>
          </w:hyperlink>
        </w:p>
        <w:p>
          <w:pPr>
            <w:pStyle w:val="45"/>
            <w:tabs>
              <w:tab w:val="clear" w:pos="720"/>
              <w:tab w:val="left" w:pos="1540" w:leader="none"/>
              <w:tab w:val="right" w:pos="9628" w:leader="dot"/>
            </w:tabs>
            <w:rPr>
              <w:rFonts w:cs="Times New Roman"/>
              <w:sz w:val="22"/>
              <w:szCs w:val="22"/>
              <w:lang w:val="el-GR" w:eastAsia="el-GR"/>
            </w:rPr>
          </w:pPr>
          <w:hyperlink w:anchor="_Toc129004420">
            <w:r>
              <w:rPr>
                <w:lang w:val="el-GR"/>
              </w:rPr>
              <w:t>2.2.9.1</w:t>
            </w:r>
            <w:r>
              <w:rPr>
                <w:rFonts w:cs="Times New Roman"/>
                <w:sz w:val="22"/>
                <w:szCs w:val="22"/>
                <w:lang w:val="el-GR" w:eastAsia="el-GR"/>
              </w:rPr>
              <w:tab/>
            </w:r>
            <w:r>
              <w:rPr>
                <w:lang w:val="el-GR"/>
              </w:rPr>
              <w:t>Προκαταρκτική απόδειξη κατά την υποβολή προσφορών</w:t>
            </w:r>
            <w:r>
              <w:rPr>
                <w:webHidden/>
              </w:rPr>
              <w:fldChar w:fldCharType="begin"/>
            </w:r>
            <w:r>
              <w:rPr>
                <w:webHidden/>
              </w:rPr>
              <w:instrText xml:space="preserve">PAGEREF _Toc129004420 \h</w:instrText>
            </w:r>
            <w:r>
              <w:rPr>
                <w:webHidden/>
              </w:rPr>
              <w:fldChar w:fldCharType="separate"/>
            </w:r>
            <w:r>
              <w:rPr/>
              <w:tab/>
              <w:t>32</w:t>
            </w:r>
            <w:r>
              <w:rPr>
                <w:webHidden/>
              </w:rPr>
              <w:fldChar w:fldCharType="end"/>
            </w:r>
          </w:hyperlink>
        </w:p>
        <w:p>
          <w:pPr>
            <w:pStyle w:val="45"/>
            <w:tabs>
              <w:tab w:val="clear" w:pos="720"/>
              <w:tab w:val="left" w:pos="1540" w:leader="none"/>
              <w:tab w:val="right" w:pos="9628" w:leader="dot"/>
            </w:tabs>
            <w:rPr>
              <w:rFonts w:cs="Times New Roman"/>
              <w:sz w:val="22"/>
              <w:szCs w:val="22"/>
              <w:lang w:val="el-GR" w:eastAsia="el-GR"/>
            </w:rPr>
          </w:pPr>
          <w:hyperlink w:anchor="_Toc129004421">
            <w:r>
              <w:rPr>
                <w:lang w:val="el-GR"/>
              </w:rPr>
              <w:t>2.2.9.2</w:t>
            </w:r>
            <w:r>
              <w:rPr>
                <w:rFonts w:cs="Times New Roman"/>
                <w:sz w:val="22"/>
                <w:szCs w:val="22"/>
                <w:lang w:val="el-GR" w:eastAsia="el-GR"/>
              </w:rPr>
              <w:tab/>
            </w:r>
            <w:r>
              <w:rPr>
                <w:lang w:val="el-GR"/>
              </w:rPr>
              <w:t>Αποδεικτικά μέσα</w:t>
            </w:r>
            <w:r>
              <w:rPr>
                <w:webHidden/>
              </w:rPr>
              <w:fldChar w:fldCharType="begin"/>
            </w:r>
            <w:r>
              <w:rPr>
                <w:webHidden/>
              </w:rPr>
              <w:instrText xml:space="preserve">PAGEREF _Toc129004421 \h</w:instrText>
            </w:r>
            <w:r>
              <w:rPr>
                <w:webHidden/>
              </w:rPr>
              <w:fldChar w:fldCharType="separate"/>
            </w:r>
            <w:r>
              <w:rPr/>
              <w:tab/>
              <w:t>34</w:t>
            </w:r>
            <w:r>
              <w:rPr>
                <w:webHidden/>
              </w:rPr>
              <w:fldChar w:fldCharType="end"/>
            </w:r>
          </w:hyperlink>
        </w:p>
        <w:p>
          <w:pPr>
            <w:pStyle w:val="210"/>
            <w:tabs>
              <w:tab w:val="clear" w:pos="720"/>
              <w:tab w:val="left" w:pos="880" w:leader="none"/>
              <w:tab w:val="right" w:pos="9628" w:leader="dot"/>
            </w:tabs>
            <w:rPr>
              <w:rFonts w:cs="Times New Roman"/>
              <w:caps w:val="false"/>
              <w:smallCaps w:val="false"/>
              <w:sz w:val="22"/>
              <w:szCs w:val="22"/>
              <w:lang w:val="el-GR" w:eastAsia="el-GR"/>
            </w:rPr>
          </w:pPr>
          <w:hyperlink w:anchor="_Toc129004422">
            <w:r>
              <w:rPr>
                <w:lang w:val="el-GR"/>
              </w:rPr>
              <w:t>2.3</w:t>
            </w:r>
            <w:r>
              <w:rPr>
                <w:rFonts w:cs="Times New Roman"/>
                <w:caps w:val="false"/>
                <w:smallCaps w:val="false"/>
                <w:sz w:val="22"/>
                <w:szCs w:val="22"/>
                <w:lang w:val="el-GR" w:eastAsia="el-GR"/>
              </w:rPr>
              <w:tab/>
            </w:r>
            <w:r>
              <w:rPr>
                <w:lang w:val="el-GR"/>
              </w:rPr>
              <w:t>Κριτήρια Ανάθεσης</w:t>
            </w:r>
            <w:r>
              <w:rPr>
                <w:webHidden/>
              </w:rPr>
              <w:fldChar w:fldCharType="begin"/>
            </w:r>
            <w:r>
              <w:rPr>
                <w:webHidden/>
              </w:rPr>
              <w:instrText xml:space="preserve">PAGEREF _Toc129004422 \h</w:instrText>
            </w:r>
            <w:r>
              <w:rPr>
                <w:webHidden/>
              </w:rPr>
              <w:fldChar w:fldCharType="separate"/>
            </w:r>
            <w:r>
              <w:rPr/>
              <w:tab/>
              <w:t>42</w:t>
            </w:r>
            <w:r>
              <w:rPr>
                <w:webHidden/>
              </w:rPr>
              <w:fldChar w:fldCharType="end"/>
            </w:r>
          </w:hyperlink>
        </w:p>
        <w:p>
          <w:pPr>
            <w:pStyle w:val="35"/>
            <w:tabs>
              <w:tab w:val="clear" w:pos="720"/>
              <w:tab w:val="left" w:pos="1100" w:leader="none"/>
              <w:tab w:val="right" w:pos="9628" w:leader="dot"/>
            </w:tabs>
            <w:rPr>
              <w:rFonts w:cs="Times New Roman"/>
              <w:i w:val="false"/>
              <w:i w:val="false"/>
              <w:iCs w:val="false"/>
              <w:sz w:val="22"/>
              <w:szCs w:val="22"/>
              <w:lang w:val="el-GR" w:eastAsia="el-GR"/>
            </w:rPr>
          </w:pPr>
          <w:hyperlink w:anchor="_Toc129004423">
            <w:r>
              <w:rPr>
                <w:lang w:val="el-GR"/>
              </w:rPr>
              <w:t>2.3.1</w:t>
            </w:r>
            <w:r>
              <w:rPr>
                <w:rFonts w:cs="Times New Roman"/>
                <w:i w:val="false"/>
                <w:iCs w:val="false"/>
                <w:sz w:val="22"/>
                <w:szCs w:val="22"/>
                <w:lang w:val="el-GR" w:eastAsia="el-GR"/>
              </w:rPr>
              <w:tab/>
            </w:r>
            <w:r>
              <w:rPr>
                <w:lang w:val="el-GR"/>
              </w:rPr>
              <w:t>Κριτήριο ανάθεσης</w:t>
            </w:r>
            <w:r>
              <w:rPr>
                <w:webHidden/>
              </w:rPr>
              <w:fldChar w:fldCharType="begin"/>
            </w:r>
            <w:r>
              <w:rPr>
                <w:webHidden/>
              </w:rPr>
              <w:instrText xml:space="preserve">PAGEREF _Toc129004423 \h</w:instrText>
            </w:r>
            <w:r>
              <w:rPr>
                <w:webHidden/>
              </w:rPr>
              <w:fldChar w:fldCharType="separate"/>
            </w:r>
            <w:r>
              <w:rPr/>
              <w:tab/>
              <w:t>42</w:t>
            </w:r>
            <w:r>
              <w:rPr>
                <w:webHidden/>
              </w:rPr>
              <w:fldChar w:fldCharType="end"/>
            </w:r>
          </w:hyperlink>
        </w:p>
        <w:p>
          <w:pPr>
            <w:pStyle w:val="35"/>
            <w:tabs>
              <w:tab w:val="clear" w:pos="720"/>
              <w:tab w:val="left" w:pos="1100" w:leader="none"/>
              <w:tab w:val="right" w:pos="9628" w:leader="dot"/>
            </w:tabs>
            <w:rPr>
              <w:rFonts w:cs="Times New Roman"/>
              <w:i w:val="false"/>
              <w:i w:val="false"/>
              <w:iCs w:val="false"/>
              <w:sz w:val="22"/>
              <w:szCs w:val="22"/>
              <w:lang w:val="el-GR" w:eastAsia="el-GR"/>
            </w:rPr>
          </w:pPr>
          <w:hyperlink w:anchor="_Toc129004424">
            <w:r>
              <w:rPr>
                <w:lang w:val="el-GR"/>
              </w:rPr>
              <w:t>2.3.2</w:t>
            </w:r>
            <w:r>
              <w:rPr>
                <w:rFonts w:cs="Times New Roman"/>
                <w:i w:val="false"/>
                <w:iCs w:val="false"/>
                <w:sz w:val="22"/>
                <w:szCs w:val="22"/>
                <w:lang w:val="el-GR" w:eastAsia="el-GR"/>
              </w:rPr>
              <w:tab/>
            </w:r>
            <w:r>
              <w:rPr>
                <w:lang w:val="el-GR"/>
              </w:rPr>
              <w:t>Βαθμολόγηση και κατάταξη προσφορών [δεν ισχύει στην περίπτωση που το κριτήριο της πλέον συμφέρουσας από οικονομική άποψη προσφορά βασίζεται μόνο στην τιμή]</w:t>
            </w:r>
            <w:r>
              <w:rPr>
                <w:webHidden/>
              </w:rPr>
              <w:fldChar w:fldCharType="begin"/>
            </w:r>
            <w:r>
              <w:rPr>
                <w:webHidden/>
              </w:rPr>
              <w:instrText xml:space="preserve">PAGEREF _Toc129004424 \h</w:instrText>
            </w:r>
            <w:r>
              <w:rPr>
                <w:webHidden/>
              </w:rPr>
              <w:fldChar w:fldCharType="separate"/>
            </w:r>
            <w:r>
              <w:rPr/>
              <w:tab/>
              <w:t>44</w:t>
            </w:r>
            <w:r>
              <w:rPr>
                <w:webHidden/>
              </w:rPr>
              <w:fldChar w:fldCharType="end"/>
            </w:r>
          </w:hyperlink>
        </w:p>
        <w:p>
          <w:pPr>
            <w:pStyle w:val="35"/>
            <w:tabs>
              <w:tab w:val="clear" w:pos="720"/>
              <w:tab w:val="left" w:pos="1100" w:leader="none"/>
              <w:tab w:val="right" w:pos="9628" w:leader="dot"/>
            </w:tabs>
            <w:rPr>
              <w:rFonts w:cs="Times New Roman"/>
              <w:i w:val="false"/>
              <w:i w:val="false"/>
              <w:iCs w:val="false"/>
              <w:sz w:val="22"/>
              <w:szCs w:val="22"/>
              <w:lang w:val="el-GR" w:eastAsia="el-GR"/>
            </w:rPr>
          </w:pPr>
          <w:hyperlink w:anchor="_Toc129004425">
            <w:r>
              <w:rPr>
                <w:lang w:val="el-GR"/>
              </w:rPr>
              <w:t>2.3.3</w:t>
            </w:r>
            <w:r>
              <w:rPr>
                <w:rFonts w:cs="Times New Roman"/>
                <w:i w:val="false"/>
                <w:iCs w:val="false"/>
                <w:sz w:val="22"/>
                <w:szCs w:val="22"/>
                <w:lang w:val="el-GR" w:eastAsia="el-GR"/>
              </w:rPr>
              <w:tab/>
            </w:r>
            <w:r>
              <w:rPr>
                <w:lang w:val="el-GR"/>
              </w:rPr>
              <w:t>Ηλεκτρονικοί πλειστηριασμοί</w:t>
            </w:r>
            <w:r>
              <w:rPr>
                <w:webHidden/>
              </w:rPr>
              <w:fldChar w:fldCharType="begin"/>
            </w:r>
            <w:r>
              <w:rPr>
                <w:webHidden/>
              </w:rPr>
              <w:instrText xml:space="preserve">PAGEREF _Toc129004425 \h</w:instrText>
            </w:r>
            <w:r>
              <w:rPr>
                <w:webHidden/>
              </w:rPr>
              <w:fldChar w:fldCharType="separate"/>
            </w:r>
            <w:r>
              <w:rPr/>
              <w:tab/>
              <w:t>45</w:t>
            </w:r>
            <w:r>
              <w:rPr>
                <w:webHidden/>
              </w:rPr>
              <w:fldChar w:fldCharType="end"/>
            </w:r>
          </w:hyperlink>
        </w:p>
        <w:p>
          <w:pPr>
            <w:pStyle w:val="210"/>
            <w:tabs>
              <w:tab w:val="clear" w:pos="720"/>
              <w:tab w:val="left" w:pos="880" w:leader="none"/>
              <w:tab w:val="right" w:pos="9628" w:leader="dot"/>
            </w:tabs>
            <w:rPr>
              <w:rFonts w:cs="Times New Roman"/>
              <w:caps w:val="false"/>
              <w:smallCaps w:val="false"/>
              <w:sz w:val="22"/>
              <w:szCs w:val="22"/>
              <w:lang w:val="el-GR" w:eastAsia="el-GR"/>
            </w:rPr>
          </w:pPr>
          <w:hyperlink w:anchor="_Toc129004426">
            <w:r>
              <w:rPr>
                <w:lang w:val="el-GR"/>
              </w:rPr>
              <w:t>2.4</w:t>
            </w:r>
            <w:r>
              <w:rPr>
                <w:rFonts w:cs="Times New Roman"/>
                <w:caps w:val="false"/>
                <w:smallCaps w:val="false"/>
                <w:sz w:val="22"/>
                <w:szCs w:val="22"/>
                <w:lang w:val="el-GR" w:eastAsia="el-GR"/>
              </w:rPr>
              <w:tab/>
            </w:r>
            <w:r>
              <w:rPr>
                <w:lang w:val="el-GR"/>
              </w:rPr>
              <w:t>Κατάρτιση - Περιεχόμενο Προσφορών</w:t>
            </w:r>
            <w:r>
              <w:rPr>
                <w:webHidden/>
              </w:rPr>
              <w:fldChar w:fldCharType="begin"/>
            </w:r>
            <w:r>
              <w:rPr>
                <w:webHidden/>
              </w:rPr>
              <w:instrText xml:space="preserve">PAGEREF _Toc129004426 \h</w:instrText>
            </w:r>
            <w:r>
              <w:rPr>
                <w:webHidden/>
              </w:rPr>
              <w:fldChar w:fldCharType="separate"/>
            </w:r>
            <w:r>
              <w:rPr/>
              <w:tab/>
              <w:t>45</w:t>
            </w:r>
            <w:r>
              <w:rPr>
                <w:webHidden/>
              </w:rPr>
              <w:fldChar w:fldCharType="end"/>
            </w:r>
          </w:hyperlink>
        </w:p>
        <w:p>
          <w:pPr>
            <w:pStyle w:val="35"/>
            <w:tabs>
              <w:tab w:val="clear" w:pos="720"/>
              <w:tab w:val="left" w:pos="1100" w:leader="none"/>
              <w:tab w:val="right" w:pos="9628" w:leader="dot"/>
            </w:tabs>
            <w:rPr>
              <w:rFonts w:cs="Times New Roman"/>
              <w:i w:val="false"/>
              <w:i w:val="false"/>
              <w:iCs w:val="false"/>
              <w:sz w:val="22"/>
              <w:szCs w:val="22"/>
              <w:lang w:val="el-GR" w:eastAsia="el-GR"/>
            </w:rPr>
          </w:pPr>
          <w:hyperlink w:anchor="_Toc129004427">
            <w:r>
              <w:rPr>
                <w:lang w:val="el-GR"/>
              </w:rPr>
              <w:t>2.4.1</w:t>
            </w:r>
            <w:r>
              <w:rPr>
                <w:rFonts w:cs="Times New Roman"/>
                <w:i w:val="false"/>
                <w:iCs w:val="false"/>
                <w:sz w:val="22"/>
                <w:szCs w:val="22"/>
                <w:lang w:val="el-GR" w:eastAsia="el-GR"/>
              </w:rPr>
              <w:tab/>
            </w:r>
            <w:r>
              <w:rPr>
                <w:lang w:val="el-GR"/>
              </w:rPr>
              <w:t>Γενικοί όροι υποβολής προσφορών</w:t>
            </w:r>
            <w:r>
              <w:rPr>
                <w:webHidden/>
              </w:rPr>
              <w:fldChar w:fldCharType="begin"/>
            </w:r>
            <w:r>
              <w:rPr>
                <w:webHidden/>
              </w:rPr>
              <w:instrText xml:space="preserve">PAGEREF _Toc129004427 \h</w:instrText>
            </w:r>
            <w:r>
              <w:rPr>
                <w:webHidden/>
              </w:rPr>
              <w:fldChar w:fldCharType="separate"/>
            </w:r>
            <w:r>
              <w:rPr/>
              <w:tab/>
              <w:t>45</w:t>
            </w:r>
            <w:r>
              <w:rPr>
                <w:webHidden/>
              </w:rPr>
              <w:fldChar w:fldCharType="end"/>
            </w:r>
          </w:hyperlink>
        </w:p>
        <w:p>
          <w:pPr>
            <w:pStyle w:val="35"/>
            <w:tabs>
              <w:tab w:val="clear" w:pos="720"/>
              <w:tab w:val="left" w:pos="1100" w:leader="none"/>
              <w:tab w:val="right" w:pos="9628" w:leader="dot"/>
            </w:tabs>
            <w:rPr>
              <w:rFonts w:cs="Times New Roman"/>
              <w:i w:val="false"/>
              <w:i w:val="false"/>
              <w:iCs w:val="false"/>
              <w:sz w:val="22"/>
              <w:szCs w:val="22"/>
              <w:lang w:val="el-GR" w:eastAsia="el-GR"/>
            </w:rPr>
          </w:pPr>
          <w:hyperlink w:anchor="_Toc129004428">
            <w:r>
              <w:rPr>
                <w:lang w:val="el-GR"/>
              </w:rPr>
              <w:t>2.4.2</w:t>
            </w:r>
            <w:r>
              <w:rPr>
                <w:rFonts w:cs="Times New Roman"/>
                <w:i w:val="false"/>
                <w:iCs w:val="false"/>
                <w:sz w:val="22"/>
                <w:szCs w:val="22"/>
                <w:lang w:val="el-GR" w:eastAsia="el-GR"/>
              </w:rPr>
              <w:tab/>
            </w:r>
            <w:r>
              <w:rPr>
                <w:lang w:val="el-GR"/>
              </w:rPr>
              <w:t>Χρόνος και Τρόπος υποβολής προσφορών</w:t>
            </w:r>
            <w:r>
              <w:rPr>
                <w:webHidden/>
              </w:rPr>
              <w:fldChar w:fldCharType="begin"/>
            </w:r>
            <w:r>
              <w:rPr>
                <w:webHidden/>
              </w:rPr>
              <w:instrText xml:space="preserve">PAGEREF _Toc129004428 \h</w:instrText>
            </w:r>
            <w:r>
              <w:rPr>
                <w:webHidden/>
              </w:rPr>
              <w:fldChar w:fldCharType="separate"/>
            </w:r>
            <w:r>
              <w:rPr/>
              <w:tab/>
              <w:t>45</w:t>
            </w:r>
            <w:r>
              <w:rPr>
                <w:webHidden/>
              </w:rPr>
              <w:fldChar w:fldCharType="end"/>
            </w:r>
          </w:hyperlink>
        </w:p>
        <w:p>
          <w:pPr>
            <w:pStyle w:val="35"/>
            <w:tabs>
              <w:tab w:val="clear" w:pos="720"/>
              <w:tab w:val="left" w:pos="1100" w:leader="none"/>
              <w:tab w:val="right" w:pos="9628" w:leader="dot"/>
            </w:tabs>
            <w:rPr>
              <w:rFonts w:cs="Times New Roman"/>
              <w:i w:val="false"/>
              <w:i w:val="false"/>
              <w:iCs w:val="false"/>
              <w:sz w:val="22"/>
              <w:szCs w:val="22"/>
              <w:lang w:val="el-GR" w:eastAsia="el-GR"/>
            </w:rPr>
          </w:pPr>
          <w:hyperlink w:anchor="_Toc129004429">
            <w:r>
              <w:rPr>
                <w:lang w:val="el-GR"/>
              </w:rPr>
              <w:t>2.4.3</w:t>
            </w:r>
            <w:r>
              <w:rPr>
                <w:rFonts w:cs="Times New Roman"/>
                <w:i w:val="false"/>
                <w:iCs w:val="false"/>
                <w:sz w:val="22"/>
                <w:szCs w:val="22"/>
                <w:lang w:val="el-GR" w:eastAsia="el-GR"/>
              </w:rPr>
              <w:tab/>
            </w:r>
            <w:r>
              <w:rPr>
                <w:lang w:val="el-GR"/>
              </w:rPr>
              <w:t>Περιεχόμενα Φακέλου «Δικαιολογητικά Συμμετοχής- Τεχνική Προσφορά»</w:t>
            </w:r>
            <w:r>
              <w:rPr>
                <w:webHidden/>
              </w:rPr>
              <w:fldChar w:fldCharType="begin"/>
            </w:r>
            <w:r>
              <w:rPr>
                <w:webHidden/>
              </w:rPr>
              <w:instrText xml:space="preserve">PAGEREF _Toc129004429 \h</w:instrText>
            </w:r>
            <w:r>
              <w:rPr>
                <w:webHidden/>
              </w:rPr>
              <w:fldChar w:fldCharType="separate"/>
            </w:r>
            <w:r>
              <w:rPr/>
              <w:tab/>
              <w:t>49</w:t>
            </w:r>
            <w:r>
              <w:rPr>
                <w:webHidden/>
              </w:rPr>
              <w:fldChar w:fldCharType="end"/>
            </w:r>
          </w:hyperlink>
        </w:p>
        <w:p>
          <w:pPr>
            <w:pStyle w:val="45"/>
            <w:tabs>
              <w:tab w:val="clear" w:pos="720"/>
              <w:tab w:val="right" w:pos="9628" w:leader="dot"/>
            </w:tabs>
            <w:rPr>
              <w:rFonts w:cs="Times New Roman"/>
              <w:sz w:val="22"/>
              <w:szCs w:val="22"/>
              <w:lang w:val="el-GR" w:eastAsia="el-GR"/>
            </w:rPr>
          </w:pPr>
          <w:hyperlink w:anchor="_Toc129004430">
            <w:r>
              <w:rPr>
                <w:lang w:val="el-GR"/>
              </w:rPr>
              <w:t>2.4.3.1 Δικαιολογητικά Συμμετοχής</w:t>
            </w:r>
            <w:r>
              <w:rPr>
                <w:webHidden/>
              </w:rPr>
              <w:fldChar w:fldCharType="begin"/>
            </w:r>
            <w:r>
              <w:rPr>
                <w:webHidden/>
              </w:rPr>
              <w:instrText xml:space="preserve">PAGEREF _Toc129004430 \h</w:instrText>
            </w:r>
            <w:r>
              <w:rPr>
                <w:webHidden/>
              </w:rPr>
              <w:fldChar w:fldCharType="separate"/>
            </w:r>
            <w:r>
              <w:rPr/>
              <w:tab/>
              <w:t>49</w:t>
            </w:r>
            <w:r>
              <w:rPr>
                <w:webHidden/>
              </w:rPr>
              <w:fldChar w:fldCharType="end"/>
            </w:r>
          </w:hyperlink>
        </w:p>
        <w:p>
          <w:pPr>
            <w:pStyle w:val="45"/>
            <w:tabs>
              <w:tab w:val="clear" w:pos="720"/>
              <w:tab w:val="right" w:pos="9628" w:leader="dot"/>
            </w:tabs>
            <w:rPr>
              <w:rFonts w:cs="Times New Roman"/>
              <w:sz w:val="22"/>
              <w:szCs w:val="22"/>
              <w:lang w:val="el-GR" w:eastAsia="el-GR"/>
            </w:rPr>
          </w:pPr>
          <w:hyperlink w:anchor="_Toc129004431">
            <w:r>
              <w:rPr>
                <w:lang w:val="el-GR"/>
              </w:rPr>
              <w:t>2.4.3.2 Τεχνική προσφορά</w:t>
            </w:r>
            <w:r>
              <w:rPr>
                <w:webHidden/>
              </w:rPr>
              <w:fldChar w:fldCharType="begin"/>
            </w:r>
            <w:r>
              <w:rPr>
                <w:webHidden/>
              </w:rPr>
              <w:instrText xml:space="preserve">PAGEREF _Toc129004431 \h</w:instrText>
            </w:r>
            <w:r>
              <w:rPr>
                <w:webHidden/>
              </w:rPr>
              <w:fldChar w:fldCharType="separate"/>
            </w:r>
            <w:r>
              <w:rPr/>
              <w:tab/>
              <w:t>49</w:t>
            </w:r>
            <w:r>
              <w:rPr>
                <w:webHidden/>
              </w:rPr>
              <w:fldChar w:fldCharType="end"/>
            </w:r>
          </w:hyperlink>
        </w:p>
        <w:p>
          <w:pPr>
            <w:pStyle w:val="35"/>
            <w:tabs>
              <w:tab w:val="clear" w:pos="720"/>
              <w:tab w:val="left" w:pos="1100" w:leader="none"/>
              <w:tab w:val="right" w:pos="9628" w:leader="dot"/>
            </w:tabs>
            <w:rPr>
              <w:rFonts w:cs="Times New Roman"/>
              <w:i w:val="false"/>
              <w:i w:val="false"/>
              <w:iCs w:val="false"/>
              <w:sz w:val="22"/>
              <w:szCs w:val="22"/>
              <w:lang w:val="el-GR" w:eastAsia="el-GR"/>
            </w:rPr>
          </w:pPr>
          <w:hyperlink w:anchor="_Toc129004432">
            <w:r>
              <w:rPr>
                <w:lang w:val="el-GR"/>
              </w:rPr>
              <w:t>2.4.4</w:t>
            </w:r>
            <w:r>
              <w:rPr>
                <w:rFonts w:cs="Times New Roman"/>
                <w:i w:val="false"/>
                <w:iCs w:val="false"/>
                <w:sz w:val="22"/>
                <w:szCs w:val="22"/>
                <w:lang w:val="el-GR" w:eastAsia="el-GR"/>
              </w:rPr>
              <w:tab/>
            </w:r>
            <w:r>
              <w:rPr>
                <w:lang w:val="el-GR"/>
              </w:rPr>
              <w:t>Περιεχόμενα Φακέλου «Οικονομική Προσφορά» / Τρόπος σύνταξης και υποβολής οικονομικών προσφορών</w:t>
            </w:r>
            <w:r>
              <w:rPr>
                <w:webHidden/>
              </w:rPr>
              <w:fldChar w:fldCharType="begin"/>
            </w:r>
            <w:r>
              <w:rPr>
                <w:webHidden/>
              </w:rPr>
              <w:instrText xml:space="preserve">PAGEREF _Toc129004432 \h</w:instrText>
            </w:r>
            <w:r>
              <w:rPr>
                <w:webHidden/>
              </w:rPr>
              <w:fldChar w:fldCharType="separate"/>
            </w:r>
            <w:r>
              <w:rPr/>
              <w:tab/>
              <w:t>50</w:t>
            </w:r>
            <w:r>
              <w:rPr>
                <w:webHidden/>
              </w:rPr>
              <w:fldChar w:fldCharType="end"/>
            </w:r>
          </w:hyperlink>
        </w:p>
        <w:p>
          <w:pPr>
            <w:pStyle w:val="35"/>
            <w:tabs>
              <w:tab w:val="clear" w:pos="720"/>
              <w:tab w:val="left" w:pos="1100" w:leader="none"/>
              <w:tab w:val="right" w:pos="9628" w:leader="dot"/>
            </w:tabs>
            <w:rPr>
              <w:rFonts w:cs="Times New Roman"/>
              <w:i w:val="false"/>
              <w:i w:val="false"/>
              <w:iCs w:val="false"/>
              <w:sz w:val="22"/>
              <w:szCs w:val="22"/>
              <w:lang w:val="el-GR" w:eastAsia="el-GR"/>
            </w:rPr>
          </w:pPr>
          <w:hyperlink w:anchor="_Toc129004433">
            <w:r>
              <w:rPr>
                <w:lang w:val="el-GR"/>
              </w:rPr>
              <w:t>2.4.5</w:t>
            </w:r>
            <w:r>
              <w:rPr>
                <w:rFonts w:cs="Times New Roman"/>
                <w:i w:val="false"/>
                <w:iCs w:val="false"/>
                <w:sz w:val="22"/>
                <w:szCs w:val="22"/>
                <w:lang w:val="el-GR" w:eastAsia="el-GR"/>
              </w:rPr>
              <w:tab/>
            </w:r>
            <w:r>
              <w:rPr>
                <w:lang w:val="el-GR"/>
              </w:rPr>
              <w:t>Χρόνος ισχύος των προσφορών</w:t>
            </w:r>
            <w:r>
              <w:rPr>
                <w:webHidden/>
              </w:rPr>
              <w:fldChar w:fldCharType="begin"/>
            </w:r>
            <w:r>
              <w:rPr>
                <w:webHidden/>
              </w:rPr>
              <w:instrText xml:space="preserve">PAGEREF _Toc129004433 \h</w:instrText>
            </w:r>
            <w:r>
              <w:rPr>
                <w:webHidden/>
              </w:rPr>
              <w:fldChar w:fldCharType="separate"/>
            </w:r>
            <w:r>
              <w:rPr/>
              <w:tab/>
              <w:t>51</w:t>
            </w:r>
            <w:r>
              <w:rPr>
                <w:webHidden/>
              </w:rPr>
              <w:fldChar w:fldCharType="end"/>
            </w:r>
          </w:hyperlink>
        </w:p>
        <w:p>
          <w:pPr>
            <w:pStyle w:val="35"/>
            <w:tabs>
              <w:tab w:val="clear" w:pos="720"/>
              <w:tab w:val="left" w:pos="1100" w:leader="none"/>
              <w:tab w:val="right" w:pos="9628" w:leader="dot"/>
            </w:tabs>
            <w:rPr>
              <w:rFonts w:cs="Times New Roman"/>
              <w:i w:val="false"/>
              <w:i w:val="false"/>
              <w:iCs w:val="false"/>
              <w:sz w:val="22"/>
              <w:szCs w:val="22"/>
              <w:lang w:val="el-GR" w:eastAsia="el-GR"/>
            </w:rPr>
          </w:pPr>
          <w:hyperlink w:anchor="_Toc129004434">
            <w:r>
              <w:rPr>
                <w:lang w:val="el-GR"/>
              </w:rPr>
              <w:t>2.4.6</w:t>
            </w:r>
            <w:r>
              <w:rPr>
                <w:rFonts w:cs="Times New Roman"/>
                <w:i w:val="false"/>
                <w:iCs w:val="false"/>
                <w:sz w:val="22"/>
                <w:szCs w:val="22"/>
                <w:lang w:val="el-GR" w:eastAsia="el-GR"/>
              </w:rPr>
              <w:tab/>
            </w:r>
            <w:r>
              <w:rPr>
                <w:lang w:val="el-GR"/>
              </w:rPr>
              <w:t>Λόγοι απόρριψης προσφορών</w:t>
            </w:r>
            <w:r>
              <w:rPr>
                <w:webHidden/>
              </w:rPr>
              <w:fldChar w:fldCharType="begin"/>
            </w:r>
            <w:r>
              <w:rPr>
                <w:webHidden/>
              </w:rPr>
              <w:instrText xml:space="preserve">PAGEREF _Toc129004434 \h</w:instrText>
            </w:r>
            <w:r>
              <w:rPr>
                <w:webHidden/>
              </w:rPr>
              <w:fldChar w:fldCharType="separate"/>
            </w:r>
            <w:r>
              <w:rPr/>
              <w:tab/>
              <w:t>52</w:t>
            </w:r>
            <w:r>
              <w:rPr>
                <w:webHidden/>
              </w:rPr>
              <w:fldChar w:fldCharType="end"/>
            </w:r>
          </w:hyperlink>
        </w:p>
        <w:p>
          <w:pPr>
            <w:pStyle w:val="19"/>
            <w:tabs>
              <w:tab w:val="clear" w:pos="720"/>
              <w:tab w:val="left" w:pos="440" w:leader="none"/>
              <w:tab w:val="right" w:pos="9628" w:leader="dot"/>
            </w:tabs>
            <w:rPr>
              <w:rFonts w:cs="Times New Roman"/>
              <w:b w:val="false"/>
              <w:b w:val="false"/>
              <w:bCs w:val="false"/>
              <w:caps w:val="false"/>
              <w:smallCaps w:val="false"/>
              <w:sz w:val="22"/>
              <w:szCs w:val="22"/>
              <w:lang w:val="el-GR" w:eastAsia="el-GR"/>
            </w:rPr>
          </w:pPr>
          <w:hyperlink w:anchor="_Toc129004435">
            <w:r>
              <w:rPr>
                <w:lang w:val="el-GR"/>
              </w:rPr>
              <w:t>3.</w:t>
            </w:r>
            <w:r>
              <w:rPr>
                <w:rFonts w:cs="Times New Roman"/>
                <w:b w:val="false"/>
                <w:bCs w:val="false"/>
                <w:caps w:val="false"/>
                <w:smallCaps w:val="false"/>
                <w:sz w:val="22"/>
                <w:szCs w:val="22"/>
                <w:lang w:val="el-GR" w:eastAsia="el-GR"/>
              </w:rPr>
              <w:tab/>
            </w:r>
            <w:r>
              <w:rPr>
                <w:lang w:val="el-GR"/>
              </w:rPr>
              <w:t>ΔΙΕΝΕΡΓΕΙΑ ΔΙΑΔΙΚΑΣΙΑΣ - ΑΞΙΟΛΟΓΗΣΗ ΠΡΟΣΦΟΡΩΝ</w:t>
            </w:r>
            <w:r>
              <w:rPr>
                <w:webHidden/>
              </w:rPr>
              <w:fldChar w:fldCharType="begin"/>
            </w:r>
            <w:r>
              <w:rPr>
                <w:webHidden/>
              </w:rPr>
              <w:instrText xml:space="preserve">PAGEREF _Toc129004435 \h</w:instrText>
            </w:r>
            <w:r>
              <w:rPr>
                <w:webHidden/>
              </w:rPr>
              <w:fldChar w:fldCharType="separate"/>
            </w:r>
            <w:r>
              <w:rPr/>
              <w:tab/>
              <w:t>54</w:t>
            </w:r>
            <w:r>
              <w:rPr>
                <w:webHidden/>
              </w:rPr>
              <w:fldChar w:fldCharType="end"/>
            </w:r>
          </w:hyperlink>
        </w:p>
        <w:p>
          <w:pPr>
            <w:pStyle w:val="210"/>
            <w:tabs>
              <w:tab w:val="clear" w:pos="720"/>
              <w:tab w:val="left" w:pos="880" w:leader="none"/>
              <w:tab w:val="right" w:pos="9628" w:leader="dot"/>
            </w:tabs>
            <w:rPr>
              <w:rFonts w:cs="Times New Roman"/>
              <w:caps w:val="false"/>
              <w:smallCaps w:val="false"/>
              <w:sz w:val="22"/>
              <w:szCs w:val="22"/>
              <w:lang w:val="el-GR" w:eastAsia="el-GR"/>
            </w:rPr>
          </w:pPr>
          <w:hyperlink w:anchor="_Toc129004436">
            <w:r>
              <w:rPr>
                <w:lang w:val="el-GR"/>
              </w:rPr>
              <w:t xml:space="preserve">3.1 </w:t>
            </w:r>
            <w:r>
              <w:rPr>
                <w:rFonts w:cs="Times New Roman"/>
                <w:caps w:val="false"/>
                <w:smallCaps w:val="false"/>
                <w:sz w:val="22"/>
                <w:szCs w:val="22"/>
                <w:lang w:val="el-GR" w:eastAsia="el-GR"/>
              </w:rPr>
              <w:tab/>
            </w:r>
            <w:r>
              <w:rPr>
                <w:lang w:val="el-GR"/>
              </w:rPr>
              <w:t>Αποσφράγιση και αξιολόγηση προσφορών</w:t>
            </w:r>
            <w:r>
              <w:rPr>
                <w:webHidden/>
              </w:rPr>
              <w:fldChar w:fldCharType="begin"/>
            </w:r>
            <w:r>
              <w:rPr>
                <w:webHidden/>
              </w:rPr>
              <w:instrText xml:space="preserve">PAGEREF _Toc129004436 \h</w:instrText>
            </w:r>
            <w:r>
              <w:rPr>
                <w:webHidden/>
              </w:rPr>
              <w:fldChar w:fldCharType="separate"/>
            </w:r>
            <w:r>
              <w:rPr/>
              <w:tab/>
              <w:t>54</w:t>
            </w:r>
            <w:r>
              <w:rPr>
                <w:webHidden/>
              </w:rPr>
              <w:fldChar w:fldCharType="end"/>
            </w:r>
          </w:hyperlink>
        </w:p>
        <w:p>
          <w:pPr>
            <w:pStyle w:val="35"/>
            <w:tabs>
              <w:tab w:val="clear" w:pos="720"/>
              <w:tab w:val="left" w:pos="1100" w:leader="none"/>
              <w:tab w:val="right" w:pos="9628" w:leader="dot"/>
            </w:tabs>
            <w:rPr>
              <w:rFonts w:cs="Times New Roman"/>
              <w:i w:val="false"/>
              <w:i w:val="false"/>
              <w:iCs w:val="false"/>
              <w:sz w:val="22"/>
              <w:szCs w:val="22"/>
              <w:lang w:val="el-GR" w:eastAsia="el-GR"/>
            </w:rPr>
          </w:pPr>
          <w:hyperlink w:anchor="_Toc129004437">
            <w:r>
              <w:rPr>
                <w:rFonts w:cs="Arial"/>
                <w:kern w:val="2"/>
                <w:lang w:val="el-GR"/>
              </w:rPr>
              <w:t>3.1.1</w:t>
            </w:r>
            <w:r>
              <w:rPr>
                <w:rFonts w:cs="Times New Roman"/>
                <w:i w:val="false"/>
                <w:iCs w:val="false"/>
                <w:sz w:val="22"/>
                <w:szCs w:val="22"/>
                <w:lang w:val="el-GR" w:eastAsia="el-GR"/>
              </w:rPr>
              <w:tab/>
            </w:r>
            <w:r>
              <w:rPr>
                <w:rFonts w:cs="Arial"/>
                <w:kern w:val="2"/>
                <w:lang w:val="el-GR"/>
              </w:rPr>
              <w:t>Ηλεκτρονική αποσφράγιση προσφορών</w:t>
            </w:r>
            <w:r>
              <w:rPr>
                <w:webHidden/>
              </w:rPr>
              <w:fldChar w:fldCharType="begin"/>
            </w:r>
            <w:r>
              <w:rPr>
                <w:webHidden/>
              </w:rPr>
              <w:instrText xml:space="preserve">PAGEREF _Toc129004437 \h</w:instrText>
            </w:r>
            <w:r>
              <w:rPr>
                <w:webHidden/>
              </w:rPr>
              <w:fldChar w:fldCharType="separate"/>
            </w:r>
            <w:r>
              <w:rPr/>
              <w:tab/>
              <w:t>54</w:t>
            </w:r>
            <w:r>
              <w:rPr>
                <w:webHidden/>
              </w:rPr>
              <w:fldChar w:fldCharType="end"/>
            </w:r>
          </w:hyperlink>
        </w:p>
        <w:p>
          <w:pPr>
            <w:pStyle w:val="35"/>
            <w:tabs>
              <w:tab w:val="clear" w:pos="720"/>
              <w:tab w:val="left" w:pos="1100" w:leader="none"/>
              <w:tab w:val="right" w:pos="9628" w:leader="dot"/>
            </w:tabs>
            <w:rPr>
              <w:rFonts w:cs="Times New Roman"/>
              <w:i w:val="false"/>
              <w:i w:val="false"/>
              <w:iCs w:val="false"/>
              <w:sz w:val="22"/>
              <w:szCs w:val="22"/>
              <w:lang w:val="el-GR" w:eastAsia="el-GR"/>
            </w:rPr>
          </w:pPr>
          <w:hyperlink w:anchor="_Toc129004438">
            <w:r>
              <w:rPr>
                <w:lang w:val="el-GR"/>
              </w:rPr>
              <w:t>3.1.2</w:t>
            </w:r>
            <w:r>
              <w:rPr>
                <w:rFonts w:cs="Times New Roman"/>
                <w:i w:val="false"/>
                <w:iCs w:val="false"/>
                <w:sz w:val="22"/>
                <w:szCs w:val="22"/>
                <w:lang w:val="el-GR" w:eastAsia="el-GR"/>
              </w:rPr>
              <w:tab/>
            </w:r>
            <w:r>
              <w:rPr>
                <w:lang w:val="el-GR"/>
              </w:rPr>
              <w:t>Αξιολόγηση προσφορών</w:t>
            </w:r>
            <w:r>
              <w:rPr>
                <w:webHidden/>
              </w:rPr>
              <w:fldChar w:fldCharType="begin"/>
            </w:r>
            <w:r>
              <w:rPr>
                <w:webHidden/>
              </w:rPr>
              <w:instrText xml:space="preserve">PAGEREF _Toc129004438 \h</w:instrText>
            </w:r>
            <w:r>
              <w:rPr>
                <w:webHidden/>
              </w:rPr>
              <w:fldChar w:fldCharType="separate"/>
            </w:r>
            <w:r>
              <w:rPr/>
              <w:tab/>
              <w:t>54</w:t>
            </w:r>
            <w:r>
              <w:rPr>
                <w:webHidden/>
              </w:rPr>
              <w:fldChar w:fldCharType="end"/>
            </w:r>
          </w:hyperlink>
        </w:p>
        <w:p>
          <w:pPr>
            <w:pStyle w:val="210"/>
            <w:tabs>
              <w:tab w:val="clear" w:pos="720"/>
              <w:tab w:val="left" w:pos="880" w:leader="none"/>
              <w:tab w:val="right" w:pos="9628" w:leader="dot"/>
            </w:tabs>
            <w:rPr>
              <w:rFonts w:cs="Times New Roman"/>
              <w:caps w:val="false"/>
              <w:smallCaps w:val="false"/>
              <w:sz w:val="22"/>
              <w:szCs w:val="22"/>
              <w:lang w:val="el-GR" w:eastAsia="el-GR"/>
            </w:rPr>
          </w:pPr>
          <w:hyperlink w:anchor="_Toc129004439">
            <w:r>
              <w:rPr>
                <w:lang w:val="el-GR"/>
              </w:rPr>
              <w:t>3.2</w:t>
            </w:r>
            <w:r>
              <w:rPr>
                <w:rFonts w:cs="Times New Roman"/>
                <w:caps w:val="false"/>
                <w:smallCaps w:val="false"/>
                <w:sz w:val="22"/>
                <w:szCs w:val="22"/>
                <w:lang w:val="el-GR" w:eastAsia="el-GR"/>
              </w:rPr>
              <w:tab/>
            </w:r>
            <w:r>
              <w:rPr>
                <w:lang w:val="el-GR"/>
              </w:rPr>
              <w:t>Πρόσκληση υποβολής δικαιολογητικών προσωρινού αναδόχου - Δικαιολογητικά προσωρινού αναδόχου</w:t>
            </w:r>
            <w:r>
              <w:rPr>
                <w:webHidden/>
              </w:rPr>
              <w:fldChar w:fldCharType="begin"/>
            </w:r>
            <w:r>
              <w:rPr>
                <w:webHidden/>
              </w:rPr>
              <w:instrText xml:space="preserve">PAGEREF _Toc129004439 \h</w:instrText>
            </w:r>
            <w:r>
              <w:rPr>
                <w:webHidden/>
              </w:rPr>
              <w:fldChar w:fldCharType="separate"/>
            </w:r>
            <w:r>
              <w:rPr/>
              <w:tab/>
              <w:t>58</w:t>
            </w:r>
            <w:r>
              <w:rPr>
                <w:webHidden/>
              </w:rPr>
              <w:fldChar w:fldCharType="end"/>
            </w:r>
          </w:hyperlink>
        </w:p>
        <w:p>
          <w:pPr>
            <w:pStyle w:val="210"/>
            <w:tabs>
              <w:tab w:val="clear" w:pos="720"/>
              <w:tab w:val="left" w:pos="880" w:leader="none"/>
              <w:tab w:val="right" w:pos="9628" w:leader="dot"/>
            </w:tabs>
            <w:rPr>
              <w:rFonts w:cs="Times New Roman"/>
              <w:caps w:val="false"/>
              <w:smallCaps w:val="false"/>
              <w:sz w:val="22"/>
              <w:szCs w:val="22"/>
              <w:lang w:val="el-GR" w:eastAsia="el-GR"/>
            </w:rPr>
          </w:pPr>
          <w:hyperlink w:anchor="_Toc129004440">
            <w:r>
              <w:rPr>
                <w:lang w:val="el-GR"/>
              </w:rPr>
              <w:t>3.3</w:t>
            </w:r>
            <w:r>
              <w:rPr>
                <w:rFonts w:cs="Times New Roman"/>
                <w:caps w:val="false"/>
                <w:smallCaps w:val="false"/>
                <w:sz w:val="22"/>
                <w:szCs w:val="22"/>
                <w:lang w:val="el-GR" w:eastAsia="el-GR"/>
              </w:rPr>
              <w:tab/>
            </w:r>
            <w:r>
              <w:rPr>
                <w:lang w:val="el-GR"/>
              </w:rPr>
              <w:t>Κατακύρωση - σύναψη σύμβασης</w:t>
            </w:r>
            <w:r>
              <w:rPr>
                <w:webHidden/>
              </w:rPr>
              <w:fldChar w:fldCharType="begin"/>
            </w:r>
            <w:r>
              <w:rPr>
                <w:webHidden/>
              </w:rPr>
              <w:instrText xml:space="preserve">PAGEREF _Toc129004440 \h</w:instrText>
            </w:r>
            <w:r>
              <w:rPr>
                <w:webHidden/>
              </w:rPr>
              <w:fldChar w:fldCharType="separate"/>
            </w:r>
            <w:r>
              <w:rPr/>
              <w:tab/>
              <w:t>59</w:t>
            </w:r>
            <w:r>
              <w:rPr>
                <w:webHidden/>
              </w:rPr>
              <w:fldChar w:fldCharType="end"/>
            </w:r>
          </w:hyperlink>
        </w:p>
        <w:p>
          <w:pPr>
            <w:pStyle w:val="210"/>
            <w:tabs>
              <w:tab w:val="clear" w:pos="720"/>
              <w:tab w:val="left" w:pos="880" w:leader="none"/>
              <w:tab w:val="right" w:pos="9628" w:leader="dot"/>
            </w:tabs>
            <w:rPr>
              <w:rFonts w:cs="Times New Roman"/>
              <w:caps w:val="false"/>
              <w:smallCaps w:val="false"/>
              <w:sz w:val="22"/>
              <w:szCs w:val="22"/>
              <w:lang w:val="el-GR" w:eastAsia="el-GR"/>
            </w:rPr>
          </w:pPr>
          <w:hyperlink w:anchor="_Toc129004441">
            <w:r>
              <w:rPr>
                <w:lang w:val="el-GR"/>
              </w:rPr>
              <w:t>3.4</w:t>
            </w:r>
            <w:r>
              <w:rPr>
                <w:rFonts w:cs="Times New Roman"/>
                <w:caps w:val="false"/>
                <w:smallCaps w:val="false"/>
                <w:sz w:val="22"/>
                <w:szCs w:val="22"/>
                <w:lang w:val="el-GR" w:eastAsia="el-GR"/>
              </w:rPr>
              <w:tab/>
            </w:r>
            <w:r>
              <w:rPr>
                <w:lang w:val="el-GR"/>
              </w:rPr>
              <w:t>Προδικαστικές Προσφυγές - Προσωρινή και οριστική Δικαστική Προστασία</w:t>
            </w:r>
            <w:r>
              <w:rPr>
                <w:webHidden/>
              </w:rPr>
              <w:fldChar w:fldCharType="begin"/>
            </w:r>
            <w:r>
              <w:rPr>
                <w:webHidden/>
              </w:rPr>
              <w:instrText xml:space="preserve">PAGEREF _Toc129004441 \h</w:instrText>
            </w:r>
            <w:r>
              <w:rPr>
                <w:webHidden/>
              </w:rPr>
              <w:fldChar w:fldCharType="separate"/>
            </w:r>
            <w:r>
              <w:rPr/>
              <w:tab/>
              <w:t>61</w:t>
            </w:r>
            <w:r>
              <w:rPr>
                <w:webHidden/>
              </w:rPr>
              <w:fldChar w:fldCharType="end"/>
            </w:r>
          </w:hyperlink>
        </w:p>
        <w:p>
          <w:pPr>
            <w:pStyle w:val="210"/>
            <w:tabs>
              <w:tab w:val="clear" w:pos="720"/>
              <w:tab w:val="left" w:pos="880" w:leader="none"/>
              <w:tab w:val="right" w:pos="9628" w:leader="dot"/>
            </w:tabs>
            <w:rPr>
              <w:rFonts w:cs="Times New Roman"/>
              <w:caps w:val="false"/>
              <w:smallCaps w:val="false"/>
              <w:sz w:val="22"/>
              <w:szCs w:val="22"/>
              <w:lang w:val="el-GR" w:eastAsia="el-GR"/>
            </w:rPr>
          </w:pPr>
          <w:hyperlink w:anchor="_Toc129004442">
            <w:r>
              <w:rPr>
                <w:lang w:val="el-GR"/>
              </w:rPr>
              <w:t>3.5</w:t>
            </w:r>
            <w:r>
              <w:rPr>
                <w:rFonts w:cs="Times New Roman"/>
                <w:caps w:val="false"/>
                <w:smallCaps w:val="false"/>
                <w:sz w:val="22"/>
                <w:szCs w:val="22"/>
                <w:lang w:val="el-GR" w:eastAsia="el-GR"/>
              </w:rPr>
              <w:tab/>
            </w:r>
            <w:r>
              <w:rPr>
                <w:lang w:val="el-GR"/>
              </w:rPr>
              <w:t>Ματαίωση Διαδικασίας</w:t>
            </w:r>
            <w:r>
              <w:rPr>
                <w:webHidden/>
              </w:rPr>
              <w:fldChar w:fldCharType="begin"/>
            </w:r>
            <w:r>
              <w:rPr>
                <w:webHidden/>
              </w:rPr>
              <w:instrText xml:space="preserve">PAGEREF _Toc129004442 \h</w:instrText>
            </w:r>
            <w:r>
              <w:rPr>
                <w:webHidden/>
              </w:rPr>
              <w:fldChar w:fldCharType="separate"/>
            </w:r>
            <w:r>
              <w:rPr/>
              <w:tab/>
              <w:t>64</w:t>
            </w:r>
            <w:r>
              <w:rPr>
                <w:webHidden/>
              </w:rPr>
              <w:fldChar w:fldCharType="end"/>
            </w:r>
          </w:hyperlink>
        </w:p>
        <w:p>
          <w:pPr>
            <w:pStyle w:val="19"/>
            <w:tabs>
              <w:tab w:val="clear" w:pos="720"/>
              <w:tab w:val="left" w:pos="440" w:leader="none"/>
              <w:tab w:val="right" w:pos="9628" w:leader="dot"/>
            </w:tabs>
            <w:rPr>
              <w:rFonts w:cs="Times New Roman"/>
              <w:b w:val="false"/>
              <w:b w:val="false"/>
              <w:bCs w:val="false"/>
              <w:caps w:val="false"/>
              <w:smallCaps w:val="false"/>
              <w:sz w:val="22"/>
              <w:szCs w:val="22"/>
              <w:lang w:val="el-GR" w:eastAsia="el-GR"/>
            </w:rPr>
          </w:pPr>
          <w:hyperlink w:anchor="_Toc129004443">
            <w:r>
              <w:rPr>
                <w:lang w:val="el-GR"/>
              </w:rPr>
              <w:t>4.</w:t>
            </w:r>
            <w:r>
              <w:rPr>
                <w:rFonts w:cs="Times New Roman"/>
                <w:b w:val="false"/>
                <w:bCs w:val="false"/>
                <w:caps w:val="false"/>
                <w:smallCaps w:val="false"/>
                <w:sz w:val="22"/>
                <w:szCs w:val="22"/>
                <w:lang w:val="el-GR" w:eastAsia="el-GR"/>
              </w:rPr>
              <w:tab/>
            </w:r>
            <w:r>
              <w:rPr>
                <w:lang w:val="el-GR"/>
              </w:rPr>
              <w:t>ΟΡΟΙ ΕΚΤΕΛΕΣΗΣ ΤΗΣ ΣΥΜΒΑΣΗΣ</w:t>
            </w:r>
            <w:r>
              <w:rPr>
                <w:webHidden/>
              </w:rPr>
              <w:fldChar w:fldCharType="begin"/>
            </w:r>
            <w:r>
              <w:rPr>
                <w:webHidden/>
              </w:rPr>
              <w:instrText xml:space="preserve">PAGEREF _Toc129004443 \h</w:instrText>
            </w:r>
            <w:r>
              <w:rPr>
                <w:webHidden/>
              </w:rPr>
              <w:fldChar w:fldCharType="separate"/>
            </w:r>
            <w:r>
              <w:rPr/>
              <w:tab/>
              <w:t>65</w:t>
            </w:r>
            <w:r>
              <w:rPr>
                <w:webHidden/>
              </w:rPr>
              <w:fldChar w:fldCharType="end"/>
            </w:r>
          </w:hyperlink>
        </w:p>
        <w:p>
          <w:pPr>
            <w:pStyle w:val="210"/>
            <w:tabs>
              <w:tab w:val="clear" w:pos="720"/>
              <w:tab w:val="left" w:pos="880" w:leader="none"/>
              <w:tab w:val="right" w:pos="9628" w:leader="dot"/>
            </w:tabs>
            <w:rPr>
              <w:rFonts w:cs="Times New Roman"/>
              <w:caps w:val="false"/>
              <w:smallCaps w:val="false"/>
              <w:sz w:val="22"/>
              <w:szCs w:val="22"/>
              <w:lang w:val="el-GR" w:eastAsia="el-GR"/>
            </w:rPr>
          </w:pPr>
          <w:hyperlink w:anchor="_Toc129004444">
            <w:r>
              <w:rPr>
                <w:lang w:val="el-GR"/>
              </w:rPr>
              <w:t>4.1</w:t>
            </w:r>
            <w:r>
              <w:rPr>
                <w:rFonts w:cs="Times New Roman"/>
                <w:caps w:val="false"/>
                <w:smallCaps w:val="false"/>
                <w:sz w:val="22"/>
                <w:szCs w:val="22"/>
                <w:lang w:val="el-GR" w:eastAsia="el-GR"/>
              </w:rPr>
              <w:tab/>
            </w:r>
            <w:r>
              <w:rPr>
                <w:lang w:val="el-GR"/>
              </w:rPr>
              <w:t>Εγγυήσεις  (καλής εκτέλεσης, προκαταβολής, καλής λειτουργίας)</w:t>
            </w:r>
            <w:r>
              <w:rPr>
                <w:webHidden/>
              </w:rPr>
              <w:fldChar w:fldCharType="begin"/>
            </w:r>
            <w:r>
              <w:rPr>
                <w:webHidden/>
              </w:rPr>
              <w:instrText xml:space="preserve">PAGEREF _Toc129004444 \h</w:instrText>
            </w:r>
            <w:r>
              <w:rPr>
                <w:webHidden/>
              </w:rPr>
              <w:fldChar w:fldCharType="separate"/>
            </w:r>
            <w:r>
              <w:rPr/>
              <w:tab/>
              <w:t>65</w:t>
            </w:r>
            <w:r>
              <w:rPr>
                <w:webHidden/>
              </w:rPr>
              <w:fldChar w:fldCharType="end"/>
            </w:r>
          </w:hyperlink>
        </w:p>
        <w:p>
          <w:pPr>
            <w:pStyle w:val="210"/>
            <w:tabs>
              <w:tab w:val="clear" w:pos="720"/>
              <w:tab w:val="left" w:pos="880" w:leader="none"/>
              <w:tab w:val="right" w:pos="9628" w:leader="dot"/>
            </w:tabs>
            <w:rPr>
              <w:rFonts w:cs="Times New Roman"/>
              <w:caps w:val="false"/>
              <w:smallCaps w:val="false"/>
              <w:sz w:val="22"/>
              <w:szCs w:val="22"/>
              <w:lang w:val="el-GR" w:eastAsia="el-GR"/>
            </w:rPr>
          </w:pPr>
          <w:hyperlink w:anchor="_Toc129004445">
            <w:r>
              <w:rPr>
                <w:lang w:val="el-GR"/>
              </w:rPr>
              <w:t xml:space="preserve">4.2 </w:t>
            </w:r>
            <w:r>
              <w:rPr>
                <w:rFonts w:cs="Times New Roman"/>
                <w:caps w:val="false"/>
                <w:smallCaps w:val="false"/>
                <w:sz w:val="22"/>
                <w:szCs w:val="22"/>
                <w:lang w:val="el-GR" w:eastAsia="el-GR"/>
              </w:rPr>
              <w:tab/>
            </w:r>
            <w:r>
              <w:rPr>
                <w:lang w:val="el-GR"/>
              </w:rPr>
              <w:t>Συμβατικό Πλαίσιο - Εφαρμοστέα Νομοθεσία</w:t>
            </w:r>
            <w:r>
              <w:rPr>
                <w:webHidden/>
              </w:rPr>
              <w:fldChar w:fldCharType="begin"/>
            </w:r>
            <w:r>
              <w:rPr>
                <w:webHidden/>
              </w:rPr>
              <w:instrText xml:space="preserve">PAGEREF _Toc129004445 \h</w:instrText>
            </w:r>
            <w:r>
              <w:rPr>
                <w:webHidden/>
              </w:rPr>
              <w:fldChar w:fldCharType="separate"/>
            </w:r>
            <w:r>
              <w:rPr/>
              <w:tab/>
              <w:t>66</w:t>
            </w:r>
            <w:r>
              <w:rPr>
                <w:webHidden/>
              </w:rPr>
              <w:fldChar w:fldCharType="end"/>
            </w:r>
          </w:hyperlink>
        </w:p>
        <w:p>
          <w:pPr>
            <w:pStyle w:val="210"/>
            <w:tabs>
              <w:tab w:val="clear" w:pos="720"/>
              <w:tab w:val="left" w:pos="880" w:leader="none"/>
              <w:tab w:val="right" w:pos="9628" w:leader="dot"/>
            </w:tabs>
            <w:rPr>
              <w:rFonts w:cs="Times New Roman"/>
              <w:caps w:val="false"/>
              <w:smallCaps w:val="false"/>
              <w:sz w:val="22"/>
              <w:szCs w:val="22"/>
              <w:lang w:val="el-GR" w:eastAsia="el-GR"/>
            </w:rPr>
          </w:pPr>
          <w:hyperlink w:anchor="_Toc129004446">
            <w:r>
              <w:rPr>
                <w:lang w:val="el-GR"/>
              </w:rPr>
              <w:t>4.3</w:t>
            </w:r>
            <w:r>
              <w:rPr>
                <w:rFonts w:cs="Times New Roman"/>
                <w:caps w:val="false"/>
                <w:smallCaps w:val="false"/>
                <w:sz w:val="22"/>
                <w:szCs w:val="22"/>
                <w:lang w:val="el-GR" w:eastAsia="el-GR"/>
              </w:rPr>
              <w:tab/>
            </w:r>
            <w:r>
              <w:rPr>
                <w:lang w:val="el-GR"/>
              </w:rPr>
              <w:t>Όροι εκτέλεσης της σύμβασης</w:t>
            </w:r>
            <w:r>
              <w:rPr>
                <w:webHidden/>
              </w:rPr>
              <w:fldChar w:fldCharType="begin"/>
            </w:r>
            <w:r>
              <w:rPr>
                <w:webHidden/>
              </w:rPr>
              <w:instrText xml:space="preserve">PAGEREF _Toc129004446 \h</w:instrText>
            </w:r>
            <w:r>
              <w:rPr>
                <w:webHidden/>
              </w:rPr>
              <w:fldChar w:fldCharType="separate"/>
            </w:r>
            <w:r>
              <w:rPr/>
              <w:tab/>
              <w:t>66</w:t>
            </w:r>
            <w:r>
              <w:rPr>
                <w:webHidden/>
              </w:rPr>
              <w:fldChar w:fldCharType="end"/>
            </w:r>
          </w:hyperlink>
        </w:p>
        <w:p>
          <w:pPr>
            <w:pStyle w:val="210"/>
            <w:tabs>
              <w:tab w:val="clear" w:pos="720"/>
              <w:tab w:val="left" w:pos="880" w:leader="none"/>
              <w:tab w:val="right" w:pos="9628" w:leader="dot"/>
            </w:tabs>
            <w:rPr>
              <w:rFonts w:cs="Times New Roman"/>
              <w:caps w:val="false"/>
              <w:smallCaps w:val="false"/>
              <w:sz w:val="22"/>
              <w:szCs w:val="22"/>
              <w:lang w:val="el-GR" w:eastAsia="el-GR"/>
            </w:rPr>
          </w:pPr>
          <w:hyperlink w:anchor="_Toc129004447">
            <w:r>
              <w:rPr>
                <w:lang w:val="el-GR"/>
              </w:rPr>
              <w:t>4.4</w:t>
            </w:r>
            <w:r>
              <w:rPr>
                <w:rFonts w:cs="Times New Roman"/>
                <w:caps w:val="false"/>
                <w:smallCaps w:val="false"/>
                <w:sz w:val="22"/>
                <w:szCs w:val="22"/>
                <w:lang w:val="el-GR" w:eastAsia="el-GR"/>
              </w:rPr>
              <w:tab/>
            </w:r>
            <w:r>
              <w:rPr>
                <w:lang w:val="el-GR"/>
              </w:rPr>
              <w:t>Υπεργολαβία</w:t>
            </w:r>
            <w:r>
              <w:rPr>
                <w:webHidden/>
              </w:rPr>
              <w:fldChar w:fldCharType="begin"/>
            </w:r>
            <w:r>
              <w:rPr>
                <w:webHidden/>
              </w:rPr>
              <w:instrText xml:space="preserve">PAGEREF _Toc129004447 \h</w:instrText>
            </w:r>
            <w:r>
              <w:rPr>
                <w:webHidden/>
              </w:rPr>
              <w:fldChar w:fldCharType="separate"/>
            </w:r>
            <w:r>
              <w:rPr/>
              <w:tab/>
              <w:t>67</w:t>
            </w:r>
            <w:r>
              <w:rPr>
                <w:webHidden/>
              </w:rPr>
              <w:fldChar w:fldCharType="end"/>
            </w:r>
          </w:hyperlink>
        </w:p>
        <w:p>
          <w:pPr>
            <w:pStyle w:val="210"/>
            <w:tabs>
              <w:tab w:val="clear" w:pos="720"/>
              <w:tab w:val="left" w:pos="880" w:leader="none"/>
              <w:tab w:val="right" w:pos="9628" w:leader="dot"/>
            </w:tabs>
            <w:rPr>
              <w:rFonts w:cs="Times New Roman"/>
              <w:caps w:val="false"/>
              <w:smallCaps w:val="false"/>
              <w:sz w:val="22"/>
              <w:szCs w:val="22"/>
              <w:lang w:val="el-GR" w:eastAsia="el-GR"/>
            </w:rPr>
          </w:pPr>
          <w:hyperlink w:anchor="_Toc129004448">
            <w:r>
              <w:rPr>
                <w:lang w:val="el-GR"/>
              </w:rPr>
              <w:t>4.5</w:t>
            </w:r>
            <w:r>
              <w:rPr>
                <w:rFonts w:cs="Times New Roman"/>
                <w:caps w:val="false"/>
                <w:smallCaps w:val="false"/>
                <w:sz w:val="22"/>
                <w:szCs w:val="22"/>
                <w:lang w:val="el-GR" w:eastAsia="el-GR"/>
              </w:rPr>
              <w:tab/>
            </w:r>
            <w:r>
              <w:rPr>
                <w:lang w:val="el-GR"/>
              </w:rPr>
              <w:t>Τροποποίηση σύμβασης κατά τη διάρκειά της</w:t>
            </w:r>
            <w:r>
              <w:rPr>
                <w:webHidden/>
              </w:rPr>
              <w:fldChar w:fldCharType="begin"/>
            </w:r>
            <w:r>
              <w:rPr>
                <w:webHidden/>
              </w:rPr>
              <w:instrText xml:space="preserve">PAGEREF _Toc129004448 \h</w:instrText>
            </w:r>
            <w:r>
              <w:rPr>
                <w:webHidden/>
              </w:rPr>
              <w:fldChar w:fldCharType="separate"/>
            </w:r>
            <w:r>
              <w:rPr/>
              <w:tab/>
              <w:t>68</w:t>
            </w:r>
            <w:r>
              <w:rPr>
                <w:webHidden/>
              </w:rPr>
              <w:fldChar w:fldCharType="end"/>
            </w:r>
          </w:hyperlink>
        </w:p>
        <w:p>
          <w:pPr>
            <w:pStyle w:val="210"/>
            <w:tabs>
              <w:tab w:val="clear" w:pos="720"/>
              <w:tab w:val="left" w:pos="880" w:leader="none"/>
              <w:tab w:val="right" w:pos="9628" w:leader="dot"/>
            </w:tabs>
            <w:rPr>
              <w:rFonts w:cs="Times New Roman"/>
              <w:caps w:val="false"/>
              <w:smallCaps w:val="false"/>
              <w:sz w:val="22"/>
              <w:szCs w:val="22"/>
              <w:lang w:val="el-GR" w:eastAsia="el-GR"/>
            </w:rPr>
          </w:pPr>
          <w:hyperlink w:anchor="_Toc129004449">
            <w:r>
              <w:rPr>
                <w:lang w:val="el-GR"/>
              </w:rPr>
              <w:t>4.6</w:t>
            </w:r>
            <w:r>
              <w:rPr>
                <w:rFonts w:cs="Times New Roman"/>
                <w:caps w:val="false"/>
                <w:smallCaps w:val="false"/>
                <w:sz w:val="22"/>
                <w:szCs w:val="22"/>
                <w:lang w:val="el-GR" w:eastAsia="el-GR"/>
              </w:rPr>
              <w:tab/>
            </w:r>
            <w:r>
              <w:rPr>
                <w:lang w:val="el-GR"/>
              </w:rPr>
              <w:t>Δικαίωμα μονομερούς λύσης της σύμβασης</w:t>
            </w:r>
            <w:r>
              <w:rPr>
                <w:webHidden/>
              </w:rPr>
              <w:fldChar w:fldCharType="begin"/>
            </w:r>
            <w:r>
              <w:rPr>
                <w:webHidden/>
              </w:rPr>
              <w:instrText xml:space="preserve">PAGEREF _Toc129004449 \h</w:instrText>
            </w:r>
            <w:r>
              <w:rPr>
                <w:webHidden/>
              </w:rPr>
              <w:fldChar w:fldCharType="separate"/>
            </w:r>
            <w:r>
              <w:rPr/>
              <w:tab/>
              <w:t>69</w:t>
            </w:r>
            <w:r>
              <w:rPr>
                <w:webHidden/>
              </w:rPr>
              <w:fldChar w:fldCharType="end"/>
            </w:r>
          </w:hyperlink>
        </w:p>
        <w:p>
          <w:pPr>
            <w:pStyle w:val="19"/>
            <w:tabs>
              <w:tab w:val="clear" w:pos="720"/>
              <w:tab w:val="left" w:pos="440" w:leader="none"/>
              <w:tab w:val="right" w:pos="9628" w:leader="dot"/>
            </w:tabs>
            <w:rPr>
              <w:rFonts w:cs="Times New Roman"/>
              <w:b w:val="false"/>
              <w:b w:val="false"/>
              <w:bCs w:val="false"/>
              <w:caps w:val="false"/>
              <w:smallCaps w:val="false"/>
              <w:sz w:val="22"/>
              <w:szCs w:val="22"/>
              <w:lang w:val="el-GR" w:eastAsia="el-GR"/>
            </w:rPr>
          </w:pPr>
          <w:hyperlink w:anchor="_Toc129004450">
            <w:r>
              <w:rPr>
                <w:lang w:val="el-GR"/>
              </w:rPr>
              <w:t>5.</w:t>
            </w:r>
            <w:r>
              <w:rPr>
                <w:rFonts w:cs="Times New Roman"/>
                <w:b w:val="false"/>
                <w:bCs w:val="false"/>
                <w:caps w:val="false"/>
                <w:smallCaps w:val="false"/>
                <w:sz w:val="22"/>
                <w:szCs w:val="22"/>
                <w:lang w:val="el-GR" w:eastAsia="el-GR"/>
              </w:rPr>
              <w:tab/>
            </w:r>
            <w:r>
              <w:rPr>
                <w:lang w:val="el-GR"/>
              </w:rPr>
              <w:t>ΕΙΔΙΚΟΙ ΟΡΟΙ ΕΚΤΕΛΕΣΗΣ ΤΗΣ ΣΥΜΒΑΣΗΣ</w:t>
            </w:r>
            <w:r>
              <w:rPr>
                <w:webHidden/>
              </w:rPr>
              <w:fldChar w:fldCharType="begin"/>
            </w:r>
            <w:r>
              <w:rPr>
                <w:webHidden/>
              </w:rPr>
              <w:instrText xml:space="preserve">PAGEREF _Toc129004450 \h</w:instrText>
            </w:r>
            <w:r>
              <w:rPr>
                <w:webHidden/>
              </w:rPr>
              <w:fldChar w:fldCharType="separate"/>
            </w:r>
            <w:r>
              <w:rPr/>
              <w:tab/>
              <w:t>70</w:t>
            </w:r>
            <w:r>
              <w:rPr>
                <w:webHidden/>
              </w:rPr>
              <w:fldChar w:fldCharType="end"/>
            </w:r>
          </w:hyperlink>
        </w:p>
        <w:p>
          <w:pPr>
            <w:pStyle w:val="210"/>
            <w:tabs>
              <w:tab w:val="clear" w:pos="720"/>
              <w:tab w:val="left" w:pos="880" w:leader="none"/>
              <w:tab w:val="right" w:pos="9628" w:leader="dot"/>
            </w:tabs>
            <w:rPr>
              <w:rFonts w:cs="Times New Roman"/>
              <w:caps w:val="false"/>
              <w:smallCaps w:val="false"/>
              <w:sz w:val="22"/>
              <w:szCs w:val="22"/>
              <w:lang w:val="el-GR" w:eastAsia="el-GR"/>
            </w:rPr>
          </w:pPr>
          <w:hyperlink w:anchor="_Toc129004451">
            <w:r>
              <w:rPr>
                <w:lang w:val="el-GR"/>
              </w:rPr>
              <w:t>5.1</w:t>
            </w:r>
            <w:r>
              <w:rPr>
                <w:rFonts w:cs="Times New Roman"/>
                <w:caps w:val="false"/>
                <w:smallCaps w:val="false"/>
                <w:sz w:val="22"/>
                <w:szCs w:val="22"/>
                <w:lang w:val="el-GR" w:eastAsia="el-GR"/>
              </w:rPr>
              <w:tab/>
            </w:r>
            <w:r>
              <w:rPr>
                <w:lang w:val="el-GR"/>
              </w:rPr>
              <w:t>Τρόπος πληρωμής</w:t>
            </w:r>
            <w:r>
              <w:rPr>
                <w:webHidden/>
              </w:rPr>
              <w:fldChar w:fldCharType="begin"/>
            </w:r>
            <w:r>
              <w:rPr>
                <w:webHidden/>
              </w:rPr>
              <w:instrText xml:space="preserve">PAGEREF _Toc129004451 \h</w:instrText>
            </w:r>
            <w:r>
              <w:rPr>
                <w:webHidden/>
              </w:rPr>
              <w:fldChar w:fldCharType="separate"/>
            </w:r>
            <w:r>
              <w:rPr/>
              <w:tab/>
              <w:t>70</w:t>
            </w:r>
            <w:r>
              <w:rPr>
                <w:webHidden/>
              </w:rPr>
              <w:fldChar w:fldCharType="end"/>
            </w:r>
          </w:hyperlink>
        </w:p>
        <w:p>
          <w:pPr>
            <w:pStyle w:val="210"/>
            <w:tabs>
              <w:tab w:val="clear" w:pos="720"/>
              <w:tab w:val="left" w:pos="880" w:leader="none"/>
              <w:tab w:val="right" w:pos="9628" w:leader="dot"/>
            </w:tabs>
            <w:rPr>
              <w:rFonts w:cs="Times New Roman"/>
              <w:caps w:val="false"/>
              <w:smallCaps w:val="false"/>
              <w:sz w:val="22"/>
              <w:szCs w:val="22"/>
              <w:lang w:val="el-GR" w:eastAsia="el-GR"/>
            </w:rPr>
          </w:pPr>
          <w:hyperlink w:anchor="_Toc129004452">
            <w:r>
              <w:rPr>
                <w:lang w:val="el-GR"/>
              </w:rPr>
              <w:t>5.2</w:t>
            </w:r>
            <w:r>
              <w:rPr>
                <w:rFonts w:cs="Times New Roman"/>
                <w:caps w:val="false"/>
                <w:smallCaps w:val="false"/>
                <w:sz w:val="22"/>
                <w:szCs w:val="22"/>
                <w:lang w:val="el-GR" w:eastAsia="el-GR"/>
              </w:rPr>
              <w:tab/>
            </w:r>
            <w:r>
              <w:rPr>
                <w:lang w:val="el-GR"/>
              </w:rPr>
              <w:t>Κήρυξη οικονομικού φορέα εκπτώτου - Κυρώσεις</w:t>
            </w:r>
            <w:r>
              <w:rPr>
                <w:webHidden/>
              </w:rPr>
              <w:fldChar w:fldCharType="begin"/>
            </w:r>
            <w:r>
              <w:rPr>
                <w:webHidden/>
              </w:rPr>
              <w:instrText xml:space="preserve">PAGEREF _Toc129004452 \h</w:instrText>
            </w:r>
            <w:r>
              <w:rPr>
                <w:webHidden/>
              </w:rPr>
              <w:fldChar w:fldCharType="separate"/>
            </w:r>
            <w:r>
              <w:rPr/>
              <w:tab/>
              <w:t>71</w:t>
            </w:r>
            <w:r>
              <w:rPr>
                <w:webHidden/>
              </w:rPr>
              <w:fldChar w:fldCharType="end"/>
            </w:r>
          </w:hyperlink>
        </w:p>
        <w:p>
          <w:pPr>
            <w:pStyle w:val="210"/>
            <w:tabs>
              <w:tab w:val="clear" w:pos="720"/>
              <w:tab w:val="left" w:pos="880" w:leader="none"/>
              <w:tab w:val="right" w:pos="9628" w:leader="dot"/>
            </w:tabs>
            <w:rPr>
              <w:rFonts w:cs="Times New Roman"/>
              <w:caps w:val="false"/>
              <w:smallCaps w:val="false"/>
              <w:sz w:val="22"/>
              <w:szCs w:val="22"/>
              <w:lang w:val="el-GR" w:eastAsia="el-GR"/>
            </w:rPr>
          </w:pPr>
          <w:hyperlink w:anchor="_Toc129004453">
            <w:r>
              <w:rPr>
                <w:lang w:val="el-GR"/>
              </w:rPr>
              <w:t>5.3</w:t>
            </w:r>
            <w:r>
              <w:rPr>
                <w:rFonts w:cs="Times New Roman"/>
                <w:caps w:val="false"/>
                <w:smallCaps w:val="false"/>
                <w:sz w:val="22"/>
                <w:szCs w:val="22"/>
                <w:lang w:val="el-GR" w:eastAsia="el-GR"/>
              </w:rPr>
              <w:tab/>
            </w:r>
            <w:r>
              <w:rPr>
                <w:lang w:val="el-GR"/>
              </w:rPr>
              <w:t>Διοικητικές προσφυγές κατά τη διαδικασία εκτέλεσης των συμβάσεων</w:t>
            </w:r>
            <w:r>
              <w:rPr>
                <w:webHidden/>
              </w:rPr>
              <w:fldChar w:fldCharType="begin"/>
            </w:r>
            <w:r>
              <w:rPr>
                <w:webHidden/>
              </w:rPr>
              <w:instrText xml:space="preserve">PAGEREF _Toc129004453 \h</w:instrText>
            </w:r>
            <w:r>
              <w:rPr>
                <w:webHidden/>
              </w:rPr>
              <w:fldChar w:fldCharType="separate"/>
            </w:r>
            <w:r>
              <w:rPr/>
              <w:tab/>
              <w:t>73</w:t>
            </w:r>
            <w:r>
              <w:rPr>
                <w:webHidden/>
              </w:rPr>
              <w:fldChar w:fldCharType="end"/>
            </w:r>
          </w:hyperlink>
        </w:p>
        <w:p>
          <w:pPr>
            <w:pStyle w:val="210"/>
            <w:tabs>
              <w:tab w:val="clear" w:pos="720"/>
              <w:tab w:val="left" w:pos="880" w:leader="none"/>
              <w:tab w:val="right" w:pos="9628" w:leader="dot"/>
            </w:tabs>
            <w:rPr>
              <w:rFonts w:cs="Times New Roman"/>
              <w:caps w:val="false"/>
              <w:smallCaps w:val="false"/>
              <w:sz w:val="22"/>
              <w:szCs w:val="22"/>
              <w:lang w:val="el-GR" w:eastAsia="el-GR"/>
            </w:rPr>
          </w:pPr>
          <w:hyperlink w:anchor="_Toc129004454">
            <w:r>
              <w:rPr>
                <w:lang w:val="el-GR"/>
              </w:rPr>
              <w:t>5.4</w:t>
            </w:r>
            <w:r>
              <w:rPr>
                <w:rFonts w:cs="Times New Roman"/>
                <w:caps w:val="false"/>
                <w:smallCaps w:val="false"/>
                <w:sz w:val="22"/>
                <w:szCs w:val="22"/>
                <w:lang w:val="el-GR" w:eastAsia="el-GR"/>
              </w:rPr>
              <w:tab/>
            </w:r>
            <w:r>
              <w:rPr>
                <w:lang w:val="el-GR"/>
              </w:rPr>
              <w:t>Δικαστική επίλυση διαφορών</w:t>
            </w:r>
            <w:r>
              <w:rPr>
                <w:webHidden/>
              </w:rPr>
              <w:fldChar w:fldCharType="begin"/>
            </w:r>
            <w:r>
              <w:rPr>
                <w:webHidden/>
              </w:rPr>
              <w:instrText xml:space="preserve">PAGEREF _Toc129004454 \h</w:instrText>
            </w:r>
            <w:r>
              <w:rPr>
                <w:webHidden/>
              </w:rPr>
              <w:fldChar w:fldCharType="separate"/>
            </w:r>
            <w:r>
              <w:rPr/>
              <w:tab/>
              <w:t>74</w:t>
            </w:r>
            <w:r>
              <w:rPr>
                <w:webHidden/>
              </w:rPr>
              <w:fldChar w:fldCharType="end"/>
            </w:r>
          </w:hyperlink>
        </w:p>
        <w:p>
          <w:pPr>
            <w:pStyle w:val="19"/>
            <w:tabs>
              <w:tab w:val="clear" w:pos="720"/>
              <w:tab w:val="left" w:pos="440" w:leader="none"/>
              <w:tab w:val="right" w:pos="9628" w:leader="dot"/>
            </w:tabs>
            <w:rPr>
              <w:rFonts w:cs="Times New Roman"/>
              <w:b w:val="false"/>
              <w:b w:val="false"/>
              <w:bCs w:val="false"/>
              <w:caps w:val="false"/>
              <w:smallCaps w:val="false"/>
              <w:sz w:val="22"/>
              <w:szCs w:val="22"/>
              <w:lang w:val="el-GR" w:eastAsia="el-GR"/>
            </w:rPr>
          </w:pPr>
          <w:hyperlink w:anchor="_Toc129004455">
            <w:r>
              <w:rPr>
                <w:lang w:val="el-GR"/>
              </w:rPr>
              <w:t>6.</w:t>
            </w:r>
            <w:r>
              <w:rPr>
                <w:rFonts w:cs="Times New Roman"/>
                <w:b w:val="false"/>
                <w:bCs w:val="false"/>
                <w:caps w:val="false"/>
                <w:smallCaps w:val="false"/>
                <w:sz w:val="22"/>
                <w:szCs w:val="22"/>
                <w:lang w:val="el-GR" w:eastAsia="el-GR"/>
              </w:rPr>
              <w:tab/>
            </w:r>
            <w:r>
              <w:rPr>
                <w:lang w:val="el-GR"/>
              </w:rPr>
              <w:t>ΧΡΟΝΟΣ ΚΑΙ ΤΡΟΠΟΣ ΕΚΤΕΛΕΣΗΣ</w:t>
            </w:r>
            <w:r>
              <w:rPr>
                <w:webHidden/>
              </w:rPr>
              <w:fldChar w:fldCharType="begin"/>
            </w:r>
            <w:r>
              <w:rPr>
                <w:webHidden/>
              </w:rPr>
              <w:instrText xml:space="preserve">PAGEREF _Toc129004455 \h</w:instrText>
            </w:r>
            <w:r>
              <w:rPr>
                <w:webHidden/>
              </w:rPr>
              <w:fldChar w:fldCharType="separate"/>
            </w:r>
            <w:r>
              <w:rPr/>
              <w:tab/>
              <w:t>75</w:t>
            </w:r>
            <w:r>
              <w:rPr>
                <w:webHidden/>
              </w:rPr>
              <w:fldChar w:fldCharType="end"/>
            </w:r>
          </w:hyperlink>
        </w:p>
        <w:p>
          <w:pPr>
            <w:pStyle w:val="210"/>
            <w:tabs>
              <w:tab w:val="clear" w:pos="720"/>
              <w:tab w:val="left" w:pos="880" w:leader="none"/>
              <w:tab w:val="right" w:pos="9628" w:leader="dot"/>
            </w:tabs>
            <w:rPr>
              <w:rFonts w:cs="Times New Roman"/>
              <w:caps w:val="false"/>
              <w:smallCaps w:val="false"/>
              <w:sz w:val="22"/>
              <w:szCs w:val="22"/>
              <w:lang w:val="el-GR" w:eastAsia="el-GR"/>
            </w:rPr>
          </w:pPr>
          <w:hyperlink w:anchor="_Toc129004456">
            <w:r>
              <w:rPr>
                <w:lang w:val="el-GR"/>
              </w:rPr>
              <w:t xml:space="preserve">6.1 </w:t>
            </w:r>
            <w:r>
              <w:rPr>
                <w:rFonts w:cs="Times New Roman"/>
                <w:caps w:val="false"/>
                <w:smallCaps w:val="false"/>
                <w:sz w:val="22"/>
                <w:szCs w:val="22"/>
                <w:lang w:val="el-GR" w:eastAsia="el-GR"/>
              </w:rPr>
              <w:tab/>
            </w:r>
            <w:r>
              <w:rPr>
                <w:lang w:val="el-GR"/>
              </w:rPr>
              <w:t>Χρόνος παράδοσης αγαθών</w:t>
            </w:r>
            <w:r>
              <w:rPr>
                <w:webHidden/>
              </w:rPr>
              <w:fldChar w:fldCharType="begin"/>
            </w:r>
            <w:r>
              <w:rPr>
                <w:webHidden/>
              </w:rPr>
              <w:instrText xml:space="preserve">PAGEREF _Toc129004456 \h</w:instrText>
            </w:r>
            <w:r>
              <w:rPr>
                <w:webHidden/>
              </w:rPr>
              <w:fldChar w:fldCharType="separate"/>
            </w:r>
            <w:r>
              <w:rPr/>
              <w:tab/>
              <w:t>75</w:t>
            </w:r>
            <w:r>
              <w:rPr>
                <w:webHidden/>
              </w:rPr>
              <w:fldChar w:fldCharType="end"/>
            </w:r>
          </w:hyperlink>
        </w:p>
        <w:p>
          <w:pPr>
            <w:pStyle w:val="210"/>
            <w:tabs>
              <w:tab w:val="clear" w:pos="720"/>
              <w:tab w:val="left" w:pos="880" w:leader="none"/>
              <w:tab w:val="right" w:pos="9628" w:leader="dot"/>
            </w:tabs>
            <w:rPr>
              <w:rFonts w:cs="Times New Roman"/>
              <w:caps w:val="false"/>
              <w:smallCaps w:val="false"/>
              <w:sz w:val="22"/>
              <w:szCs w:val="22"/>
              <w:lang w:val="el-GR" w:eastAsia="el-GR"/>
            </w:rPr>
          </w:pPr>
          <w:hyperlink w:anchor="_Toc129004457">
            <w:r>
              <w:rPr>
                <w:lang w:val="el-GR"/>
              </w:rPr>
              <w:t xml:space="preserve">6.2 </w:t>
            </w:r>
            <w:r>
              <w:rPr>
                <w:rFonts w:cs="Times New Roman"/>
                <w:caps w:val="false"/>
                <w:smallCaps w:val="false"/>
                <w:sz w:val="22"/>
                <w:szCs w:val="22"/>
                <w:lang w:val="el-GR" w:eastAsia="el-GR"/>
              </w:rPr>
              <w:tab/>
            </w:r>
            <w:r>
              <w:rPr>
                <w:lang w:val="el-GR"/>
              </w:rPr>
              <w:t>Παραλαβή αγαθών - Χρόνος και τρόπος παραλαβής αγαθών</w:t>
            </w:r>
            <w:r>
              <w:rPr>
                <w:webHidden/>
              </w:rPr>
              <w:fldChar w:fldCharType="begin"/>
            </w:r>
            <w:r>
              <w:rPr>
                <w:webHidden/>
              </w:rPr>
              <w:instrText xml:space="preserve">PAGEREF _Toc129004457 \h</w:instrText>
            </w:r>
            <w:r>
              <w:rPr>
                <w:webHidden/>
              </w:rPr>
              <w:fldChar w:fldCharType="separate"/>
            </w:r>
            <w:r>
              <w:rPr/>
              <w:tab/>
              <w:t>75</w:t>
            </w:r>
            <w:r>
              <w:rPr>
                <w:webHidden/>
              </w:rPr>
              <w:fldChar w:fldCharType="end"/>
            </w:r>
          </w:hyperlink>
        </w:p>
        <w:p>
          <w:pPr>
            <w:pStyle w:val="210"/>
            <w:tabs>
              <w:tab w:val="clear" w:pos="720"/>
              <w:tab w:val="left" w:pos="880" w:leader="none"/>
              <w:tab w:val="right" w:pos="9628" w:leader="dot"/>
            </w:tabs>
            <w:rPr>
              <w:rFonts w:cs="Times New Roman"/>
              <w:caps w:val="false"/>
              <w:smallCaps w:val="false"/>
              <w:sz w:val="22"/>
              <w:szCs w:val="22"/>
              <w:lang w:val="el-GR" w:eastAsia="el-GR"/>
            </w:rPr>
          </w:pPr>
          <w:hyperlink w:anchor="_Toc129004458">
            <w:r>
              <w:rPr>
                <w:lang w:val="el-GR"/>
              </w:rPr>
              <w:t xml:space="preserve">6.3 </w:t>
            </w:r>
            <w:r>
              <w:rPr>
                <w:rFonts w:cs="Times New Roman"/>
                <w:caps w:val="false"/>
                <w:smallCaps w:val="false"/>
                <w:sz w:val="22"/>
                <w:szCs w:val="22"/>
                <w:lang w:val="el-GR" w:eastAsia="el-GR"/>
              </w:rPr>
              <w:tab/>
            </w:r>
            <w:r>
              <w:rPr>
                <w:lang w:val="el-GR"/>
              </w:rPr>
              <w:t>Ειδικοί όροι ναύλωσης – ασφάλισης - ανακοίνωσης φόρτωσης και ποιοτικού ελέγχου στο εξωτερικό</w:t>
            </w:r>
            <w:r>
              <w:rPr>
                <w:webHidden/>
              </w:rPr>
              <w:fldChar w:fldCharType="begin"/>
            </w:r>
            <w:r>
              <w:rPr>
                <w:webHidden/>
              </w:rPr>
              <w:instrText xml:space="preserve">PAGEREF _Toc129004458 \h</w:instrText>
            </w:r>
            <w:r>
              <w:rPr>
                <w:webHidden/>
              </w:rPr>
              <w:fldChar w:fldCharType="separate"/>
            </w:r>
            <w:r>
              <w:rPr/>
              <w:tab/>
              <w:t>77</w:t>
            </w:r>
            <w:r>
              <w:rPr>
                <w:webHidden/>
              </w:rPr>
              <w:fldChar w:fldCharType="end"/>
            </w:r>
          </w:hyperlink>
        </w:p>
        <w:p>
          <w:pPr>
            <w:pStyle w:val="210"/>
            <w:tabs>
              <w:tab w:val="clear" w:pos="720"/>
              <w:tab w:val="left" w:pos="880" w:leader="none"/>
              <w:tab w:val="right" w:pos="9628" w:leader="dot"/>
            </w:tabs>
            <w:rPr>
              <w:rFonts w:cs="Times New Roman"/>
              <w:caps w:val="false"/>
              <w:smallCaps w:val="false"/>
              <w:sz w:val="22"/>
              <w:szCs w:val="22"/>
              <w:lang w:val="el-GR" w:eastAsia="el-GR"/>
            </w:rPr>
          </w:pPr>
          <w:hyperlink w:anchor="_Toc129004459">
            <w:r>
              <w:rPr>
                <w:lang w:val="el-GR"/>
              </w:rPr>
              <w:t xml:space="preserve">6.4 </w:t>
            </w:r>
            <w:r>
              <w:rPr>
                <w:rFonts w:cs="Times New Roman"/>
                <w:caps w:val="false"/>
                <w:smallCaps w:val="false"/>
                <w:sz w:val="22"/>
                <w:szCs w:val="22"/>
                <w:lang w:val="el-GR" w:eastAsia="el-GR"/>
              </w:rPr>
              <w:tab/>
            </w:r>
            <w:r>
              <w:rPr>
                <w:lang w:val="el-GR"/>
              </w:rPr>
              <w:t>Απόρριψη συμβατικών αγαθών – Αντικατάσταση</w:t>
            </w:r>
            <w:r>
              <w:rPr>
                <w:webHidden/>
              </w:rPr>
              <w:fldChar w:fldCharType="begin"/>
            </w:r>
            <w:r>
              <w:rPr>
                <w:webHidden/>
              </w:rPr>
              <w:instrText xml:space="preserve">PAGEREF _Toc129004459 \h</w:instrText>
            </w:r>
            <w:r>
              <w:rPr>
                <w:webHidden/>
              </w:rPr>
              <w:fldChar w:fldCharType="separate"/>
            </w:r>
            <w:r>
              <w:rPr/>
              <w:tab/>
              <w:t>77</w:t>
            </w:r>
            <w:r>
              <w:rPr>
                <w:webHidden/>
              </w:rPr>
              <w:fldChar w:fldCharType="end"/>
            </w:r>
          </w:hyperlink>
        </w:p>
        <w:p>
          <w:pPr>
            <w:pStyle w:val="210"/>
            <w:tabs>
              <w:tab w:val="clear" w:pos="720"/>
              <w:tab w:val="left" w:pos="880" w:leader="none"/>
              <w:tab w:val="right" w:pos="9628" w:leader="dot"/>
            </w:tabs>
            <w:rPr>
              <w:rFonts w:cs="Times New Roman"/>
              <w:caps w:val="false"/>
              <w:smallCaps w:val="false"/>
              <w:sz w:val="22"/>
              <w:szCs w:val="22"/>
              <w:lang w:val="el-GR" w:eastAsia="el-GR"/>
            </w:rPr>
          </w:pPr>
          <w:hyperlink w:anchor="_Toc129004460">
            <w:r>
              <w:rPr>
                <w:lang w:val="el-GR"/>
              </w:rPr>
              <w:t xml:space="preserve">6.5 </w:t>
            </w:r>
            <w:r>
              <w:rPr>
                <w:rFonts w:cs="Times New Roman"/>
                <w:caps w:val="false"/>
                <w:smallCaps w:val="false"/>
                <w:sz w:val="22"/>
                <w:szCs w:val="22"/>
                <w:lang w:val="el-GR" w:eastAsia="el-GR"/>
              </w:rPr>
              <w:tab/>
            </w:r>
            <w:r>
              <w:rPr>
                <w:lang w:val="el-GR"/>
              </w:rPr>
              <w:t>Δείγματα – Δειγματοληψία – Εργαστηριακές εξετάσεις</w:t>
            </w:r>
            <w:r>
              <w:rPr>
                <w:webHidden/>
              </w:rPr>
              <w:fldChar w:fldCharType="begin"/>
            </w:r>
            <w:r>
              <w:rPr>
                <w:webHidden/>
              </w:rPr>
              <w:instrText xml:space="preserve">PAGEREF _Toc129004460 \h</w:instrText>
            </w:r>
            <w:r>
              <w:rPr>
                <w:webHidden/>
              </w:rPr>
              <w:fldChar w:fldCharType="separate"/>
            </w:r>
            <w:r>
              <w:rPr/>
              <w:tab/>
              <w:t>77</w:t>
            </w:r>
            <w:r>
              <w:rPr>
                <w:webHidden/>
              </w:rPr>
              <w:fldChar w:fldCharType="end"/>
            </w:r>
          </w:hyperlink>
        </w:p>
        <w:p>
          <w:pPr>
            <w:pStyle w:val="210"/>
            <w:tabs>
              <w:tab w:val="clear" w:pos="720"/>
              <w:tab w:val="left" w:pos="880" w:leader="none"/>
              <w:tab w:val="right" w:pos="9628" w:leader="dot"/>
            </w:tabs>
            <w:rPr>
              <w:rFonts w:cs="Times New Roman"/>
              <w:caps w:val="false"/>
              <w:smallCaps w:val="false"/>
              <w:sz w:val="22"/>
              <w:szCs w:val="22"/>
              <w:lang w:val="el-GR" w:eastAsia="el-GR"/>
            </w:rPr>
          </w:pPr>
          <w:hyperlink w:anchor="_Toc129004461">
            <w:r>
              <w:rPr>
                <w:lang w:val="el-GR"/>
              </w:rPr>
              <w:t xml:space="preserve">6.6 </w:t>
            </w:r>
            <w:r>
              <w:rPr>
                <w:rFonts w:cs="Times New Roman"/>
                <w:caps w:val="false"/>
                <w:smallCaps w:val="false"/>
                <w:sz w:val="22"/>
                <w:szCs w:val="22"/>
                <w:lang w:val="el-GR" w:eastAsia="el-GR"/>
              </w:rPr>
              <w:tab/>
            </w:r>
            <w:r>
              <w:rPr>
                <w:lang w:val="el-GR"/>
              </w:rPr>
              <w:t>Εγγυημένη λειτουργία προμήθειας</w:t>
            </w:r>
            <w:r>
              <w:rPr>
                <w:webHidden/>
              </w:rPr>
              <w:fldChar w:fldCharType="begin"/>
            </w:r>
            <w:r>
              <w:rPr>
                <w:webHidden/>
              </w:rPr>
              <w:instrText xml:space="preserve">PAGEREF _Toc129004461 \h</w:instrText>
            </w:r>
            <w:r>
              <w:rPr>
                <w:webHidden/>
              </w:rPr>
              <w:fldChar w:fldCharType="separate"/>
            </w:r>
            <w:r>
              <w:rPr/>
              <w:tab/>
              <w:t>77</w:t>
            </w:r>
            <w:r>
              <w:rPr>
                <w:webHidden/>
              </w:rPr>
              <w:fldChar w:fldCharType="end"/>
            </w:r>
          </w:hyperlink>
        </w:p>
        <w:p>
          <w:pPr>
            <w:pStyle w:val="210"/>
            <w:tabs>
              <w:tab w:val="clear" w:pos="720"/>
              <w:tab w:val="left" w:pos="880" w:leader="none"/>
              <w:tab w:val="right" w:pos="9628" w:leader="dot"/>
            </w:tabs>
            <w:rPr>
              <w:rFonts w:cs="Times New Roman"/>
              <w:caps w:val="false"/>
              <w:smallCaps w:val="false"/>
              <w:sz w:val="22"/>
              <w:szCs w:val="22"/>
              <w:lang w:val="el-GR" w:eastAsia="el-GR"/>
            </w:rPr>
          </w:pPr>
          <w:hyperlink w:anchor="_Toc129004462">
            <w:r>
              <w:rPr>
                <w:lang w:val="el-GR"/>
              </w:rPr>
              <w:t xml:space="preserve">6.7 </w:t>
            </w:r>
            <w:r>
              <w:rPr>
                <w:rFonts w:cs="Times New Roman"/>
                <w:caps w:val="false"/>
                <w:smallCaps w:val="false"/>
                <w:sz w:val="22"/>
                <w:szCs w:val="22"/>
                <w:lang w:val="el-GR" w:eastAsia="el-GR"/>
              </w:rPr>
              <w:tab/>
            </w:r>
            <w:r>
              <w:rPr>
                <w:lang w:val="el-GR"/>
              </w:rPr>
              <w:t>Αναπροσαρμογή τιμής</w:t>
            </w:r>
            <w:r>
              <w:rPr>
                <w:webHidden/>
              </w:rPr>
              <w:fldChar w:fldCharType="begin"/>
            </w:r>
            <w:r>
              <w:rPr>
                <w:webHidden/>
              </w:rPr>
              <w:instrText xml:space="preserve">PAGEREF _Toc129004462 \h</w:instrText>
            </w:r>
            <w:r>
              <w:rPr>
                <w:webHidden/>
              </w:rPr>
              <w:fldChar w:fldCharType="separate"/>
            </w:r>
            <w:r>
              <w:rPr/>
              <w:tab/>
              <w:t>78</w:t>
            </w:r>
            <w:r>
              <w:rPr>
                <w:webHidden/>
              </w:rPr>
              <w:fldChar w:fldCharType="end"/>
            </w:r>
          </w:hyperlink>
        </w:p>
        <w:p>
          <w:pPr>
            <w:pStyle w:val="19"/>
            <w:tabs>
              <w:tab w:val="clear" w:pos="720"/>
              <w:tab w:val="right" w:pos="9628" w:leader="dot"/>
            </w:tabs>
            <w:rPr>
              <w:rFonts w:cs="Times New Roman"/>
              <w:b w:val="false"/>
              <w:b w:val="false"/>
              <w:bCs w:val="false"/>
              <w:caps w:val="false"/>
              <w:smallCaps w:val="false"/>
              <w:sz w:val="22"/>
              <w:szCs w:val="22"/>
              <w:lang w:val="el-GR" w:eastAsia="el-GR"/>
            </w:rPr>
          </w:pPr>
          <w:hyperlink w:anchor="_Toc129004463">
            <w:r>
              <w:rPr>
                <w:lang w:val="el-GR"/>
              </w:rPr>
              <w:t>ΠΑΡΑΡΤΗΜΑΤΑ</w:t>
            </w:r>
            <w:r>
              <w:rPr>
                <w:webHidden/>
              </w:rPr>
              <w:fldChar w:fldCharType="begin"/>
            </w:r>
            <w:r>
              <w:rPr>
                <w:webHidden/>
              </w:rPr>
              <w:instrText xml:space="preserve">PAGEREF _Toc129004463 \h</w:instrText>
            </w:r>
            <w:r>
              <w:rPr>
                <w:webHidden/>
              </w:rPr>
              <w:fldChar w:fldCharType="separate"/>
            </w:r>
            <w:r>
              <w:rPr/>
              <w:tab/>
              <w:t>80</w:t>
            </w:r>
            <w:r>
              <w:rPr>
                <w:webHidden/>
              </w:rPr>
              <w:fldChar w:fldCharType="end"/>
            </w:r>
          </w:hyperlink>
        </w:p>
        <w:p>
          <w:pPr>
            <w:pStyle w:val="210"/>
            <w:tabs>
              <w:tab w:val="clear" w:pos="720"/>
              <w:tab w:val="right" w:pos="9628" w:leader="dot"/>
            </w:tabs>
            <w:rPr>
              <w:rFonts w:cs="Times New Roman"/>
              <w:caps w:val="false"/>
              <w:smallCaps w:val="false"/>
              <w:sz w:val="22"/>
              <w:szCs w:val="22"/>
              <w:lang w:val="el-GR" w:eastAsia="el-GR"/>
            </w:rPr>
          </w:pPr>
          <w:hyperlink w:anchor="_Toc129004464">
            <w:r>
              <w:rPr>
                <w:lang w:val="el-GR"/>
              </w:rPr>
              <w:t>ΠΑΡΑΡΤΗΜΑ Ι – Αναλυτική Περιγραφή Φυσικού και Οικονομικού Αντικειμένου της Σύμβασης (προσαρμοσμένο από την Αναθέτουσα Αρχή)</w:t>
            </w:r>
            <w:r>
              <w:rPr>
                <w:webHidden/>
              </w:rPr>
              <w:fldChar w:fldCharType="begin"/>
            </w:r>
            <w:r>
              <w:rPr>
                <w:webHidden/>
              </w:rPr>
              <w:instrText xml:space="preserve">PAGEREF _Toc129004464 \h</w:instrText>
            </w:r>
            <w:r>
              <w:rPr>
                <w:webHidden/>
              </w:rPr>
              <w:fldChar w:fldCharType="separate"/>
            </w:r>
            <w:r>
              <w:rPr/>
              <w:tab/>
              <w:t>80</w:t>
            </w:r>
            <w:r>
              <w:rPr>
                <w:webHidden/>
              </w:rPr>
              <w:fldChar w:fldCharType="end"/>
            </w:r>
          </w:hyperlink>
        </w:p>
        <w:p>
          <w:pPr>
            <w:pStyle w:val="210"/>
            <w:tabs>
              <w:tab w:val="clear" w:pos="720"/>
              <w:tab w:val="right" w:pos="9628" w:leader="dot"/>
            </w:tabs>
            <w:rPr>
              <w:rFonts w:cs="Times New Roman"/>
              <w:caps w:val="false"/>
              <w:smallCaps w:val="false"/>
              <w:sz w:val="22"/>
              <w:szCs w:val="22"/>
              <w:lang w:val="el-GR" w:eastAsia="el-GR"/>
            </w:rPr>
          </w:pPr>
          <w:hyperlink w:anchor="_Toc129004465">
            <w:r>
              <w:rPr>
                <w:lang w:val="el-GR"/>
              </w:rPr>
              <w:t>ΠΑΡΑΡΤΗΜΑ ΙΙ –  Ειδική Συγγραφή Υποχρεώσεων (προσαρμοσμένο από την Αναθέτουσα Αρχή)</w:t>
            </w:r>
            <w:r>
              <w:rPr>
                <w:webHidden/>
              </w:rPr>
              <w:fldChar w:fldCharType="begin"/>
            </w:r>
            <w:r>
              <w:rPr>
                <w:webHidden/>
              </w:rPr>
              <w:instrText xml:space="preserve">PAGEREF _Toc129004465 \h</w:instrText>
            </w:r>
            <w:r>
              <w:rPr>
                <w:webHidden/>
              </w:rPr>
              <w:fldChar w:fldCharType="separate"/>
            </w:r>
            <w:r>
              <w:rPr/>
              <w:tab/>
              <w:t>81</w:t>
            </w:r>
            <w:r>
              <w:rPr>
                <w:webHidden/>
              </w:rPr>
              <w:fldChar w:fldCharType="end"/>
            </w:r>
          </w:hyperlink>
        </w:p>
        <w:p>
          <w:pPr>
            <w:pStyle w:val="210"/>
            <w:tabs>
              <w:tab w:val="clear" w:pos="720"/>
              <w:tab w:val="right" w:pos="9628" w:leader="dot"/>
            </w:tabs>
            <w:rPr>
              <w:rFonts w:cs="Times New Roman"/>
              <w:caps w:val="false"/>
              <w:smallCaps w:val="false"/>
              <w:sz w:val="22"/>
              <w:szCs w:val="22"/>
              <w:lang w:val="el-GR" w:eastAsia="el-GR"/>
            </w:rPr>
          </w:pPr>
          <w:hyperlink w:anchor="_Toc129004466">
            <w:r>
              <w:rPr>
                <w:lang w:val="el-GR"/>
              </w:rPr>
              <w:t xml:space="preserve">ΠΑΡΑΡΤΗΜΑ ΙΙI – ΕΕΕΣ (Προσαρμοσμένο από την Αναθέτουσα Αρχή)- </w:t>
            </w:r>
            <w:r>
              <w:rPr>
                <w:i/>
                <w:lang w:val="el-GR"/>
              </w:rPr>
              <w:t>[ΥΠΟΧΡΕΩΤΙΚΟ]</w:t>
            </w:r>
            <w:r>
              <w:rPr>
                <w:webHidden/>
              </w:rPr>
              <w:fldChar w:fldCharType="begin"/>
            </w:r>
            <w:r>
              <w:rPr>
                <w:webHidden/>
              </w:rPr>
              <w:instrText xml:space="preserve">PAGEREF _Toc129004466 \h</w:instrText>
            </w:r>
            <w:r>
              <w:rPr>
                <w:webHidden/>
              </w:rPr>
              <w:fldChar w:fldCharType="separate"/>
            </w:r>
            <w:r>
              <w:rPr/>
              <w:tab/>
              <w:t>82</w:t>
            </w:r>
            <w:r>
              <w:rPr>
                <w:webHidden/>
              </w:rPr>
              <w:fldChar w:fldCharType="end"/>
            </w:r>
          </w:hyperlink>
        </w:p>
        <w:p>
          <w:pPr>
            <w:pStyle w:val="210"/>
            <w:tabs>
              <w:tab w:val="clear" w:pos="720"/>
              <w:tab w:val="right" w:pos="9628" w:leader="dot"/>
            </w:tabs>
            <w:rPr>
              <w:rFonts w:cs="Times New Roman"/>
              <w:caps w:val="false"/>
              <w:smallCaps w:val="false"/>
              <w:sz w:val="22"/>
              <w:szCs w:val="22"/>
              <w:lang w:val="el-GR" w:eastAsia="el-GR"/>
            </w:rPr>
          </w:pPr>
          <w:hyperlink w:anchor="_Toc129004467">
            <w:r>
              <w:rPr>
                <w:lang w:val="el-GR"/>
              </w:rPr>
              <w:t xml:space="preserve">ΠΑΡΑΡΤΗΜΑ ΙV – Άλλες Δηλώσεις (Προσαρμοσμένο από την Αναθέτουσα Αρχή) </w:t>
            </w:r>
            <w:r>
              <w:rPr>
                <w:i/>
                <w:lang w:val="el-GR"/>
              </w:rPr>
              <w:t>[ΠΡΟΑΙΡΕΤΙΚΟ]</w:t>
            </w:r>
            <w:r>
              <w:rPr>
                <w:webHidden/>
              </w:rPr>
              <w:fldChar w:fldCharType="begin"/>
            </w:r>
            <w:r>
              <w:rPr>
                <w:webHidden/>
              </w:rPr>
              <w:instrText xml:space="preserve">PAGEREF _Toc129004467 \h</w:instrText>
            </w:r>
            <w:r>
              <w:rPr>
                <w:webHidden/>
              </w:rPr>
              <w:fldChar w:fldCharType="separate"/>
            </w:r>
            <w:r>
              <w:rPr/>
              <w:tab/>
              <w:t>82</w:t>
            </w:r>
            <w:r>
              <w:rPr>
                <w:webHidden/>
              </w:rPr>
              <w:fldChar w:fldCharType="end"/>
            </w:r>
          </w:hyperlink>
        </w:p>
        <w:p>
          <w:pPr>
            <w:pStyle w:val="210"/>
            <w:tabs>
              <w:tab w:val="clear" w:pos="720"/>
              <w:tab w:val="right" w:pos="9628" w:leader="dot"/>
            </w:tabs>
            <w:rPr>
              <w:rFonts w:cs="Times New Roman"/>
              <w:caps w:val="false"/>
              <w:smallCaps w:val="false"/>
              <w:sz w:val="22"/>
              <w:szCs w:val="22"/>
              <w:lang w:val="el-GR" w:eastAsia="el-GR"/>
            </w:rPr>
          </w:pPr>
          <w:hyperlink w:anchor="_Toc129004468">
            <w:r>
              <w:rPr>
                <w:lang w:val="el-GR"/>
              </w:rPr>
              <w:t xml:space="preserve">ΠΑΡΑΡΤΗΜΑ V – Υπόδειγμα Τεχνικής Προσφοράς (Προσαρμοσμένο από την Αναθέτουσα Αρχή) </w:t>
            </w:r>
            <w:r>
              <w:rPr>
                <w:i/>
                <w:lang w:val="el-GR"/>
              </w:rPr>
              <w:t>[ΠΡΟΑΙΡΕΤΙΚΟ]</w:t>
            </w:r>
            <w:r>
              <w:rPr>
                <w:webHidden/>
              </w:rPr>
              <w:fldChar w:fldCharType="begin"/>
            </w:r>
            <w:r>
              <w:rPr>
                <w:webHidden/>
              </w:rPr>
              <w:instrText xml:space="preserve">PAGEREF _Toc129004468 \h</w:instrText>
            </w:r>
            <w:r>
              <w:rPr>
                <w:webHidden/>
              </w:rPr>
              <w:fldChar w:fldCharType="separate"/>
            </w:r>
            <w:r>
              <w:rPr/>
              <w:tab/>
              <w:t>82</w:t>
            </w:r>
            <w:r>
              <w:rPr>
                <w:webHidden/>
              </w:rPr>
              <w:fldChar w:fldCharType="end"/>
            </w:r>
          </w:hyperlink>
        </w:p>
        <w:p>
          <w:pPr>
            <w:pStyle w:val="210"/>
            <w:tabs>
              <w:tab w:val="clear" w:pos="720"/>
              <w:tab w:val="right" w:pos="9628" w:leader="dot"/>
            </w:tabs>
            <w:rPr>
              <w:rFonts w:cs="Times New Roman"/>
              <w:caps w:val="false"/>
              <w:smallCaps w:val="false"/>
              <w:sz w:val="22"/>
              <w:szCs w:val="22"/>
              <w:lang w:val="el-GR" w:eastAsia="el-GR"/>
            </w:rPr>
          </w:pPr>
          <w:hyperlink w:anchor="_Toc129004469">
            <w:r>
              <w:rPr>
                <w:lang w:val="el-GR"/>
              </w:rPr>
              <w:t xml:space="preserve">ΠΑΡΑΡΤΗΜΑ VI – Άλλο Περιγραφικό Έγγραφο - Υπόδειγμα (Προσαρμοσμένο από την Αναθέτουσα Αρχή) </w:t>
            </w:r>
            <w:r>
              <w:rPr>
                <w:i/>
                <w:lang w:val="el-GR"/>
              </w:rPr>
              <w:t>[ΠΡΟΑΙΡΕΤΙΚΟ]</w:t>
            </w:r>
            <w:r>
              <w:rPr>
                <w:webHidden/>
              </w:rPr>
              <w:fldChar w:fldCharType="begin"/>
            </w:r>
            <w:r>
              <w:rPr>
                <w:webHidden/>
              </w:rPr>
              <w:instrText xml:space="preserve">PAGEREF _Toc129004469 \h</w:instrText>
            </w:r>
            <w:r>
              <w:rPr>
                <w:webHidden/>
              </w:rPr>
              <w:fldChar w:fldCharType="separate"/>
            </w:r>
            <w:r>
              <w:rPr/>
              <w:tab/>
              <w:t>82</w:t>
            </w:r>
            <w:r>
              <w:rPr>
                <w:webHidden/>
              </w:rPr>
              <w:fldChar w:fldCharType="end"/>
            </w:r>
          </w:hyperlink>
        </w:p>
        <w:p>
          <w:pPr>
            <w:pStyle w:val="210"/>
            <w:tabs>
              <w:tab w:val="clear" w:pos="720"/>
              <w:tab w:val="right" w:pos="9628" w:leader="dot"/>
            </w:tabs>
            <w:rPr>
              <w:rFonts w:cs="Times New Roman"/>
              <w:caps w:val="false"/>
              <w:smallCaps w:val="false"/>
              <w:sz w:val="22"/>
              <w:szCs w:val="22"/>
              <w:lang w:val="el-GR" w:eastAsia="el-GR"/>
            </w:rPr>
          </w:pPr>
          <w:hyperlink w:anchor="_Toc129004470">
            <w:r>
              <w:rPr>
                <w:lang w:val="el-GR"/>
              </w:rPr>
              <w:t xml:space="preserve">ΠΑΡΑΡΤΗΜΑ VIΙ – Υπόδειγμα Οικονομικής Προσφοράς (Προσαρμοσμένο από την Αναθέτουσα Αρχή) </w:t>
            </w:r>
            <w:r>
              <w:rPr>
                <w:i/>
                <w:lang w:val="el-GR"/>
              </w:rPr>
              <w:t>[ΠΡΟΑΙΡΕΤΙΚΟ]</w:t>
            </w:r>
            <w:r>
              <w:rPr>
                <w:webHidden/>
              </w:rPr>
              <w:fldChar w:fldCharType="begin"/>
            </w:r>
            <w:r>
              <w:rPr>
                <w:webHidden/>
              </w:rPr>
              <w:instrText xml:space="preserve">PAGEREF _Toc129004470 \h</w:instrText>
            </w:r>
            <w:r>
              <w:rPr>
                <w:webHidden/>
              </w:rPr>
              <w:fldChar w:fldCharType="separate"/>
            </w:r>
            <w:r>
              <w:rPr/>
              <w:tab/>
              <w:t>82</w:t>
            </w:r>
            <w:r>
              <w:rPr>
                <w:webHidden/>
              </w:rPr>
              <w:fldChar w:fldCharType="end"/>
            </w:r>
          </w:hyperlink>
        </w:p>
        <w:p>
          <w:pPr>
            <w:pStyle w:val="210"/>
            <w:tabs>
              <w:tab w:val="clear" w:pos="720"/>
              <w:tab w:val="right" w:pos="9628" w:leader="dot"/>
            </w:tabs>
            <w:rPr>
              <w:rFonts w:cs="Times New Roman"/>
              <w:caps w:val="false"/>
              <w:smallCaps w:val="false"/>
              <w:sz w:val="22"/>
              <w:szCs w:val="22"/>
              <w:lang w:val="el-GR" w:eastAsia="el-GR"/>
            </w:rPr>
          </w:pPr>
          <w:hyperlink w:anchor="_Toc129004471">
            <w:r>
              <w:rPr>
                <w:lang w:val="el-GR"/>
              </w:rPr>
              <w:t xml:space="preserve">ΠΑΡΑΡΤΗΜΑ VIII – Υποδείγματα Εγγυητικών Επιστολών (Προσαρμοσμένο από την Αναθέτουσα Αρχή) </w:t>
            </w:r>
            <w:r>
              <w:rPr>
                <w:i/>
                <w:lang w:val="el-GR"/>
              </w:rPr>
              <w:t>[ΠΡΟΑΙΡΕΤΙΚΟ]</w:t>
            </w:r>
            <w:r>
              <w:rPr>
                <w:webHidden/>
              </w:rPr>
              <w:fldChar w:fldCharType="begin"/>
            </w:r>
            <w:r>
              <w:rPr>
                <w:webHidden/>
              </w:rPr>
              <w:instrText xml:space="preserve">PAGEREF _Toc129004471 \h</w:instrText>
            </w:r>
            <w:r>
              <w:rPr>
                <w:webHidden/>
              </w:rPr>
              <w:fldChar w:fldCharType="separate"/>
            </w:r>
            <w:r>
              <w:rPr/>
              <w:tab/>
              <w:t>82</w:t>
            </w:r>
            <w:r>
              <w:rPr>
                <w:webHidden/>
              </w:rPr>
              <w:fldChar w:fldCharType="end"/>
            </w:r>
          </w:hyperlink>
        </w:p>
        <w:p>
          <w:pPr>
            <w:pStyle w:val="210"/>
            <w:tabs>
              <w:tab w:val="clear" w:pos="720"/>
              <w:tab w:val="right" w:pos="9628" w:leader="dot"/>
            </w:tabs>
            <w:rPr>
              <w:rFonts w:cs="Times New Roman"/>
              <w:caps w:val="false"/>
              <w:smallCaps w:val="false"/>
              <w:sz w:val="22"/>
              <w:szCs w:val="22"/>
              <w:lang w:val="el-GR" w:eastAsia="el-GR"/>
            </w:rPr>
          </w:pPr>
          <w:hyperlink w:anchor="_Toc129004472">
            <w:r>
              <w:rPr>
                <w:lang w:val="el-GR"/>
              </w:rPr>
              <w:t xml:space="preserve">ΠΑΡΑΡΤΗΜΑ IX – Πίνακας αντιστοίχισης λόγων αποκλεισμού-κριτηρίων ποιοτικής επιλογής και αποδεικτικών μέσων (Προσαρμοσμένο από την Αναθέτουσα Αρχή) </w:t>
            </w:r>
            <w:r>
              <w:rPr>
                <w:i/>
                <w:lang w:val="el-GR"/>
              </w:rPr>
              <w:t>[ΠΡΟΑΙΡΕΤΙΚΟ]</w:t>
            </w:r>
            <w:r>
              <w:rPr>
                <w:webHidden/>
              </w:rPr>
              <w:fldChar w:fldCharType="begin"/>
            </w:r>
            <w:r>
              <w:rPr>
                <w:webHidden/>
              </w:rPr>
              <w:instrText xml:space="preserve">PAGEREF _Toc129004472 \h</w:instrText>
            </w:r>
            <w:r>
              <w:rPr>
                <w:webHidden/>
              </w:rPr>
              <w:fldChar w:fldCharType="separate"/>
            </w:r>
            <w:r>
              <w:rPr/>
              <w:tab/>
              <w:t>82</w:t>
            </w:r>
            <w:r>
              <w:rPr>
                <w:webHidden/>
              </w:rPr>
              <w:fldChar w:fldCharType="end"/>
            </w:r>
          </w:hyperlink>
        </w:p>
        <w:p>
          <w:pPr>
            <w:pStyle w:val="210"/>
            <w:tabs>
              <w:tab w:val="clear" w:pos="720"/>
              <w:tab w:val="right" w:pos="9628" w:leader="dot"/>
            </w:tabs>
            <w:rPr>
              <w:rFonts w:cs="Times New Roman"/>
              <w:caps w:val="false"/>
              <w:smallCaps w:val="false"/>
              <w:sz w:val="22"/>
              <w:szCs w:val="22"/>
              <w:lang w:val="el-GR" w:eastAsia="el-GR"/>
            </w:rPr>
          </w:pPr>
          <w:hyperlink w:anchor="_Toc129004473">
            <w:r>
              <w:rPr>
                <w:lang w:val="el-GR"/>
              </w:rPr>
              <w:t xml:space="preserve">ΠΑΡΑΡΤΗΜΑ X – Ενημέρωση φυσικών προσώπων για την επεξεργασία προσωπικών δεδομένων (Προσαρμοσμένο από την Αναθέτουσα Αρχή) </w:t>
            </w:r>
            <w:r>
              <w:rPr>
                <w:i/>
                <w:lang w:val="el-GR"/>
              </w:rPr>
              <w:t>[ΠΡΟΑΙΡΕΤΙΚΟ]</w:t>
            </w:r>
            <w:r>
              <w:rPr>
                <w:webHidden/>
              </w:rPr>
              <w:fldChar w:fldCharType="begin"/>
            </w:r>
            <w:r>
              <w:rPr>
                <w:webHidden/>
              </w:rPr>
              <w:instrText xml:space="preserve">PAGEREF _Toc129004473 \h</w:instrText>
            </w:r>
            <w:r>
              <w:rPr>
                <w:webHidden/>
              </w:rPr>
              <w:fldChar w:fldCharType="separate"/>
            </w:r>
            <w:r>
              <w:rPr/>
              <w:tab/>
              <w:t>82</w:t>
            </w:r>
            <w:r>
              <w:rPr>
                <w:webHidden/>
              </w:rPr>
              <w:fldChar w:fldCharType="end"/>
            </w:r>
          </w:hyperlink>
        </w:p>
        <w:p>
          <w:pPr>
            <w:pStyle w:val="210"/>
            <w:tabs>
              <w:tab w:val="clear" w:pos="720"/>
              <w:tab w:val="right" w:pos="9628" w:leader="dot"/>
            </w:tabs>
            <w:rPr>
              <w:rFonts w:cs="Times New Roman"/>
              <w:caps w:val="false"/>
              <w:smallCaps w:val="false"/>
              <w:sz w:val="22"/>
              <w:szCs w:val="22"/>
              <w:lang w:val="el-GR" w:eastAsia="el-GR"/>
            </w:rPr>
          </w:pPr>
          <w:hyperlink w:anchor="_Toc129004474">
            <w:r>
              <w:rPr>
                <w:lang w:val="el-GR"/>
              </w:rPr>
              <w:t xml:space="preserve">ΠΑΡΑΡΤΗΜΑ XΙ – Σχέδιο Σύμβασης (Προσαρμοσμένο από την Αναθέτουσα Αρχή)- </w:t>
            </w:r>
            <w:r>
              <w:rPr>
                <w:i/>
                <w:lang w:val="el-GR"/>
              </w:rPr>
              <w:t>[ΠΡΟΑΙΡΕΤΙΚΟ]</w:t>
            </w:r>
            <w:r>
              <w:rPr>
                <w:webHidden/>
              </w:rPr>
              <w:fldChar w:fldCharType="begin"/>
            </w:r>
            <w:r>
              <w:rPr>
                <w:webHidden/>
              </w:rPr>
              <w:instrText xml:space="preserve">PAGEREF _Toc129004474 \h</w:instrText>
            </w:r>
            <w:r>
              <w:rPr>
                <w:webHidden/>
              </w:rPr>
              <w:fldChar w:fldCharType="separate"/>
            </w:r>
            <w:r>
              <w:rPr/>
              <w:tab/>
              <w:t>82</w:t>
            </w:r>
            <w:r>
              <w:rPr>
                <w:webHidden/>
              </w:rPr>
              <w:fldChar w:fldCharType="end"/>
            </w:r>
          </w:hyperlink>
        </w:p>
        <w:p>
          <w:pPr>
            <w:pStyle w:val="210"/>
            <w:tabs>
              <w:tab w:val="clear" w:pos="720"/>
              <w:tab w:val="right" w:pos="9628" w:leader="dot"/>
            </w:tabs>
            <w:rPr>
              <w:rFonts w:cs="Times New Roman"/>
              <w:caps w:val="false"/>
              <w:smallCaps w:val="false"/>
              <w:sz w:val="22"/>
              <w:szCs w:val="22"/>
              <w:lang w:val="el-GR" w:eastAsia="el-GR"/>
            </w:rPr>
          </w:pPr>
          <w:hyperlink w:anchor="_Toc129004475">
            <w:r>
              <w:rPr>
                <w:webHidden/>
              </w:rPr>
              <w:fldChar w:fldCharType="begin"/>
            </w:r>
            <w:r>
              <w:rPr>
                <w:webHidden/>
              </w:rPr>
              <w:instrText xml:space="preserve">PAGEREF _Toc129004475 \h</w:instrText>
            </w:r>
            <w:r>
              <w:rPr>
                <w:webHidden/>
              </w:rPr>
              <w:fldChar w:fldCharType="separate"/>
            </w:r>
            <w:r>
              <w:rPr/>
              <w:tab/>
              <w:t>83</w:t>
            </w:r>
            <w:r>
              <w:rPr>
                <w:webHidden/>
              </w:rPr>
              <w:fldChar w:fldCharType="end"/>
            </w:r>
          </w:hyperlink>
          <w:r>
            <w:rPr/>
            <w:fldChar w:fldCharType="end"/>
          </w:r>
        </w:p>
      </w:sdtContent>
    </w:sdt>
    <w:p>
      <w:pPr>
        <w:pStyle w:val="Normal"/>
        <w:rPr>
          <w:rFonts w:eastAsia="MS Mincho" w:cs="Times New Roman"/>
          <w:b/>
          <w:b/>
          <w:bCs/>
          <w:caps/>
          <w:sz w:val="20"/>
          <w:szCs w:val="22"/>
          <w:lang w:val="el-GR"/>
        </w:rPr>
      </w:pPr>
      <w:r>
        <w:rPr>
          <w:rFonts w:eastAsia="MS Mincho" w:cs="Times New Roman"/>
          <w:b/>
          <w:bCs/>
          <w:caps/>
          <w:sz w:val="20"/>
          <w:szCs w:val="22"/>
          <w:lang w:val="el-GR"/>
        </w:rPr>
      </w:r>
    </w:p>
    <w:p>
      <w:pPr>
        <w:pStyle w:val="1"/>
        <w:numPr>
          <w:ilvl w:val="0"/>
          <w:numId w:val="3"/>
        </w:numPr>
        <w:tabs>
          <w:tab w:val="clear" w:pos="720"/>
          <w:tab w:val="left" w:pos="567" w:leader="none"/>
        </w:tabs>
        <w:ind w:left="567" w:hanging="567"/>
        <w:rPr>
          <w:lang w:val="el-GR"/>
        </w:rPr>
      </w:pPr>
      <w:bookmarkStart w:id="1" w:name="_Toc129004392"/>
      <w:r>
        <w:rPr>
          <w:lang w:val="el-GR"/>
        </w:rPr>
        <w:t>ΑΝΑΘΕΤΟΥΣΑ ΑΡΧΗ ΚΑΙ ΑΝΤΙΚΕΙΜΕΝΟ ΣΥΜΒΑΣΗΣ</w:t>
      </w:r>
      <w:bookmarkEnd w:id="1"/>
    </w:p>
    <w:p>
      <w:pPr>
        <w:pStyle w:val="2"/>
        <w:rPr/>
      </w:pPr>
      <w:bookmarkStart w:id="2" w:name="_Toc129004393"/>
      <w:r>
        <w:rPr>
          <w:lang w:val="el-GR"/>
        </w:rPr>
        <w:t>1.1</w:t>
        <w:tab/>
        <w:t>Στοιχεία Αναθέτουσας Αρχής</w:t>
      </w:r>
      <w:bookmarkEnd w:id="2"/>
      <w:r>
        <w:rPr>
          <w:lang w:val="el-GR"/>
        </w:rPr>
        <w:t xml:space="preserve"> </w:t>
      </w:r>
    </w:p>
    <w:p>
      <w:pPr>
        <w:pStyle w:val="Normalwithoutspacing"/>
        <w:rPr>
          <w:b/>
          <w:b/>
          <w:sz w:val="18"/>
          <w:szCs w:val="18"/>
        </w:rPr>
      </w:pPr>
      <w:r>
        <w:rPr>
          <w:b/>
          <w:sz w:val="18"/>
          <w:szCs w:val="18"/>
        </w:rPr>
      </w:r>
    </w:p>
    <w:tbl>
      <w:tblPr>
        <w:tblW w:w="9664" w:type="dxa"/>
        <w:jc w:val="left"/>
        <w:tblInd w:w="221" w:type="dxa"/>
        <w:tblLayout w:type="fixed"/>
        <w:tblCellMar>
          <w:top w:w="0" w:type="dxa"/>
          <w:left w:w="108" w:type="dxa"/>
          <w:bottom w:w="0" w:type="dxa"/>
          <w:right w:w="108" w:type="dxa"/>
        </w:tblCellMar>
        <w:tblLook w:firstRow="0" w:noVBand="0" w:lastRow="0" w:firstColumn="0" w:lastColumn="0" w:noHBand="0" w:val="0000"/>
      </w:tblPr>
      <w:tblGrid>
        <w:gridCol w:w="5244"/>
        <w:gridCol w:w="4419"/>
      </w:tblGrid>
      <w:tr>
        <w:trPr/>
        <w:tc>
          <w:tcPr>
            <w:tcW w:w="5244" w:type="dxa"/>
            <w:tcBorders>
              <w:top w:val="single" w:sz="4" w:space="0" w:color="000000"/>
              <w:left w:val="single" w:sz="4" w:space="0" w:color="000000"/>
              <w:bottom w:val="single" w:sz="4" w:space="0" w:color="000000"/>
            </w:tcBorders>
            <w:shd w:color="auto" w:fill="auto" w:val="clear"/>
          </w:tcPr>
          <w:p>
            <w:pPr>
              <w:pStyle w:val="Normalwithoutspacing"/>
              <w:widowControl w:val="false"/>
              <w:spacing w:before="0" w:after="60"/>
              <w:rPr/>
            </w:pPr>
            <w:r>
              <w:rPr/>
              <w:t>Επωνυμία</w:t>
            </w:r>
          </w:p>
        </w:tc>
        <w:tc>
          <w:tcPr>
            <w:tcW w:w="4419" w:type="dxa"/>
            <w:tcBorders>
              <w:top w:val="single" w:sz="4" w:space="0" w:color="000000"/>
              <w:left w:val="single" w:sz="4" w:space="0" w:color="000000"/>
              <w:bottom w:val="single" w:sz="4" w:space="0" w:color="000000"/>
              <w:right w:val="single" w:sz="4" w:space="0" w:color="000000"/>
            </w:tcBorders>
            <w:shd w:color="auto" w:fill="auto" w:val="clear"/>
          </w:tcPr>
          <w:p>
            <w:pPr>
              <w:pStyle w:val="Normalwithoutspacing"/>
              <w:widowControl w:val="false"/>
              <w:snapToGrid w:val="false"/>
              <w:spacing w:before="0" w:after="60"/>
              <w:rPr>
                <w:rFonts w:ascii="Cambria" w:hAnsi="Cambria"/>
              </w:rPr>
            </w:pPr>
            <w:r>
              <w:rPr>
                <w:rFonts w:ascii="Cambria" w:hAnsi="Cambria"/>
                <w:lang w:val="en-GB"/>
              </w:rPr>
              <w:t>ΔΗΜΟΣ</w:t>
            </w:r>
            <w:r>
              <w:rPr>
                <w:rFonts w:ascii="Cambria" w:hAnsi="Cambria"/>
              </w:rPr>
              <w:t xml:space="preserve"> ΚΑΡΔΙΤΣΑΣ</w:t>
            </w:r>
          </w:p>
        </w:tc>
      </w:tr>
      <w:tr>
        <w:trPr/>
        <w:tc>
          <w:tcPr>
            <w:tcW w:w="5244" w:type="dxa"/>
            <w:tcBorders>
              <w:top w:val="single" w:sz="4" w:space="0" w:color="000000"/>
              <w:left w:val="single" w:sz="4" w:space="0" w:color="000000"/>
              <w:bottom w:val="single" w:sz="4" w:space="0" w:color="000000"/>
            </w:tcBorders>
            <w:shd w:color="auto" w:fill="auto" w:val="clear"/>
          </w:tcPr>
          <w:p>
            <w:pPr>
              <w:pStyle w:val="Normalwithoutspacing"/>
              <w:widowControl w:val="false"/>
              <w:spacing w:before="0" w:after="60"/>
              <w:rPr/>
            </w:pPr>
            <w:r>
              <w:rPr/>
              <w:t>Αριθμός Φορολογικού Μητρώου (Α.Φ.Μ.)</w:t>
            </w:r>
          </w:p>
        </w:tc>
        <w:tc>
          <w:tcPr>
            <w:tcW w:w="4419" w:type="dxa"/>
            <w:tcBorders>
              <w:top w:val="single" w:sz="4" w:space="0" w:color="000000"/>
              <w:left w:val="single" w:sz="4" w:space="0" w:color="000000"/>
              <w:bottom w:val="single" w:sz="4" w:space="0" w:color="000000"/>
              <w:right w:val="single" w:sz="4" w:space="0" w:color="000000"/>
            </w:tcBorders>
            <w:shd w:color="auto" w:fill="auto" w:val="clear"/>
          </w:tcPr>
          <w:p>
            <w:pPr>
              <w:pStyle w:val="Normalwithoutspacing"/>
              <w:widowControl w:val="false"/>
              <w:snapToGrid w:val="false"/>
              <w:spacing w:before="0" w:after="60"/>
              <w:rPr>
                <w:rFonts w:ascii="Cambria" w:hAnsi="Cambria"/>
              </w:rPr>
            </w:pPr>
            <w:r>
              <w:rPr>
                <w:rFonts w:ascii="Cambria" w:hAnsi="Cambria"/>
              </w:rPr>
              <w:t>997648454</w:t>
            </w:r>
          </w:p>
        </w:tc>
      </w:tr>
      <w:tr>
        <w:trPr/>
        <w:tc>
          <w:tcPr>
            <w:tcW w:w="5244" w:type="dxa"/>
            <w:tcBorders>
              <w:top w:val="single" w:sz="4" w:space="0" w:color="000000"/>
              <w:left w:val="single" w:sz="4" w:space="0" w:color="000000"/>
              <w:bottom w:val="single" w:sz="4" w:space="0" w:color="000000"/>
            </w:tcBorders>
            <w:shd w:color="auto" w:fill="auto" w:val="clear"/>
          </w:tcPr>
          <w:p>
            <w:pPr>
              <w:pStyle w:val="Normalwithoutspacing"/>
              <w:widowControl w:val="false"/>
              <w:spacing w:before="0" w:after="60"/>
              <w:rPr/>
            </w:pPr>
            <w:r>
              <w:rPr/>
              <w:t>Κωδικός Αναθέτουσας Αρχής για την ηλκή τιμολόγηση</w:t>
            </w:r>
            <w:r>
              <w:rPr>
                <w:rStyle w:val="Style19"/>
                <w:rFonts w:cs="Calibri"/>
                <w:szCs w:val="22"/>
              </w:rPr>
              <w:footnoteReference w:id="2"/>
            </w:r>
          </w:p>
        </w:tc>
        <w:tc>
          <w:tcPr>
            <w:tcW w:w="4419" w:type="dxa"/>
            <w:tcBorders>
              <w:top w:val="single" w:sz="4" w:space="0" w:color="000000"/>
              <w:left w:val="single" w:sz="4" w:space="0" w:color="000000"/>
              <w:bottom w:val="single" w:sz="4" w:space="0" w:color="000000"/>
              <w:right w:val="single" w:sz="4" w:space="0" w:color="000000"/>
            </w:tcBorders>
            <w:shd w:color="auto" w:fill="auto" w:val="clear"/>
          </w:tcPr>
          <w:p>
            <w:pPr>
              <w:pStyle w:val="Normalwithoutspacing"/>
              <w:widowControl w:val="false"/>
              <w:snapToGrid w:val="false"/>
              <w:spacing w:before="0" w:after="60"/>
              <w:rPr/>
            </w:pPr>
            <w:r>
              <w:rPr/>
            </w:r>
          </w:p>
        </w:tc>
      </w:tr>
      <w:tr>
        <w:trPr/>
        <w:tc>
          <w:tcPr>
            <w:tcW w:w="5244" w:type="dxa"/>
            <w:tcBorders>
              <w:top w:val="single" w:sz="4" w:space="0" w:color="000000"/>
              <w:left w:val="single" w:sz="4" w:space="0" w:color="000000"/>
              <w:bottom w:val="single" w:sz="4" w:space="0" w:color="000000"/>
            </w:tcBorders>
            <w:shd w:color="auto" w:fill="auto" w:val="clear"/>
          </w:tcPr>
          <w:p>
            <w:pPr>
              <w:pStyle w:val="Normalwithoutspacing"/>
              <w:widowControl w:val="false"/>
              <w:spacing w:before="0" w:after="60"/>
              <w:rPr/>
            </w:pPr>
            <w:r>
              <w:rPr/>
              <w:t>Ταχυδρομική διεύθυνση</w:t>
            </w:r>
          </w:p>
        </w:tc>
        <w:tc>
          <w:tcPr>
            <w:tcW w:w="4419" w:type="dxa"/>
            <w:tcBorders>
              <w:top w:val="single" w:sz="4" w:space="0" w:color="000000"/>
              <w:left w:val="single" w:sz="4" w:space="0" w:color="000000"/>
              <w:bottom w:val="single" w:sz="4" w:space="0" w:color="000000"/>
              <w:right w:val="single" w:sz="4" w:space="0" w:color="000000"/>
            </w:tcBorders>
            <w:shd w:color="auto" w:fill="auto" w:val="clear"/>
          </w:tcPr>
          <w:p>
            <w:pPr>
              <w:pStyle w:val="Normalwithoutspacing"/>
              <w:widowControl w:val="false"/>
              <w:snapToGrid w:val="false"/>
              <w:spacing w:before="0" w:after="60"/>
              <w:rPr>
                <w:rFonts w:ascii="Cambria" w:hAnsi="Cambria"/>
              </w:rPr>
            </w:pPr>
            <w:r>
              <w:rPr>
                <w:rFonts w:ascii="Cambria" w:hAnsi="Cambria"/>
              </w:rPr>
              <w:t>Μυρμιδόνων 2</w:t>
            </w:r>
          </w:p>
        </w:tc>
      </w:tr>
      <w:tr>
        <w:trPr/>
        <w:tc>
          <w:tcPr>
            <w:tcW w:w="5244" w:type="dxa"/>
            <w:tcBorders>
              <w:top w:val="single" w:sz="4" w:space="0" w:color="000000"/>
              <w:left w:val="single" w:sz="4" w:space="0" w:color="000000"/>
              <w:bottom w:val="single" w:sz="4" w:space="0" w:color="000000"/>
            </w:tcBorders>
            <w:shd w:color="auto" w:fill="auto" w:val="clear"/>
          </w:tcPr>
          <w:p>
            <w:pPr>
              <w:pStyle w:val="Normalwithoutspacing"/>
              <w:widowControl w:val="false"/>
              <w:spacing w:before="0" w:after="60"/>
              <w:rPr/>
            </w:pPr>
            <w:r>
              <w:rPr/>
              <w:t>Πόλη</w:t>
            </w:r>
          </w:p>
        </w:tc>
        <w:tc>
          <w:tcPr>
            <w:tcW w:w="4419" w:type="dxa"/>
            <w:tcBorders>
              <w:top w:val="single" w:sz="4" w:space="0" w:color="000000"/>
              <w:left w:val="single" w:sz="4" w:space="0" w:color="000000"/>
              <w:bottom w:val="single" w:sz="4" w:space="0" w:color="000000"/>
              <w:right w:val="single" w:sz="4" w:space="0" w:color="000000"/>
            </w:tcBorders>
            <w:shd w:color="auto" w:fill="auto" w:val="clear"/>
          </w:tcPr>
          <w:p>
            <w:pPr>
              <w:pStyle w:val="Normalwithoutspacing"/>
              <w:widowControl w:val="false"/>
              <w:snapToGrid w:val="false"/>
              <w:spacing w:before="0" w:after="60"/>
              <w:rPr>
                <w:rFonts w:ascii="Cambria" w:hAnsi="Cambria"/>
              </w:rPr>
            </w:pPr>
            <w:r>
              <w:rPr>
                <w:rFonts w:ascii="Cambria" w:hAnsi="Cambria"/>
              </w:rPr>
              <w:t>Καρδίτσα</w:t>
            </w:r>
          </w:p>
        </w:tc>
      </w:tr>
      <w:tr>
        <w:trPr/>
        <w:tc>
          <w:tcPr>
            <w:tcW w:w="5244" w:type="dxa"/>
            <w:tcBorders>
              <w:top w:val="single" w:sz="4" w:space="0" w:color="000000"/>
              <w:left w:val="single" w:sz="4" w:space="0" w:color="000000"/>
              <w:bottom w:val="single" w:sz="4" w:space="0" w:color="000000"/>
            </w:tcBorders>
            <w:shd w:color="auto" w:fill="auto" w:val="clear"/>
          </w:tcPr>
          <w:p>
            <w:pPr>
              <w:pStyle w:val="Normalwithoutspacing"/>
              <w:widowControl w:val="false"/>
              <w:spacing w:before="0" w:after="60"/>
              <w:rPr/>
            </w:pPr>
            <w:r>
              <w:rPr/>
              <w:t>Ταχυδρομικός Κωδικός</w:t>
            </w:r>
          </w:p>
        </w:tc>
        <w:tc>
          <w:tcPr>
            <w:tcW w:w="4419" w:type="dxa"/>
            <w:tcBorders>
              <w:top w:val="single" w:sz="4" w:space="0" w:color="000000"/>
              <w:left w:val="single" w:sz="4" w:space="0" w:color="000000"/>
              <w:bottom w:val="single" w:sz="4" w:space="0" w:color="000000"/>
              <w:right w:val="single" w:sz="4" w:space="0" w:color="000000"/>
            </w:tcBorders>
            <w:shd w:color="auto" w:fill="auto" w:val="clear"/>
          </w:tcPr>
          <w:p>
            <w:pPr>
              <w:pStyle w:val="Normalwithoutspacing"/>
              <w:widowControl w:val="false"/>
              <w:snapToGrid w:val="false"/>
              <w:spacing w:before="0" w:after="60"/>
              <w:jc w:val="left"/>
              <w:rPr>
                <w:rFonts w:ascii="Cambria" w:hAnsi="Cambria"/>
              </w:rPr>
            </w:pPr>
            <w:r>
              <w:rPr>
                <w:rFonts w:ascii="Cambria" w:hAnsi="Cambria"/>
              </w:rPr>
              <w:t>43131</w:t>
            </w:r>
          </w:p>
        </w:tc>
      </w:tr>
      <w:tr>
        <w:trPr/>
        <w:tc>
          <w:tcPr>
            <w:tcW w:w="5244" w:type="dxa"/>
            <w:tcBorders>
              <w:top w:val="single" w:sz="4" w:space="0" w:color="000000"/>
              <w:left w:val="single" w:sz="4" w:space="0" w:color="000000"/>
              <w:bottom w:val="single" w:sz="4" w:space="0" w:color="000000"/>
            </w:tcBorders>
            <w:shd w:color="auto" w:fill="auto" w:val="clear"/>
          </w:tcPr>
          <w:p>
            <w:pPr>
              <w:pStyle w:val="Normalwithoutspacing"/>
              <w:widowControl w:val="false"/>
              <w:spacing w:before="0" w:after="60"/>
              <w:rPr/>
            </w:pPr>
            <w:r>
              <w:rPr/>
              <w:t>Χώρα</w:t>
            </w:r>
            <w:r>
              <w:rPr>
                <w:rStyle w:val="Style19"/>
              </w:rPr>
              <w:footnoteReference w:id="3"/>
            </w:r>
          </w:p>
        </w:tc>
        <w:tc>
          <w:tcPr>
            <w:tcW w:w="4419" w:type="dxa"/>
            <w:tcBorders>
              <w:top w:val="single" w:sz="4" w:space="0" w:color="000000"/>
              <w:left w:val="single" w:sz="4" w:space="0" w:color="000000"/>
              <w:bottom w:val="single" w:sz="4" w:space="0" w:color="000000"/>
              <w:right w:val="single" w:sz="4" w:space="0" w:color="000000"/>
            </w:tcBorders>
            <w:shd w:color="auto" w:fill="auto" w:val="clear"/>
          </w:tcPr>
          <w:p>
            <w:pPr>
              <w:pStyle w:val="Normalwithoutspacing"/>
              <w:widowControl w:val="false"/>
              <w:snapToGrid w:val="false"/>
              <w:spacing w:before="0" w:after="60"/>
              <w:rPr>
                <w:rFonts w:ascii="Cambria" w:hAnsi="Cambria"/>
              </w:rPr>
            </w:pPr>
            <w:r>
              <w:rPr>
                <w:rFonts w:ascii="Cambria" w:hAnsi="Cambria"/>
              </w:rPr>
            </w:r>
          </w:p>
        </w:tc>
      </w:tr>
      <w:tr>
        <w:trPr/>
        <w:tc>
          <w:tcPr>
            <w:tcW w:w="5244" w:type="dxa"/>
            <w:tcBorders>
              <w:top w:val="single" w:sz="4" w:space="0" w:color="000000"/>
              <w:left w:val="single" w:sz="4" w:space="0" w:color="000000"/>
              <w:bottom w:val="single" w:sz="4" w:space="0" w:color="000000"/>
            </w:tcBorders>
            <w:shd w:color="auto" w:fill="auto" w:val="clear"/>
          </w:tcPr>
          <w:p>
            <w:pPr>
              <w:pStyle w:val="Normalwithoutspacing"/>
              <w:widowControl w:val="false"/>
              <w:spacing w:before="0" w:after="60"/>
              <w:rPr/>
            </w:pPr>
            <w:r>
              <w:rPr/>
              <w:t>Κωδικός ΝUTS</w:t>
            </w:r>
            <w:r>
              <w:rPr>
                <w:rStyle w:val="Style19"/>
              </w:rPr>
              <w:footnoteReference w:id="4"/>
            </w:r>
          </w:p>
        </w:tc>
        <w:tc>
          <w:tcPr>
            <w:tcW w:w="4419" w:type="dxa"/>
            <w:tcBorders>
              <w:top w:val="single" w:sz="4" w:space="0" w:color="000000"/>
              <w:left w:val="single" w:sz="4" w:space="0" w:color="000000"/>
              <w:bottom w:val="single" w:sz="4" w:space="0" w:color="000000"/>
              <w:right w:val="single" w:sz="4" w:space="0" w:color="000000"/>
            </w:tcBorders>
            <w:shd w:color="auto" w:fill="auto" w:val="clear"/>
          </w:tcPr>
          <w:p>
            <w:pPr>
              <w:pStyle w:val="Normalwithoutspacing"/>
              <w:widowControl w:val="false"/>
              <w:snapToGrid w:val="false"/>
              <w:spacing w:before="0" w:after="60"/>
              <w:rPr>
                <w:rFonts w:ascii="Cambria" w:hAnsi="Cambria"/>
              </w:rPr>
            </w:pPr>
            <w:r>
              <w:rPr>
                <w:rFonts w:ascii="Cambria" w:hAnsi="Cambria"/>
              </w:rPr>
            </w:r>
          </w:p>
        </w:tc>
      </w:tr>
      <w:tr>
        <w:trPr/>
        <w:tc>
          <w:tcPr>
            <w:tcW w:w="5244" w:type="dxa"/>
            <w:tcBorders>
              <w:top w:val="single" w:sz="4" w:space="0" w:color="000000"/>
              <w:left w:val="single" w:sz="4" w:space="0" w:color="000000"/>
              <w:bottom w:val="single" w:sz="4" w:space="0" w:color="000000"/>
            </w:tcBorders>
            <w:shd w:color="auto" w:fill="auto" w:val="clear"/>
          </w:tcPr>
          <w:p>
            <w:pPr>
              <w:pStyle w:val="Normalwithoutspacing"/>
              <w:widowControl w:val="false"/>
              <w:spacing w:before="0" w:after="60"/>
              <w:rPr/>
            </w:pPr>
            <w:r>
              <w:rPr/>
              <w:t>Τηλέφωνο</w:t>
            </w:r>
          </w:p>
        </w:tc>
        <w:tc>
          <w:tcPr>
            <w:tcW w:w="4419" w:type="dxa"/>
            <w:tcBorders>
              <w:top w:val="single" w:sz="4" w:space="0" w:color="000000"/>
              <w:left w:val="single" w:sz="4" w:space="0" w:color="000000"/>
              <w:bottom w:val="single" w:sz="4" w:space="0" w:color="000000"/>
              <w:right w:val="single" w:sz="4" w:space="0" w:color="000000"/>
            </w:tcBorders>
            <w:shd w:color="auto" w:fill="auto" w:val="clear"/>
          </w:tcPr>
          <w:p>
            <w:pPr>
              <w:pStyle w:val="Normalwithoutspacing"/>
              <w:widowControl w:val="false"/>
              <w:snapToGrid w:val="false"/>
              <w:spacing w:before="0" w:after="60"/>
              <w:rPr>
                <w:rFonts w:ascii="Cambria" w:hAnsi="Cambria"/>
                <w:lang w:val="en-US"/>
              </w:rPr>
            </w:pPr>
            <w:r>
              <w:rPr>
                <w:rFonts w:ascii="Cambria" w:hAnsi="Cambria"/>
              </w:rPr>
              <w:t xml:space="preserve">24413 </w:t>
            </w:r>
            <w:r>
              <w:rPr>
                <w:rFonts w:ascii="Cambria" w:hAnsi="Cambria"/>
                <w:lang w:val="en-US"/>
              </w:rPr>
              <w:t>54872</w:t>
            </w:r>
          </w:p>
        </w:tc>
      </w:tr>
      <w:tr>
        <w:trPr/>
        <w:tc>
          <w:tcPr>
            <w:tcW w:w="5244" w:type="dxa"/>
            <w:tcBorders>
              <w:top w:val="single" w:sz="4" w:space="0" w:color="000000"/>
              <w:left w:val="single" w:sz="4" w:space="0" w:color="000000"/>
              <w:bottom w:val="single" w:sz="4" w:space="0" w:color="000000"/>
            </w:tcBorders>
            <w:shd w:color="auto" w:fill="auto" w:val="clear"/>
          </w:tcPr>
          <w:p>
            <w:pPr>
              <w:pStyle w:val="Normalwithoutspacing"/>
              <w:widowControl w:val="false"/>
              <w:spacing w:before="0" w:after="60"/>
              <w:rPr>
                <w:lang w:val="en-US"/>
              </w:rPr>
            </w:pPr>
            <w:r>
              <w:rPr/>
              <w:t xml:space="preserve">Ηλεκτρονικό Ταχυδρομείο </w:t>
            </w:r>
            <w:r>
              <w:rPr>
                <w:lang w:val="en-US"/>
              </w:rPr>
              <w:t>(e-mail)</w:t>
            </w:r>
          </w:p>
        </w:tc>
        <w:tc>
          <w:tcPr>
            <w:tcW w:w="4419" w:type="dxa"/>
            <w:tcBorders>
              <w:top w:val="single" w:sz="4" w:space="0" w:color="000000"/>
              <w:left w:val="single" w:sz="4" w:space="0" w:color="000000"/>
              <w:bottom w:val="single" w:sz="4" w:space="0" w:color="000000"/>
              <w:right w:val="single" w:sz="4" w:space="0" w:color="000000"/>
            </w:tcBorders>
            <w:shd w:color="auto" w:fill="auto" w:val="clear"/>
          </w:tcPr>
          <w:p>
            <w:pPr>
              <w:pStyle w:val="Normalwithoutspacing"/>
              <w:widowControl w:val="false"/>
              <w:snapToGrid w:val="false"/>
              <w:rPr>
                <w:rFonts w:ascii="Cambria" w:hAnsi="Cambria"/>
                <w:szCs w:val="22"/>
                <w:lang w:val="en-US"/>
              </w:rPr>
            </w:pPr>
            <w:r>
              <w:rPr>
                <w:rFonts w:ascii="Cambria" w:hAnsi="Cambria"/>
                <w:szCs w:val="22"/>
                <w:lang w:val="en-US"/>
              </w:rPr>
              <w:t>kostas.lappas@dimoskarditsas.gov.gr</w:t>
            </w:r>
          </w:p>
          <w:p>
            <w:pPr>
              <w:pStyle w:val="Normalwithoutspacing"/>
              <w:widowControl w:val="false"/>
              <w:snapToGrid w:val="false"/>
              <w:spacing w:before="0" w:after="0"/>
              <w:rPr>
                <w:rFonts w:ascii="Cambria" w:hAnsi="Cambria"/>
                <w:szCs w:val="22"/>
                <w:lang w:val="en-US"/>
              </w:rPr>
            </w:pPr>
            <w:r>
              <w:rPr>
                <w:rFonts w:ascii="Cambria" w:hAnsi="Cambria"/>
                <w:szCs w:val="22"/>
                <w:lang w:val="en-US"/>
              </w:rPr>
            </w:r>
          </w:p>
        </w:tc>
      </w:tr>
      <w:tr>
        <w:trPr/>
        <w:tc>
          <w:tcPr>
            <w:tcW w:w="5244" w:type="dxa"/>
            <w:tcBorders>
              <w:top w:val="single" w:sz="4" w:space="0" w:color="000000"/>
              <w:left w:val="single" w:sz="4" w:space="0" w:color="000000"/>
              <w:bottom w:val="single" w:sz="4" w:space="0" w:color="000000"/>
            </w:tcBorders>
            <w:shd w:color="auto" w:fill="auto" w:val="clear"/>
          </w:tcPr>
          <w:p>
            <w:pPr>
              <w:pStyle w:val="Normalwithoutspacing"/>
              <w:widowControl w:val="false"/>
              <w:spacing w:before="0" w:after="60"/>
              <w:rPr/>
            </w:pPr>
            <w:r>
              <w:rPr/>
              <w:t>Αρμόδιος για πληροφορίες</w:t>
            </w:r>
            <w:r>
              <w:rPr>
                <w:rStyle w:val="Style19"/>
              </w:rPr>
              <w:footnoteReference w:id="5"/>
            </w:r>
          </w:p>
        </w:tc>
        <w:tc>
          <w:tcPr>
            <w:tcW w:w="4419" w:type="dxa"/>
            <w:tcBorders>
              <w:top w:val="single" w:sz="4" w:space="0" w:color="000000"/>
              <w:left w:val="single" w:sz="4" w:space="0" w:color="000000"/>
              <w:bottom w:val="single" w:sz="4" w:space="0" w:color="000000"/>
              <w:right w:val="single" w:sz="4" w:space="0" w:color="000000"/>
            </w:tcBorders>
            <w:shd w:color="auto" w:fill="auto" w:val="clear"/>
          </w:tcPr>
          <w:p>
            <w:pPr>
              <w:pStyle w:val="Normalwithoutspacing"/>
              <w:widowControl w:val="false"/>
              <w:snapToGrid w:val="false"/>
              <w:spacing w:before="0" w:after="60"/>
              <w:rPr>
                <w:rFonts w:ascii="Cambria" w:hAnsi="Cambria"/>
              </w:rPr>
            </w:pPr>
            <w:r>
              <w:rPr>
                <w:rFonts w:ascii="Cambria" w:hAnsi="Cambria"/>
              </w:rPr>
              <w:t>Λάππας Κων/νος, Δνση Τεχν.Υπηρεσιών Δήμου Καρδίτσας</w:t>
            </w:r>
          </w:p>
        </w:tc>
      </w:tr>
      <w:tr>
        <w:trPr/>
        <w:tc>
          <w:tcPr>
            <w:tcW w:w="5244" w:type="dxa"/>
            <w:tcBorders>
              <w:top w:val="single" w:sz="4" w:space="0" w:color="000000"/>
              <w:left w:val="single" w:sz="4" w:space="0" w:color="000000"/>
              <w:bottom w:val="single" w:sz="4" w:space="0" w:color="000000"/>
            </w:tcBorders>
            <w:shd w:color="auto" w:fill="auto" w:val="clear"/>
          </w:tcPr>
          <w:p>
            <w:pPr>
              <w:pStyle w:val="Normalwithoutspacing"/>
              <w:widowControl w:val="false"/>
              <w:spacing w:before="0" w:after="60"/>
              <w:rPr/>
            </w:pPr>
            <w:r>
              <w:rPr/>
              <w:t>Γενική Διεύθυνση στο διαδίκτυο  (URL)</w:t>
            </w:r>
          </w:p>
        </w:tc>
        <w:tc>
          <w:tcPr>
            <w:tcW w:w="4419" w:type="dxa"/>
            <w:tcBorders>
              <w:top w:val="single" w:sz="4" w:space="0" w:color="000000"/>
              <w:left w:val="single" w:sz="4" w:space="0" w:color="000000"/>
              <w:bottom w:val="single" w:sz="4" w:space="0" w:color="000000"/>
              <w:right w:val="single" w:sz="4" w:space="0" w:color="000000"/>
            </w:tcBorders>
            <w:shd w:color="auto" w:fill="auto" w:val="clear"/>
          </w:tcPr>
          <w:p>
            <w:pPr>
              <w:pStyle w:val="Normalwithoutspacing"/>
              <w:widowControl w:val="false"/>
              <w:snapToGrid w:val="false"/>
              <w:spacing w:before="0" w:after="60"/>
              <w:rPr>
                <w:rFonts w:ascii="Cambria" w:hAnsi="Cambria"/>
              </w:rPr>
            </w:pPr>
            <w:bookmarkStart w:id="3" w:name="_Hlk65664951"/>
            <w:r>
              <w:rPr>
                <w:rFonts w:ascii="Cambria" w:hAnsi="Cambria"/>
                <w:lang w:val="en-US"/>
              </w:rPr>
              <w:t>http</w:t>
            </w:r>
            <w:r>
              <w:rPr>
                <w:rFonts w:ascii="Cambria" w:hAnsi="Cambria"/>
              </w:rPr>
              <w:t>://</w:t>
            </w:r>
            <w:r>
              <w:rPr>
                <w:rFonts w:ascii="Cambria" w:hAnsi="Cambria"/>
                <w:lang w:val="en-US"/>
              </w:rPr>
              <w:t>www</w:t>
            </w:r>
            <w:r>
              <w:rPr>
                <w:rFonts w:ascii="Cambria" w:hAnsi="Cambria"/>
              </w:rPr>
              <w:t>.</w:t>
            </w:r>
            <w:r>
              <w:rPr>
                <w:rFonts w:ascii="Cambria" w:hAnsi="Cambria"/>
                <w:lang w:val="en-US"/>
              </w:rPr>
              <w:t>dimoskarditsas</w:t>
            </w:r>
            <w:r>
              <w:rPr>
                <w:rFonts w:ascii="Cambria" w:hAnsi="Cambria"/>
              </w:rPr>
              <w:t>.</w:t>
            </w:r>
            <w:r>
              <w:rPr>
                <w:rFonts w:ascii="Cambria" w:hAnsi="Cambria"/>
                <w:lang w:val="en-US"/>
              </w:rPr>
              <w:t>gov</w:t>
            </w:r>
            <w:r>
              <w:rPr>
                <w:rFonts w:ascii="Cambria" w:hAnsi="Cambria"/>
              </w:rPr>
              <w:t>.</w:t>
            </w:r>
            <w:r>
              <w:rPr>
                <w:rFonts w:ascii="Cambria" w:hAnsi="Cambria"/>
                <w:lang w:val="en-US"/>
              </w:rPr>
              <w:t>gr</w:t>
            </w:r>
            <w:bookmarkEnd w:id="3"/>
          </w:p>
        </w:tc>
      </w:tr>
      <w:tr>
        <w:trPr/>
        <w:tc>
          <w:tcPr>
            <w:tcW w:w="5244" w:type="dxa"/>
            <w:tcBorders>
              <w:top w:val="single" w:sz="4" w:space="0" w:color="000000"/>
              <w:left w:val="single" w:sz="4" w:space="0" w:color="000000"/>
              <w:bottom w:val="single" w:sz="4" w:space="0" w:color="000000"/>
            </w:tcBorders>
            <w:shd w:color="auto" w:fill="auto" w:val="clear"/>
          </w:tcPr>
          <w:p>
            <w:pPr>
              <w:pStyle w:val="Normalwithoutspacing"/>
              <w:widowControl w:val="false"/>
              <w:spacing w:before="0" w:after="60"/>
              <w:rPr/>
            </w:pPr>
            <w:r>
              <w:rPr/>
              <w:t>Διεύθυνση του προφίλ αγοραστή στο διαδίκτυο (URL)</w:t>
            </w:r>
            <w:r>
              <w:rPr>
                <w:rStyle w:val="Style19"/>
              </w:rPr>
              <w:footnoteReference w:id="6"/>
            </w:r>
          </w:p>
        </w:tc>
        <w:tc>
          <w:tcPr>
            <w:tcW w:w="4419" w:type="dxa"/>
            <w:tcBorders>
              <w:top w:val="single" w:sz="4" w:space="0" w:color="000000"/>
              <w:left w:val="single" w:sz="4" w:space="0" w:color="000000"/>
              <w:bottom w:val="single" w:sz="4" w:space="0" w:color="000000"/>
              <w:right w:val="single" w:sz="4" w:space="0" w:color="000000"/>
            </w:tcBorders>
            <w:shd w:color="auto" w:fill="auto" w:val="clear"/>
          </w:tcPr>
          <w:p>
            <w:pPr>
              <w:pStyle w:val="Normalwithoutspacing"/>
              <w:widowControl w:val="false"/>
              <w:snapToGrid w:val="false"/>
              <w:spacing w:before="0" w:after="60"/>
              <w:rPr/>
            </w:pPr>
            <w:r>
              <w:rPr/>
            </w:r>
          </w:p>
        </w:tc>
      </w:tr>
    </w:tbl>
    <w:p>
      <w:pPr>
        <w:pStyle w:val="Normalwithoutspacing"/>
        <w:rPr>
          <w:sz w:val="14"/>
          <w:szCs w:val="14"/>
        </w:rPr>
      </w:pPr>
      <w:r>
        <w:rPr>
          <w:sz w:val="14"/>
          <w:szCs w:val="14"/>
        </w:rPr>
      </w:r>
    </w:p>
    <w:p>
      <w:pPr>
        <w:pStyle w:val="Normalwithoutspacing"/>
        <w:rPr/>
      </w:pPr>
      <w:r>
        <w:rPr>
          <w:b/>
        </w:rPr>
        <w:t xml:space="preserve">Είδος Αναθέτουσας Αρχής </w:t>
      </w:r>
    </w:p>
    <w:p>
      <w:pPr>
        <w:pStyle w:val="Normalwithoutspacing"/>
        <w:rPr>
          <w:rFonts w:eastAsia="Calibri"/>
        </w:rPr>
      </w:pPr>
      <w:r>
        <w:rPr/>
        <w:t xml:space="preserve">Η Αναθέτουσα Αρχή είναι </w:t>
      </w:r>
      <w:r>
        <w:rPr>
          <w:rStyle w:val="Style19"/>
          <w:rFonts w:cs="Calibri"/>
          <w:szCs w:val="22"/>
        </w:rPr>
        <w:footnoteReference w:id="7"/>
      </w:r>
      <w:r>
        <w:rPr/>
        <w:t xml:space="preserve">  </w:t>
      </w:r>
      <w:r>
        <w:rPr>
          <w:lang w:val="en-US"/>
        </w:rPr>
        <w:t>Ο</w:t>
      </w:r>
      <w:r>
        <w:rPr>
          <w:lang w:val="el-GR"/>
        </w:rPr>
        <w:t>ΤΑ</w:t>
      </w:r>
      <w:r>
        <w:rPr/>
        <w:t xml:space="preserve">  και ανήκει στην </w:t>
      </w:r>
      <w:r>
        <w:rPr>
          <w:rFonts w:ascii="Cambria" w:hAnsi="Cambria"/>
        </w:rPr>
        <w:t xml:space="preserve">Γενική Κυβέρνηση, Υποτομέας </w:t>
      </w:r>
      <w:r>
        <w:rPr>
          <w:rFonts w:ascii="Cambria" w:hAnsi="Cambria"/>
          <w:lang w:val="en-US"/>
        </w:rPr>
        <w:t>O</w:t>
      </w:r>
      <w:r>
        <w:rPr>
          <w:rFonts w:ascii="Cambria" w:hAnsi="Cambria"/>
        </w:rPr>
        <w:t>.</w:t>
      </w:r>
      <w:r>
        <w:rPr>
          <w:rFonts w:ascii="Cambria" w:hAnsi="Cambria"/>
          <w:lang w:val="en-US"/>
        </w:rPr>
        <w:t>T</w:t>
      </w:r>
      <w:r>
        <w:rPr>
          <w:rFonts w:ascii="Cambria" w:hAnsi="Cambria"/>
        </w:rPr>
        <w:t>.</w:t>
      </w:r>
      <w:r>
        <w:rPr>
          <w:rFonts w:ascii="Cambria" w:hAnsi="Cambria"/>
          <w:lang w:val="en-US"/>
        </w:rPr>
        <w:t xml:space="preserve">A </w:t>
      </w:r>
      <w:r>
        <w:rPr>
          <w:rStyle w:val="Style19"/>
          <w:rFonts w:cs="Calibri"/>
          <w:szCs w:val="22"/>
        </w:rPr>
        <w:footnoteReference w:id="8"/>
      </w:r>
    </w:p>
    <w:p>
      <w:pPr>
        <w:pStyle w:val="Normalwithoutspacing"/>
        <w:rPr>
          <w:rFonts w:eastAsia="Calibri"/>
        </w:rPr>
      </w:pPr>
      <w:r>
        <w:rPr>
          <w:rFonts w:eastAsia="Calibri"/>
        </w:rPr>
      </w:r>
    </w:p>
    <w:p>
      <w:pPr>
        <w:pStyle w:val="Normalwithoutspacing"/>
        <w:rPr/>
      </w:pPr>
      <w:r>
        <w:rPr>
          <w:b/>
        </w:rPr>
        <w:t>Κύρια δραστηριότητα Α.Α.</w:t>
      </w:r>
      <w:r>
        <w:rPr>
          <w:rStyle w:val="Style19"/>
          <w:rFonts w:cs="Calibri"/>
          <w:b/>
          <w:szCs w:val="22"/>
        </w:rPr>
        <w:footnoteReference w:id="9"/>
      </w:r>
    </w:p>
    <w:p>
      <w:pPr>
        <w:pStyle w:val="Normalwithoutspacing"/>
        <w:rPr/>
      </w:pPr>
      <w:r>
        <w:rPr/>
        <w:t xml:space="preserve">Η κύρια δραστηριότητα της Αναθέτουσας Αρχής είναι η </w:t>
      </w:r>
      <w:r>
        <w:rPr>
          <w:rStyle w:val="Style10"/>
          <w:position w:val="0"/>
          <w:sz w:val="22"/>
          <w:sz w:val="22"/>
          <w:szCs w:val="22"/>
          <w:vertAlign w:val="baseline"/>
          <w:lang w:val="el-GR"/>
        </w:rPr>
        <w:t>α) Γενικές δημόσιες υπηρεσίες</w:t>
      </w:r>
    </w:p>
    <w:p>
      <w:pPr>
        <w:pStyle w:val="Normalwithoutspacing"/>
        <w:rPr>
          <w:kern w:val="2"/>
        </w:rPr>
      </w:pPr>
      <w:r>
        <w:rPr>
          <w:b/>
        </w:rPr>
        <w:t xml:space="preserve">Στοιχεία Επικοινωνίας </w:t>
      </w:r>
      <w:r>
        <w:rPr>
          <w:rStyle w:val="Style19"/>
          <w:b/>
          <w:szCs w:val="22"/>
        </w:rPr>
        <w:footnoteReference w:id="10"/>
      </w:r>
      <w:r>
        <w:rPr>
          <w:b/>
        </w:rPr>
        <w:t xml:space="preserve"> </w:t>
      </w:r>
    </w:p>
    <w:p>
      <w:pPr>
        <w:pStyle w:val="Normalwithoutspacing"/>
        <w:ind w:left="567" w:hanging="567"/>
        <w:rPr/>
      </w:pPr>
      <w:r>
        <w:rPr>
          <w:kern w:val="2"/>
        </w:rPr>
        <w:t>α)</w:t>
        <w:tab/>
        <w:t>Τα έγγραφα της σύμβασης είναι διαθέσιμα για ελεύθερη, πλήρη, άμεση &amp; δωρεάν ηλεκτρονική πρόσβαση μέσω της Διαδικτυακής Πύλης (www.promitheus.gov.gr) του ΟΠΣ ΕΣΗΔΗΣ.</w:t>
      </w:r>
      <w:r>
        <w:rPr>
          <w:rStyle w:val="Style19"/>
          <w:kern w:val="2"/>
        </w:rPr>
        <w:footnoteReference w:id="11"/>
      </w:r>
    </w:p>
    <w:p>
      <w:pPr>
        <w:pStyle w:val="Normalwithoutspacing"/>
        <w:ind w:left="567" w:hanging="567"/>
        <w:rPr/>
      </w:pPr>
      <w:r>
        <w:rPr/>
        <w:t>β)</w:t>
        <w:tab/>
        <w:t>Κάθε είδους επικοινωνία και ανταλλαγή πληροφοριών πραγματοποιείται μέσω του ΕΣΗΔΗΣ Προμήθειες και Υπηρεσίες (εφεξής ΕΣΗΔΗΣ), το οποίο είναι προσβάσιμο από τη Διαδικτυακή Πύλη (www.promitheus.gov.gr) του ΟΠΣ ΕΣΗΔΗΣ.</w:t>
      </w:r>
    </w:p>
    <w:p>
      <w:pPr>
        <w:pStyle w:val="Normalwithoutspacing"/>
        <w:ind w:left="567" w:hanging="567"/>
        <w:rPr>
          <w:kern w:val="2"/>
        </w:rPr>
      </w:pPr>
      <w:r>
        <w:rPr/>
        <w:t>γ)</w:t>
        <w:tab/>
        <w:t>Περαιτέρω πληροφορίες είναι διαθέσιμες από:</w:t>
      </w:r>
    </w:p>
    <w:p>
      <w:pPr>
        <w:pStyle w:val="Normalwithoutspacing"/>
        <w:ind w:left="567" w:hanging="567"/>
        <w:rPr>
          <w:i/>
          <w:i/>
          <w:iCs/>
          <w:color w:val="5B9BD5"/>
          <w:kern w:val="2"/>
        </w:rPr>
      </w:pPr>
      <w:r>
        <w:rPr>
          <w:kern w:val="2"/>
        </w:rPr>
        <w:tab/>
        <w:t xml:space="preserve">την προαναφερθείσα Γενική Διεύθυνση στο διαδίκτυο (URL): </w:t>
      </w:r>
      <w:r>
        <w:rPr>
          <w:rFonts w:eastAsia="Times New Roman" w:cs="Calibri"/>
          <w:i/>
          <w:iCs/>
          <w:color w:val="auto"/>
          <w:kern w:val="0"/>
          <w:sz w:val="22"/>
          <w:szCs w:val="24"/>
          <w:lang w:val="el-GR" w:eastAsia="ar-SA" w:bidi="ar-SA"/>
        </w:rPr>
        <w:t>www.dimoskarditsas.gov.gr και στην ταχυδρομική δ/νση:  Μυρμιδόνων 2, στην ΚΑΡΔΙΤΣΑ. Τηλ επικοινωνίας 24413-54872.</w:t>
      </w:r>
    </w:p>
    <w:p>
      <w:pPr>
        <w:pStyle w:val="Normalwithoutspacing"/>
        <w:ind w:hanging="0"/>
        <w:rPr/>
      </w:pPr>
      <w:r>
        <w:rPr/>
      </w:r>
    </w:p>
    <w:p>
      <w:pPr>
        <w:pStyle w:val="2"/>
        <w:rPr>
          <w:lang w:val="el-GR"/>
        </w:rPr>
      </w:pPr>
      <w:bookmarkStart w:id="4" w:name="_Toc129004394"/>
      <w:r>
        <w:rPr>
          <w:lang w:val="el-GR"/>
        </w:rPr>
        <w:t>1.2</w:t>
        <w:tab/>
        <w:t>Στοιχεία Διαδικασίας-Χρηματοδότηση</w:t>
      </w:r>
      <w:bookmarkEnd w:id="4"/>
    </w:p>
    <w:p>
      <w:pPr>
        <w:pStyle w:val="Normal"/>
        <w:rPr>
          <w:lang w:val="el-GR"/>
        </w:rPr>
      </w:pPr>
      <w:r>
        <w:rPr>
          <w:b/>
          <w:lang w:val="el-GR"/>
        </w:rPr>
        <w:t xml:space="preserve">Είδος διαδικασίας </w:t>
      </w:r>
    </w:p>
    <w:p>
      <w:pPr>
        <w:pStyle w:val="Normalwithoutspacing"/>
        <w:rPr>
          <w:lang w:eastAsia="el-GR"/>
        </w:rPr>
      </w:pPr>
      <w:r>
        <w:rPr/>
        <w:t xml:space="preserve">Ο διαγωνισμός θα διεξαχθεί με την ανοικτή διαδικασία του άρθρου 27 του ν. 4412/16. </w:t>
      </w:r>
    </w:p>
    <w:p>
      <w:pPr>
        <w:pStyle w:val="Normalwithoutspacing"/>
        <w:rPr/>
      </w:pPr>
      <w:r>
        <w:rPr/>
      </w:r>
    </w:p>
    <w:p>
      <w:pPr>
        <w:pStyle w:val="Normalwithoutspacing"/>
        <w:rPr/>
      </w:pPr>
      <w:r>
        <w:rPr>
          <w:b/>
        </w:rPr>
        <w:t>Χρηματοδότηση της σύμβασης</w:t>
      </w:r>
      <w:r>
        <w:rPr>
          <w:rStyle w:val="Style19"/>
          <w:b/>
          <w:szCs w:val="22"/>
        </w:rPr>
        <w:footnoteReference w:id="12"/>
      </w:r>
    </w:p>
    <w:p>
      <w:pPr>
        <w:pStyle w:val="Normalwithoutspacing"/>
        <w:rPr>
          <w:i/>
          <w:i/>
          <w:iCs/>
          <w:color w:val="5B9BD5"/>
          <w:kern w:val="2"/>
          <w:highlight w:val="yellow"/>
        </w:rPr>
      </w:pPr>
      <w:r>
        <w:rPr>
          <w:i/>
          <w:iCs/>
          <w:color w:val="5B9BD5"/>
          <w:kern w:val="2"/>
          <w:highlight w:val="yellow"/>
        </w:rPr>
      </w:r>
    </w:p>
    <w:p>
      <w:pPr>
        <w:pStyle w:val="Normalwithoutspacing"/>
        <w:rPr/>
      </w:pPr>
      <w:r>
        <w:rPr>
          <w:i/>
          <w:iCs/>
          <w:color w:val="5B9BD5"/>
          <w:kern w:val="2"/>
        </w:rPr>
        <w:t xml:space="preserve"> </w:t>
      </w:r>
      <w:r>
        <w:rPr/>
        <w:t xml:space="preserve">Φορέας χρηματοδότησης της παρούσας σύμβασης είναι η </w:t>
      </w:r>
      <w:r>
        <w:rPr>
          <w:b/>
          <w:bCs/>
        </w:rPr>
        <w:t>Περιφέρεια Θεσσαλίας</w:t>
      </w:r>
      <w:r>
        <w:rPr/>
        <w:t xml:space="preserve"> με τον Άξονα Προτεραιότητας</w:t>
      </w:r>
      <w:r>
        <w:rPr>
          <w:rFonts w:eastAsia="Times New Roman" w:cs="Calibri"/>
          <w:color w:val="auto"/>
          <w:kern w:val="0"/>
          <w:sz w:val="22"/>
          <w:szCs w:val="24"/>
          <w:lang w:val="el-GR" w:eastAsia="ar-SA" w:bidi="ar-SA"/>
        </w:rPr>
        <w:t xml:space="preserve"> «Υποδομές στήριξης και ανάπτυξης αθρώπινου δυναμικού.» του Ε.Π. «Περιφερειακό επιχειρησιακό πρόγραμμα Θεσσαλίας 2014 – 2020». </w:t>
      </w:r>
      <w:r>
        <w:rPr/>
        <w:t>Η δαπάνη για την εν λόγω σύμβαση βαρύνει την με Κ.Α.:</w:t>
      </w:r>
      <w:r>
        <w:rPr>
          <w:lang w:val="en-US"/>
        </w:rPr>
        <w:t xml:space="preserve"> 64-7341.0031</w:t>
      </w:r>
      <w:r>
        <w:rPr>
          <w:shd w:fill="auto" w:val="clear"/>
          <w:lang w:val="en-US"/>
        </w:rPr>
        <w:t xml:space="preserve"> </w:t>
      </w:r>
      <w:r>
        <w:rPr/>
        <w:t>σχετική πίστωση του τακτικού προϋπολογισμού του οικονομικού έτους</w:t>
      </w:r>
      <w:r>
        <w:rPr>
          <w:lang w:val="en-US"/>
        </w:rPr>
        <w:t xml:space="preserve"> 2024  </w:t>
      </w:r>
      <w:r>
        <w:rPr/>
        <w:t xml:space="preserve">του </w:t>
      </w:r>
      <w:r>
        <w:rPr>
          <w:lang w:val="en-US"/>
        </w:rPr>
        <w:t>Δ</w:t>
      </w:r>
      <w:r>
        <w:rPr>
          <w:lang w:val="el-GR"/>
        </w:rPr>
        <w:t>ήμου Καρδίτσας</w:t>
      </w:r>
      <w:r>
        <w:rPr/>
        <w:t xml:space="preserve">  </w:t>
      </w:r>
      <w:r>
        <w:rPr>
          <w:rStyle w:val="Style19"/>
          <w:szCs w:val="22"/>
        </w:rPr>
        <w:footnoteReference w:id="13"/>
      </w:r>
      <w:r>
        <w:rPr/>
        <w:t xml:space="preserve"> </w:t>
      </w:r>
    </w:p>
    <w:p>
      <w:pPr>
        <w:pStyle w:val="Normalwithoutspacing"/>
        <w:rPr/>
      </w:pPr>
      <w:r>
        <w:rPr>
          <w:i/>
          <w:iCs/>
          <w:color w:val="5B9BD5"/>
          <w:kern w:val="2"/>
        </w:rPr>
        <w:t xml:space="preserve"> </w:t>
      </w:r>
    </w:p>
    <w:p>
      <w:pPr>
        <w:pStyle w:val="Normalwithoutspacing"/>
        <w:rPr/>
      </w:pPr>
      <w:r>
        <w:rPr/>
        <w:t xml:space="preserve">Για την παρούσα διαδικασία έχει εκδοθεί η απόφαση με αρ. Πρωτ. </w:t>
      </w:r>
      <w:r>
        <w:rPr>
          <w:lang w:val="el-GR"/>
        </w:rPr>
        <w:t>Α/1386</w:t>
      </w:r>
      <w:r>
        <w:rPr/>
        <w:t>/19-09-2024 (ΑΔΑΜ 24</w:t>
      </w:r>
      <w:r>
        <w:rPr>
          <w:lang w:val="en-US"/>
        </w:rPr>
        <w:t>REQ015455202</w:t>
      </w:r>
      <w:r>
        <w:rPr/>
        <w:t>, ΑΔΑ 9Ρ5ΕΩΕΗ-6Δ1 ) για την ανάληψη υποχρέωσης/έγκριση δέσμευσης πίστωσης για το οικονομικό έτος 202</w:t>
      </w:r>
      <w:r>
        <w:rPr>
          <w:lang w:val="en-US"/>
        </w:rPr>
        <w:t>4</w:t>
      </w:r>
      <w:r>
        <w:rPr/>
        <w:t xml:space="preserve">. </w:t>
      </w:r>
      <w:r>
        <w:rPr>
          <w:rStyle w:val="Style19"/>
        </w:rPr>
        <w:footnoteReference w:id="14"/>
      </w:r>
      <w:r>
        <w:rPr/>
        <w:t xml:space="preserve">. </w:t>
      </w:r>
    </w:p>
    <w:p>
      <w:pPr>
        <w:pStyle w:val="Normalwithoutspacing"/>
        <w:rPr/>
      </w:pPr>
      <w:r>
        <w:rPr/>
        <w:t>Η σύμβαση περιλαμβάνεται στο υποέργο Νο 2 της Πράξης : «</w:t>
      </w:r>
      <w:r>
        <w:rPr>
          <w:rFonts w:eastAsia="Calibri" w:cs="Calibri"/>
          <w:b/>
          <w:bCs/>
          <w:color w:val="auto"/>
          <w:kern w:val="0"/>
          <w:sz w:val="22"/>
          <w:szCs w:val="24"/>
          <w:lang w:val="el-GR" w:eastAsia="ar-SA" w:bidi="ar-SA"/>
        </w:rPr>
        <w:t>Κατασκευή κτιρίου και προμήθεια εξοπλισμού για πολυχώρο κοινωνικής αλληλεγγύης (κοινωνικό παντοπωλείο &amp; δομή υποστηριζόμενων διαμερισμάτων)</w:t>
      </w:r>
      <w:r>
        <w:rPr/>
        <w:t>» η οποία έχει ενταχθεί στο Επιχειρησιακό Πρόγραμμα «</w:t>
      </w:r>
      <w:r>
        <w:rPr>
          <w:rFonts w:eastAsia="Times New Roman" w:cs="Calibri"/>
          <w:color w:val="auto"/>
          <w:kern w:val="0"/>
          <w:sz w:val="22"/>
          <w:szCs w:val="24"/>
          <w:lang w:val="el-GR" w:eastAsia="ar-SA" w:bidi="ar-SA"/>
        </w:rPr>
        <w:t>Περιφερειακό επιχειρησιακό πρόγραμμα Θεσσαλίας 2014 – 2020</w:t>
      </w:r>
      <w:r>
        <w:rPr/>
        <w:t>» με βάση την Απόφαση Ένταξης με αρ. πρωτ. 1</w:t>
      </w:r>
      <w:r>
        <w:rPr>
          <w:lang w:val="en-US"/>
        </w:rPr>
        <w:t>791</w:t>
      </w:r>
      <w:r>
        <w:rPr/>
        <w:t xml:space="preserve">/ </w:t>
      </w:r>
      <w:r>
        <w:rPr>
          <w:lang w:val="en-US"/>
        </w:rPr>
        <w:t>09</w:t>
      </w:r>
      <w:r>
        <w:rPr/>
        <w:t>-06-20</w:t>
      </w:r>
      <w:r>
        <w:rPr>
          <w:lang w:val="en-US"/>
        </w:rPr>
        <w:t>20</w:t>
      </w:r>
      <w:r>
        <w:rPr/>
        <w:t xml:space="preserve"> του Περιφερειάρχη Θεσσαλίας και έχει λάβει κωδικό </w:t>
      </w:r>
      <w:r>
        <w:rPr>
          <w:lang w:val="en-US"/>
        </w:rPr>
        <w:t>MI</w:t>
      </w:r>
      <w:r>
        <w:rPr>
          <w:rFonts w:eastAsia="Calibri" w:cs="Calibri"/>
          <w:b/>
          <w:bCs/>
          <w:color w:val="auto"/>
          <w:kern w:val="0"/>
          <w:sz w:val="22"/>
          <w:szCs w:val="24"/>
          <w:lang w:val="el-GR" w:eastAsia="ar-SA" w:bidi="ar-SA"/>
        </w:rPr>
        <w:t xml:space="preserve">S 5060308 </w:t>
      </w:r>
      <w:r>
        <w:rPr>
          <w:rStyle w:val="Style19"/>
          <w:szCs w:val="22"/>
        </w:rPr>
        <w:footnoteReference w:id="15"/>
      </w:r>
      <w:r>
        <w:rPr/>
        <w:t>. Η παρούσα σύμβαση χρηματοδοτείται από την Ευρωπαϊκή Ένωση (ΕΤΠΑ ) και από εθνικούς πόρους μέσω του ΠΔΕ</w:t>
      </w:r>
      <w:r>
        <w:rPr>
          <w:rStyle w:val="Style19"/>
        </w:rPr>
        <w:footnoteReference w:id="16"/>
      </w:r>
      <w:r>
        <w:rPr/>
        <w:t>.</w:t>
      </w:r>
    </w:p>
    <w:p>
      <w:pPr>
        <w:pStyle w:val="Normalwithoutspacing"/>
        <w:rPr/>
      </w:pPr>
      <w:r>
        <w:rPr/>
      </w:r>
    </w:p>
    <w:p>
      <w:pPr>
        <w:pStyle w:val="2"/>
        <w:rPr>
          <w:lang w:val="el-GR"/>
        </w:rPr>
      </w:pPr>
      <w:bookmarkStart w:id="5" w:name="_Toc129004395"/>
      <w:r>
        <w:rPr>
          <w:lang w:val="el-GR"/>
        </w:rPr>
        <w:t>1.3</w:t>
        <w:tab/>
        <w:t>Συνοπτική Περιγραφή φυσικού και οικονομικού αντικειμένου της σύμβασης</w:t>
      </w:r>
      <w:bookmarkEnd w:id="5"/>
      <w:r>
        <w:rPr>
          <w:lang w:val="el-GR"/>
        </w:rPr>
        <w:t xml:space="preserve"> </w:t>
      </w:r>
    </w:p>
    <w:p>
      <w:pPr>
        <w:pStyle w:val="Normalwithoutspacing"/>
        <w:rPr/>
      </w:pPr>
      <w:r>
        <w:rPr/>
        <w:t xml:space="preserve">Αντικείμενο της σύμβασης  είναι  η προμήθεια εξοπλισμού για την λειτουργία του </w:t>
      </w:r>
      <w:r>
        <w:rPr>
          <w:b/>
          <w:bCs/>
        </w:rPr>
        <w:t>πολυχώρου κοινωνικής αλληλεγγύης (κοινωνικό παντοπωλείο &amp; δομή υποστηριζόμενων διαμερισμάτων)</w:t>
      </w:r>
      <w:r>
        <w:rPr/>
        <w:t xml:space="preserve"> , όπως Ηλεκτρικές οικιακές συσκευές, Έπιπλα,Φωτιστικά σώματα,Κλινοσκεπάσματα, Πετσέτες μπάνιου και κουζίνας, Εξοπλισμός κουζίνας, είδη οικιακής χρήσης και αναλώσιμα τροφοδοσίας, Σκούπες και βούρτσες και άλλα είδη για την οικιακή καθαριότητα.  </w:t>
      </w:r>
    </w:p>
    <w:p>
      <w:pPr>
        <w:pStyle w:val="Style25"/>
        <w:rPr>
          <w:lang w:val="el-GR"/>
        </w:rPr>
      </w:pPr>
      <w:r>
        <w:rPr>
          <w:lang w:val="el-GR"/>
        </w:rPr>
      </w:r>
    </w:p>
    <w:p>
      <w:pPr>
        <w:pStyle w:val="Style25"/>
        <w:spacing w:before="0" w:after="120"/>
        <w:rPr>
          <w:lang w:val="el-GR"/>
        </w:rPr>
      </w:pPr>
      <w:r>
        <w:rPr>
          <w:lang w:val="el-GR"/>
        </w:rPr>
        <w:t>Τα προς προμήθεια είδη κατατάσσονται στους ακόλουθους κωδικούς του Κοινού Λεξιλογίου δημοσίων συμβάσεων (</w:t>
      </w:r>
      <w:r>
        <w:rPr/>
        <w:t>CPV</w:t>
      </w:r>
      <w:r>
        <w:rPr>
          <w:lang w:val="el-GR"/>
        </w:rPr>
        <w:t xml:space="preserve">) : </w:t>
      </w:r>
      <w:r>
        <w:rPr>
          <w:rStyle w:val="Style19"/>
          <w:lang w:val="el-GR"/>
        </w:rPr>
        <w:footnoteReference w:id="17"/>
      </w:r>
    </w:p>
    <w:tbl>
      <w:tblPr>
        <w:tblW w:w="8220" w:type="dxa"/>
        <w:jc w:val="center"/>
        <w:tblInd w:w="0" w:type="dxa"/>
        <w:tblLayout w:type="fixed"/>
        <w:tblCellMar>
          <w:top w:w="0" w:type="dxa"/>
          <w:left w:w="108" w:type="dxa"/>
          <w:bottom w:w="0" w:type="dxa"/>
          <w:right w:w="108" w:type="dxa"/>
        </w:tblCellMar>
      </w:tblPr>
      <w:tblGrid>
        <w:gridCol w:w="6100"/>
        <w:gridCol w:w="2119"/>
      </w:tblGrid>
      <w:tr>
        <w:trPr/>
        <w:tc>
          <w:tcPr>
            <w:tcW w:w="6100" w:type="dxa"/>
            <w:tcBorders>
              <w:top w:val="single" w:sz="4" w:space="0" w:color="000000"/>
              <w:left w:val="single" w:sz="4" w:space="0" w:color="000000"/>
              <w:bottom w:val="single" w:sz="4" w:space="0" w:color="000000"/>
            </w:tcBorders>
            <w:shd w:fill="E5E5E5" w:val="clear"/>
          </w:tcPr>
          <w:p>
            <w:pPr>
              <w:pStyle w:val="Normal"/>
              <w:widowControl w:val="false"/>
              <w:spacing w:before="0" w:after="120"/>
              <w:ind w:left="66" w:hanging="0"/>
              <w:rPr>
                <w:rFonts w:ascii="Calibri" w:hAnsi="Calibri" w:eastAsia="Calibri" w:cs="Calibri"/>
                <w:b/>
                <w:b/>
                <w:szCs w:val="22"/>
              </w:rPr>
            </w:pPr>
            <w:r>
              <w:rPr>
                <w:rFonts w:eastAsia="Calibri" w:cs="Calibri"/>
                <w:b/>
                <w:szCs w:val="22"/>
              </w:rPr>
              <w:t>Είδος</w:t>
            </w:r>
          </w:p>
        </w:tc>
        <w:tc>
          <w:tcPr>
            <w:tcW w:w="2119" w:type="dxa"/>
            <w:tcBorders>
              <w:top w:val="single" w:sz="4" w:space="0" w:color="000000"/>
              <w:left w:val="single" w:sz="4" w:space="0" w:color="000000"/>
              <w:bottom w:val="single" w:sz="4" w:space="0" w:color="000000"/>
              <w:right w:val="single" w:sz="4" w:space="0" w:color="000000"/>
            </w:tcBorders>
            <w:shd w:fill="E5E5E5" w:val="clear"/>
          </w:tcPr>
          <w:p>
            <w:pPr>
              <w:pStyle w:val="Normal"/>
              <w:widowControl w:val="false"/>
              <w:spacing w:before="0" w:after="120"/>
              <w:rPr>
                <w:rFonts w:ascii="Calibri" w:hAnsi="Calibri" w:eastAsia="Calibri" w:cs="Calibri"/>
                <w:b/>
                <w:b/>
                <w:szCs w:val="22"/>
              </w:rPr>
            </w:pPr>
            <w:r>
              <w:rPr>
                <w:rFonts w:eastAsia="Calibri" w:cs="Calibri"/>
                <w:b/>
                <w:szCs w:val="22"/>
              </w:rPr>
              <w:t>Κωδικός CPV</w:t>
            </w:r>
          </w:p>
        </w:tc>
      </w:tr>
      <w:tr>
        <w:trPr/>
        <w:tc>
          <w:tcPr>
            <w:tcW w:w="6100" w:type="dxa"/>
            <w:tcBorders>
              <w:top w:val="single" w:sz="4" w:space="0" w:color="000000"/>
              <w:left w:val="single" w:sz="4" w:space="0" w:color="000000"/>
              <w:bottom w:val="single" w:sz="4" w:space="0" w:color="000000"/>
            </w:tcBorders>
          </w:tcPr>
          <w:p>
            <w:pPr>
              <w:pStyle w:val="Normal"/>
              <w:widowControl w:val="false"/>
              <w:spacing w:before="0" w:after="120"/>
              <w:rPr/>
            </w:pPr>
            <w:r>
              <w:rPr>
                <w:rFonts w:eastAsia="Calibri" w:cs="Calibri"/>
                <w:b/>
                <w:szCs w:val="22"/>
              </w:rPr>
              <w:t>Ηλεκτρικές οικιακές συσκευές</w:t>
            </w:r>
            <w:r>
              <w:rPr>
                <w:rFonts w:eastAsia="Calibri" w:cs="Calibri"/>
                <w:szCs w:val="22"/>
              </w:rPr>
              <w:t xml:space="preserve"> (ηλεκτρικό ψυγείο, ηλεκτρική κουζίνα, πλυντήριο ρούχων,</w:t>
            </w:r>
            <w:r>
              <w:rPr>
                <w:rFonts w:eastAsia="Calibri" w:cs="Calibri"/>
                <w:color w:val="C9211E"/>
                <w:szCs w:val="22"/>
              </w:rPr>
              <w:t xml:space="preserve"> </w:t>
            </w:r>
            <w:r>
              <w:rPr>
                <w:rFonts w:eastAsia="Calibri" w:cs="Calibri"/>
                <w:szCs w:val="22"/>
              </w:rPr>
              <w:t>ψηφιακή τηλεόραση, επιτοίχια βάση τηλεόρασης, σαντουιτσιέρα - τοστιέρα, καφετιέρα φίλτρου, ατμοσίδερο, βραστήρας, πολυκόπτης, ηλεκτρική σκούπα)</w:t>
            </w:r>
          </w:p>
        </w:tc>
        <w:tc>
          <w:tcPr>
            <w:tcW w:w="211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before="0" w:after="120"/>
              <w:jc w:val="center"/>
              <w:rPr>
                <w:rFonts w:ascii="Calibri" w:hAnsi="Calibri" w:cs="Calibri"/>
              </w:rPr>
            </w:pPr>
            <w:r>
              <w:rPr>
                <w:rFonts w:cs="Calibri"/>
              </w:rPr>
              <w:t>39710000-2</w:t>
            </w:r>
          </w:p>
        </w:tc>
      </w:tr>
      <w:tr>
        <w:trPr/>
        <w:tc>
          <w:tcPr>
            <w:tcW w:w="6100" w:type="dxa"/>
            <w:tcBorders>
              <w:top w:val="single" w:sz="4" w:space="0" w:color="000000"/>
              <w:left w:val="single" w:sz="4" w:space="0" w:color="000000"/>
              <w:bottom w:val="single" w:sz="4" w:space="0" w:color="000000"/>
            </w:tcBorders>
          </w:tcPr>
          <w:p>
            <w:pPr>
              <w:pStyle w:val="Normal"/>
              <w:widowControl w:val="false"/>
              <w:spacing w:before="0" w:after="120"/>
              <w:rPr/>
            </w:pPr>
            <w:r>
              <w:rPr>
                <w:rFonts w:cs="Calibri"/>
                <w:b/>
              </w:rPr>
              <w:t>Έπιπλα</w:t>
            </w:r>
            <w:r>
              <w:rPr>
                <w:rFonts w:cs="Calibri"/>
              </w:rPr>
              <w:t xml:space="preserve"> (κ</w:t>
            </w:r>
            <w:r>
              <w:rPr>
                <w:rFonts w:eastAsia="Calibri" w:cs="Calibri"/>
                <w:szCs w:val="22"/>
              </w:rPr>
              <w:t>ρεβάτι διπλό, κρεβάτι μονό, στρώμα ύπνου διπλό, στρώμα ύπνου μονό, κομοδίνο, καναπές τριθέσιος – κρεβάτι, τ</w:t>
            </w:r>
            <w:r>
              <w:rPr>
                <w:rFonts w:cs="Calibri"/>
                <w:szCs w:val="22"/>
              </w:rPr>
              <w:t>ραπέζι φαγητού, κ</w:t>
            </w:r>
            <w:r>
              <w:rPr>
                <w:rFonts w:cs="Calibri"/>
              </w:rPr>
              <w:t>αρέκλα τραπεζαρίας, συρταριέρα</w:t>
            </w:r>
            <w:r>
              <w:rPr>
                <w:rFonts w:eastAsia="Calibri" w:cs="Calibri"/>
                <w:szCs w:val="22"/>
              </w:rPr>
              <w:t>)</w:t>
            </w:r>
          </w:p>
        </w:tc>
        <w:tc>
          <w:tcPr>
            <w:tcW w:w="211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before="0" w:after="120"/>
              <w:jc w:val="center"/>
              <w:rPr>
                <w:rFonts w:ascii="Calibri" w:hAnsi="Calibri" w:cs="Calibri"/>
                <w:lang w:eastAsia="el-GR"/>
              </w:rPr>
            </w:pPr>
            <w:r>
              <w:rPr>
                <w:rFonts w:cs="Calibri"/>
                <w:lang w:eastAsia="el-GR"/>
              </w:rPr>
              <w:t>39143000-6</w:t>
            </w:r>
          </w:p>
        </w:tc>
      </w:tr>
      <w:tr>
        <w:trPr/>
        <w:tc>
          <w:tcPr>
            <w:tcW w:w="6100" w:type="dxa"/>
            <w:tcBorders>
              <w:top w:val="single" w:sz="4" w:space="0" w:color="000000"/>
              <w:left w:val="single" w:sz="4" w:space="0" w:color="000000"/>
              <w:bottom w:val="single" w:sz="4" w:space="0" w:color="000000"/>
            </w:tcBorders>
          </w:tcPr>
          <w:p>
            <w:pPr>
              <w:pStyle w:val="Normal"/>
              <w:widowControl w:val="false"/>
              <w:snapToGrid w:val="false"/>
              <w:spacing w:before="0" w:after="120"/>
              <w:rPr>
                <w:rFonts w:ascii="Calibri" w:hAnsi="Calibri" w:eastAsia="Calibri" w:cs="Calibri"/>
                <w:szCs w:val="22"/>
              </w:rPr>
            </w:pPr>
            <w:r>
              <w:rPr>
                <w:rFonts w:eastAsia="Calibri" w:cs="Calibri"/>
                <w:szCs w:val="22"/>
              </w:rPr>
              <w:t>Μαξιλάρια ύπνου</w:t>
            </w:r>
          </w:p>
        </w:tc>
        <w:tc>
          <w:tcPr>
            <w:tcW w:w="211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before="0" w:after="120"/>
              <w:jc w:val="center"/>
              <w:rPr>
                <w:rFonts w:ascii="Calibri" w:hAnsi="Calibri" w:cs="Calibri"/>
                <w:lang w:eastAsia="el-GR"/>
              </w:rPr>
            </w:pPr>
            <w:r>
              <w:rPr>
                <w:rFonts w:cs="Calibri"/>
                <w:lang w:eastAsia="el-GR"/>
              </w:rPr>
              <w:t>39516120-9</w:t>
            </w:r>
          </w:p>
        </w:tc>
      </w:tr>
      <w:tr>
        <w:trPr/>
        <w:tc>
          <w:tcPr>
            <w:tcW w:w="6100" w:type="dxa"/>
            <w:tcBorders>
              <w:top w:val="single" w:sz="4" w:space="0" w:color="000000"/>
              <w:left w:val="single" w:sz="4" w:space="0" w:color="000000"/>
              <w:bottom w:val="single" w:sz="4" w:space="0" w:color="000000"/>
            </w:tcBorders>
          </w:tcPr>
          <w:p>
            <w:pPr>
              <w:pStyle w:val="Normal"/>
              <w:widowControl w:val="false"/>
              <w:spacing w:before="0" w:after="120"/>
              <w:rPr/>
            </w:pPr>
            <w:r>
              <w:rPr>
                <w:rFonts w:cs="Calibri"/>
                <w:b/>
              </w:rPr>
              <w:t>Φωτιστικά σώματα</w:t>
            </w:r>
            <w:r>
              <w:rPr>
                <w:rFonts w:cs="Calibri"/>
              </w:rPr>
              <w:t xml:space="preserve"> (κρεμαστά φωτιστικά οροφής μεγάλα, κρεμαστά φωτιστικά οροφής μικρά)</w:t>
            </w:r>
          </w:p>
        </w:tc>
        <w:tc>
          <w:tcPr>
            <w:tcW w:w="211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before="0" w:after="120"/>
              <w:jc w:val="center"/>
              <w:rPr>
                <w:rFonts w:ascii="Calibri" w:hAnsi="Calibri" w:cs="Calibri"/>
                <w:lang w:eastAsia="el-GR"/>
              </w:rPr>
            </w:pPr>
            <w:r>
              <w:rPr>
                <w:rFonts w:cs="Calibri"/>
                <w:lang w:eastAsia="el-GR"/>
              </w:rPr>
              <w:t>31524120-2</w:t>
            </w:r>
          </w:p>
        </w:tc>
      </w:tr>
      <w:tr>
        <w:trPr/>
        <w:tc>
          <w:tcPr>
            <w:tcW w:w="6100" w:type="dxa"/>
            <w:tcBorders>
              <w:top w:val="single" w:sz="4" w:space="0" w:color="000000"/>
              <w:left w:val="single" w:sz="4" w:space="0" w:color="000000"/>
              <w:bottom w:val="single" w:sz="4" w:space="0" w:color="000000"/>
            </w:tcBorders>
          </w:tcPr>
          <w:p>
            <w:pPr>
              <w:pStyle w:val="Normal"/>
              <w:widowControl w:val="false"/>
              <w:snapToGrid w:val="false"/>
              <w:spacing w:before="0" w:after="120"/>
              <w:rPr>
                <w:rFonts w:ascii="Calibri" w:hAnsi="Calibri" w:cs="Calibri"/>
              </w:rPr>
            </w:pPr>
            <w:r>
              <w:rPr>
                <w:rFonts w:cs="Calibri"/>
              </w:rPr>
              <w:t>Πορτατίφ κομοδίνου</w:t>
            </w:r>
          </w:p>
        </w:tc>
        <w:tc>
          <w:tcPr>
            <w:tcW w:w="211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before="0" w:after="120"/>
              <w:jc w:val="center"/>
              <w:rPr>
                <w:rFonts w:ascii="Calibri" w:hAnsi="Calibri" w:cs="Calibri"/>
                <w:lang w:eastAsia="el-GR"/>
              </w:rPr>
            </w:pPr>
            <w:r>
              <w:rPr>
                <w:rFonts w:cs="Calibri"/>
                <w:lang w:eastAsia="el-GR"/>
              </w:rPr>
              <w:t>31521100-5</w:t>
            </w:r>
          </w:p>
        </w:tc>
      </w:tr>
      <w:tr>
        <w:trPr/>
        <w:tc>
          <w:tcPr>
            <w:tcW w:w="6100" w:type="dxa"/>
            <w:tcBorders>
              <w:top w:val="single" w:sz="4" w:space="0" w:color="000000"/>
              <w:left w:val="single" w:sz="4" w:space="0" w:color="000000"/>
              <w:bottom w:val="single" w:sz="4" w:space="0" w:color="000000"/>
            </w:tcBorders>
          </w:tcPr>
          <w:p>
            <w:pPr>
              <w:pStyle w:val="Normal"/>
              <w:widowControl w:val="false"/>
              <w:snapToGrid w:val="false"/>
              <w:spacing w:before="0" w:after="120"/>
              <w:rPr/>
            </w:pPr>
            <w:r>
              <w:rPr>
                <w:rFonts w:eastAsia="Calibri" w:cs="Calibri"/>
                <w:b/>
                <w:szCs w:val="22"/>
              </w:rPr>
              <w:t>Κλινοσκεπάσματα</w:t>
            </w:r>
            <w:r>
              <w:rPr>
                <w:rFonts w:eastAsia="Calibri" w:cs="Calibri"/>
                <w:szCs w:val="22"/>
              </w:rPr>
              <w:t xml:space="preserve"> (σεντόνια υπέρδιπλα, σεντόνια διπλά, σεντόνια μονά, κουβέρτα διπλή, κουβέρτα διπλή πικέ, κουβέρτα μονή, κουβέρτα ημίδιπλη πικέ, πάπλωμα υπέρδιπλο, πάπλωμα διπλό, πάπλωμα μονό, παπλωματοθήκη υπέρδιπλη, παπλωματοθήκη διπλή, παπλωματοθήκη μονή)</w:t>
            </w:r>
          </w:p>
        </w:tc>
        <w:tc>
          <w:tcPr>
            <w:tcW w:w="211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before="0" w:after="120"/>
              <w:jc w:val="center"/>
              <w:rPr>
                <w:rFonts w:ascii="Calibri" w:hAnsi="Calibri" w:cs="Calibri"/>
                <w:lang w:eastAsia="el-GR"/>
              </w:rPr>
            </w:pPr>
            <w:r>
              <w:rPr>
                <w:rFonts w:cs="Calibri"/>
                <w:lang w:eastAsia="el-GR"/>
              </w:rPr>
              <w:t>39512000-4</w:t>
            </w:r>
          </w:p>
        </w:tc>
      </w:tr>
      <w:tr>
        <w:trPr/>
        <w:tc>
          <w:tcPr>
            <w:tcW w:w="6100" w:type="dxa"/>
            <w:tcBorders>
              <w:top w:val="single" w:sz="4" w:space="0" w:color="000000"/>
              <w:left w:val="single" w:sz="4" w:space="0" w:color="000000"/>
              <w:bottom w:val="single" w:sz="4" w:space="0" w:color="000000"/>
            </w:tcBorders>
          </w:tcPr>
          <w:p>
            <w:pPr>
              <w:pStyle w:val="Normal"/>
              <w:widowControl w:val="false"/>
              <w:snapToGrid w:val="false"/>
              <w:spacing w:before="0" w:after="120"/>
              <w:rPr/>
            </w:pPr>
            <w:r>
              <w:rPr>
                <w:rFonts w:cs="Calibri"/>
                <w:b/>
                <w:lang w:eastAsia="el-GR"/>
              </w:rPr>
              <w:t>Πετσέτες μπάνιου και κουζίνας</w:t>
            </w:r>
            <w:r>
              <w:rPr>
                <w:rFonts w:cs="Calibri"/>
                <w:lang w:eastAsia="el-GR"/>
              </w:rPr>
              <w:t xml:space="preserve"> (Σετ πετσέτες μπάνιου, Σετ πετσέτες κουζίνας</w:t>
            </w:r>
          </w:p>
        </w:tc>
        <w:tc>
          <w:tcPr>
            <w:tcW w:w="211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before="0" w:after="120"/>
              <w:jc w:val="center"/>
              <w:rPr>
                <w:rFonts w:ascii="Calibri" w:hAnsi="Calibri" w:cs="Calibri"/>
                <w:lang w:eastAsia="el-GR"/>
              </w:rPr>
            </w:pPr>
            <w:r>
              <w:rPr>
                <w:rFonts w:cs="Calibri"/>
                <w:lang w:eastAsia="el-GR"/>
              </w:rPr>
              <w:t>39514000-8</w:t>
            </w:r>
          </w:p>
        </w:tc>
      </w:tr>
      <w:tr>
        <w:trPr/>
        <w:tc>
          <w:tcPr>
            <w:tcW w:w="6100" w:type="dxa"/>
            <w:tcBorders>
              <w:top w:val="single" w:sz="4" w:space="0" w:color="000000"/>
              <w:left w:val="single" w:sz="4" w:space="0" w:color="000000"/>
              <w:bottom w:val="single" w:sz="4" w:space="0" w:color="000000"/>
            </w:tcBorders>
          </w:tcPr>
          <w:p>
            <w:pPr>
              <w:pStyle w:val="Normal"/>
              <w:widowControl w:val="false"/>
              <w:snapToGrid w:val="false"/>
              <w:spacing w:before="0" w:after="120"/>
              <w:rPr/>
            </w:pPr>
            <w:r>
              <w:rPr/>
              <w:t>Τραπεζομάντηλο φαγητού &amp; τραπεζομάντηλο φιγούρας</w:t>
            </w:r>
          </w:p>
        </w:tc>
        <w:tc>
          <w:tcPr>
            <w:tcW w:w="211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before="0" w:after="120"/>
              <w:jc w:val="center"/>
              <w:rPr>
                <w:rFonts w:ascii="Calibri" w:hAnsi="Calibri" w:cs="Calibri"/>
                <w:lang w:eastAsia="el-GR"/>
              </w:rPr>
            </w:pPr>
            <w:r>
              <w:rPr>
                <w:rFonts w:cs="Calibri"/>
                <w:lang w:eastAsia="el-GR"/>
              </w:rPr>
              <w:t>39513100-2</w:t>
            </w:r>
          </w:p>
        </w:tc>
      </w:tr>
      <w:tr>
        <w:trPr/>
        <w:tc>
          <w:tcPr>
            <w:tcW w:w="6100" w:type="dxa"/>
            <w:tcBorders>
              <w:top w:val="single" w:sz="4" w:space="0" w:color="000000"/>
              <w:left w:val="single" w:sz="4" w:space="0" w:color="000000"/>
              <w:bottom w:val="single" w:sz="4" w:space="0" w:color="000000"/>
            </w:tcBorders>
          </w:tcPr>
          <w:p>
            <w:pPr>
              <w:pStyle w:val="Normal"/>
              <w:widowControl w:val="false"/>
              <w:snapToGrid w:val="false"/>
              <w:spacing w:before="0" w:after="120"/>
              <w:rPr/>
            </w:pPr>
            <w:r>
              <w:rPr>
                <w:rFonts w:cs="Calibri"/>
                <w:b/>
                <w:lang w:eastAsia="el-GR"/>
              </w:rPr>
              <w:t xml:space="preserve">Εξοπλισμός κουζίνας, είδη οικιακής χρήσης και αναλώσιμα τροφοδοσίας </w:t>
            </w:r>
            <w:r>
              <w:rPr>
                <w:rFonts w:cs="Calibri"/>
                <w:lang w:eastAsia="el-GR"/>
              </w:rPr>
              <w:t>(Σετ πιάτα 20 τμχ, Σετ ποτήρια νερού 6 τμχ, Κούπες, Μαχαιροπίρουνα, Πιατοθήκη, Σετ δοχεία τροφίμων, Σετ αντικολλητικά μαγειρικά σκεύη, Μπρίκι για ηλεκτρική κουζίνα)</w:t>
            </w:r>
          </w:p>
        </w:tc>
        <w:tc>
          <w:tcPr>
            <w:tcW w:w="211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before="0" w:after="120"/>
              <w:jc w:val="center"/>
              <w:rPr>
                <w:rFonts w:ascii="Calibri" w:hAnsi="Calibri" w:cs="Calibri"/>
                <w:lang w:eastAsia="el-GR"/>
              </w:rPr>
            </w:pPr>
            <w:r>
              <w:rPr>
                <w:rFonts w:cs="Calibri"/>
                <w:lang w:eastAsia="el-GR"/>
              </w:rPr>
              <w:t>39220000-0</w:t>
            </w:r>
          </w:p>
        </w:tc>
      </w:tr>
      <w:tr>
        <w:trPr/>
        <w:tc>
          <w:tcPr>
            <w:tcW w:w="6100" w:type="dxa"/>
            <w:tcBorders>
              <w:top w:val="single" w:sz="4" w:space="0" w:color="000000"/>
              <w:left w:val="single" w:sz="4" w:space="0" w:color="000000"/>
              <w:bottom w:val="single" w:sz="4" w:space="0" w:color="000000"/>
            </w:tcBorders>
          </w:tcPr>
          <w:p>
            <w:pPr>
              <w:pStyle w:val="Normal"/>
              <w:widowControl w:val="false"/>
              <w:snapToGrid w:val="false"/>
              <w:spacing w:before="0" w:after="120"/>
              <w:rPr>
                <w:rFonts w:ascii="Calibri" w:hAnsi="Calibri" w:cs="Calibri"/>
                <w:lang w:eastAsia="el-GR"/>
              </w:rPr>
            </w:pPr>
            <w:r>
              <w:rPr>
                <w:rFonts w:cs="Calibri"/>
                <w:lang w:eastAsia="el-GR"/>
              </w:rPr>
              <w:t>Κρεμάστρες ρούχων πλαστικές</w:t>
            </w:r>
          </w:p>
        </w:tc>
        <w:tc>
          <w:tcPr>
            <w:tcW w:w="211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before="0" w:after="120"/>
              <w:jc w:val="center"/>
              <w:rPr>
                <w:rFonts w:ascii="Calibri" w:hAnsi="Calibri" w:cs="Calibri"/>
                <w:sz w:val="22"/>
                <w:szCs w:val="22"/>
                <w:lang w:eastAsia="el-GR"/>
              </w:rPr>
            </w:pPr>
            <w:r>
              <w:rPr>
                <w:rFonts w:cs="Calibri"/>
                <w:sz w:val="22"/>
                <w:szCs w:val="22"/>
                <w:lang w:eastAsia="el-GR"/>
              </w:rPr>
              <w:t>39136000-4</w:t>
            </w:r>
          </w:p>
        </w:tc>
      </w:tr>
      <w:tr>
        <w:trPr/>
        <w:tc>
          <w:tcPr>
            <w:tcW w:w="6100" w:type="dxa"/>
            <w:tcBorders>
              <w:left w:val="single" w:sz="4" w:space="0" w:color="000000"/>
              <w:bottom w:val="single" w:sz="4" w:space="0" w:color="000000"/>
            </w:tcBorders>
          </w:tcPr>
          <w:p>
            <w:pPr>
              <w:pStyle w:val="Normal"/>
              <w:widowControl w:val="false"/>
              <w:snapToGrid w:val="false"/>
              <w:spacing w:before="0" w:after="120"/>
              <w:rPr>
                <w:rFonts w:ascii="Calibri" w:hAnsi="Calibri" w:eastAsia="Calibri" w:cs="Calibri"/>
                <w:color w:val="FF0000"/>
                <w:sz w:val="22"/>
                <w:szCs w:val="22"/>
              </w:rPr>
            </w:pPr>
            <w:r>
              <w:rPr>
                <w:rFonts w:eastAsia="Calibri" w:cs="Calibri"/>
                <w:color w:val="FF0000"/>
                <w:sz w:val="22"/>
                <w:szCs w:val="22"/>
              </w:rPr>
            </w:r>
          </w:p>
        </w:tc>
        <w:tc>
          <w:tcPr>
            <w:tcW w:w="2119" w:type="dxa"/>
            <w:tcBorders>
              <w:left w:val="single" w:sz="4" w:space="0" w:color="000000"/>
              <w:bottom w:val="single" w:sz="4" w:space="0" w:color="000000"/>
              <w:right w:val="single" w:sz="4" w:space="0" w:color="000000"/>
            </w:tcBorders>
          </w:tcPr>
          <w:p>
            <w:pPr>
              <w:pStyle w:val="Normal"/>
              <w:widowControl w:val="false"/>
              <w:snapToGrid w:val="false"/>
              <w:spacing w:before="0" w:after="120"/>
              <w:jc w:val="center"/>
              <w:rPr>
                <w:rFonts w:ascii="Calibri" w:hAnsi="Calibri" w:eastAsia="Calibri" w:cs="Calibri"/>
                <w:color w:val="FF0000"/>
                <w:sz w:val="22"/>
                <w:szCs w:val="22"/>
              </w:rPr>
            </w:pPr>
            <w:r>
              <w:rPr>
                <w:rFonts w:eastAsia="Calibri" w:cs="Calibri"/>
                <w:color w:val="FF0000"/>
                <w:sz w:val="22"/>
                <w:szCs w:val="22"/>
              </w:rPr>
            </w:r>
          </w:p>
        </w:tc>
      </w:tr>
      <w:tr>
        <w:trPr/>
        <w:tc>
          <w:tcPr>
            <w:tcW w:w="6100" w:type="dxa"/>
            <w:tcBorders>
              <w:left w:val="single" w:sz="4" w:space="0" w:color="000000"/>
              <w:bottom w:val="single" w:sz="4" w:space="0" w:color="000000"/>
            </w:tcBorders>
          </w:tcPr>
          <w:p>
            <w:pPr>
              <w:pStyle w:val="Normal"/>
              <w:widowControl w:val="false"/>
              <w:snapToGrid w:val="false"/>
              <w:spacing w:before="0" w:after="120"/>
              <w:rPr/>
            </w:pPr>
            <w:r>
              <w:rPr>
                <w:rFonts w:cs="Calibri"/>
                <w:b/>
              </w:rPr>
              <w:t>Σκούπες και βούρτσες και άλλα είδη για την οικιακή καθαριότητα</w:t>
            </w:r>
            <w:r>
              <w:rPr>
                <w:rFonts w:cs="Calibri"/>
              </w:rPr>
              <w:t xml:space="preserve"> (σκούπα, φαράσι πλαστικό, σφουγγαρίστρα, κοντάρι σφουγγαρίστρας – σκούπας, κουβάς, σετ μπάνιου (καλάθι κ πιγκάλ), σετ νιπτήρα μπάνιου (4 τεμάχια))</w:t>
            </w:r>
          </w:p>
        </w:tc>
        <w:tc>
          <w:tcPr>
            <w:tcW w:w="2119" w:type="dxa"/>
            <w:tcBorders>
              <w:left w:val="single" w:sz="4" w:space="0" w:color="000000"/>
              <w:bottom w:val="single" w:sz="4" w:space="0" w:color="000000"/>
              <w:right w:val="single" w:sz="4" w:space="0" w:color="000000"/>
            </w:tcBorders>
          </w:tcPr>
          <w:p>
            <w:pPr>
              <w:pStyle w:val="Normal"/>
              <w:widowControl w:val="false"/>
              <w:snapToGrid w:val="false"/>
              <w:spacing w:before="0" w:after="120"/>
              <w:jc w:val="center"/>
              <w:rPr>
                <w:rFonts w:ascii="Calibri" w:hAnsi="Calibri" w:cs="Calibri"/>
                <w:lang w:eastAsia="el-GR"/>
              </w:rPr>
            </w:pPr>
            <w:r>
              <w:rPr>
                <w:rFonts w:cs="Calibri"/>
                <w:lang w:eastAsia="el-GR"/>
              </w:rPr>
              <w:t>39224300-1</w:t>
            </w:r>
          </w:p>
        </w:tc>
      </w:tr>
      <w:tr>
        <w:trPr/>
        <w:tc>
          <w:tcPr>
            <w:tcW w:w="6100" w:type="dxa"/>
            <w:tcBorders>
              <w:top w:val="single" w:sz="4" w:space="0" w:color="000000"/>
              <w:left w:val="single" w:sz="4" w:space="0" w:color="000000"/>
              <w:bottom w:val="single" w:sz="4" w:space="0" w:color="000000"/>
            </w:tcBorders>
          </w:tcPr>
          <w:p>
            <w:pPr>
              <w:pStyle w:val="Normal"/>
              <w:widowControl w:val="false"/>
              <w:snapToGrid w:val="false"/>
              <w:spacing w:before="0" w:after="120"/>
              <w:rPr>
                <w:rFonts w:ascii="Calibri" w:hAnsi="Calibri" w:eastAsia="Calibri" w:cs="Calibri"/>
                <w:szCs w:val="22"/>
              </w:rPr>
            </w:pPr>
            <w:r>
              <w:rPr>
                <w:rFonts w:eastAsia="Calibri" w:cs="Calibri"/>
                <w:szCs w:val="22"/>
              </w:rPr>
              <w:t>Σιδερώστρα</w:t>
            </w:r>
          </w:p>
        </w:tc>
        <w:tc>
          <w:tcPr>
            <w:tcW w:w="211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before="0" w:after="120"/>
              <w:jc w:val="center"/>
              <w:rPr>
                <w:rFonts w:ascii="Calibri" w:hAnsi="Calibri" w:cs="Calibri"/>
              </w:rPr>
            </w:pPr>
            <w:r>
              <w:rPr>
                <w:rFonts w:cs="Calibri"/>
              </w:rPr>
              <w:t>42717000-5</w:t>
            </w:r>
          </w:p>
        </w:tc>
      </w:tr>
      <w:tr>
        <w:trPr/>
        <w:tc>
          <w:tcPr>
            <w:tcW w:w="6100" w:type="dxa"/>
            <w:tcBorders>
              <w:top w:val="single" w:sz="4" w:space="0" w:color="000000"/>
              <w:left w:val="single" w:sz="4" w:space="0" w:color="000000"/>
              <w:bottom w:val="single" w:sz="4" w:space="0" w:color="000000"/>
            </w:tcBorders>
          </w:tcPr>
          <w:p>
            <w:pPr>
              <w:pStyle w:val="Normal"/>
              <w:widowControl w:val="false"/>
              <w:snapToGrid w:val="false"/>
              <w:spacing w:before="0" w:after="120"/>
              <w:rPr/>
            </w:pPr>
            <w:r>
              <w:rPr>
                <w:rFonts w:cs="Calibri"/>
                <w:szCs w:val="22"/>
              </w:rPr>
              <w:t xml:space="preserve">Απλώστρα </w:t>
            </w:r>
            <w:r>
              <w:rPr>
                <w:rFonts w:cs="Calibri"/>
              </w:rPr>
              <w:t>εσωτερικού χώρου µε φτερά στο πλάι, ανοξείδωτη</w:t>
            </w:r>
          </w:p>
        </w:tc>
        <w:tc>
          <w:tcPr>
            <w:tcW w:w="211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before="0" w:after="120"/>
              <w:jc w:val="center"/>
              <w:rPr>
                <w:rFonts w:ascii="Calibri" w:hAnsi="Calibri" w:cs="Calibri"/>
              </w:rPr>
            </w:pPr>
            <w:r>
              <w:rPr>
                <w:rFonts w:cs="Calibri"/>
              </w:rPr>
              <w:t>42716110-2</w:t>
            </w:r>
          </w:p>
        </w:tc>
      </w:tr>
      <w:tr>
        <w:trPr/>
        <w:tc>
          <w:tcPr>
            <w:tcW w:w="6100" w:type="dxa"/>
            <w:tcBorders>
              <w:top w:val="single" w:sz="4" w:space="0" w:color="000000"/>
              <w:left w:val="single" w:sz="4" w:space="0" w:color="000000"/>
              <w:bottom w:val="single" w:sz="4" w:space="0" w:color="000000"/>
            </w:tcBorders>
          </w:tcPr>
          <w:p>
            <w:pPr>
              <w:pStyle w:val="Normal"/>
              <w:widowControl w:val="false"/>
              <w:snapToGrid w:val="false"/>
              <w:spacing w:before="0" w:after="120"/>
              <w:rPr>
                <w:rFonts w:ascii="Calibri" w:hAnsi="Calibri" w:cs="Calibri"/>
              </w:rPr>
            </w:pPr>
            <w:r>
              <w:rPr>
                <w:rFonts w:cs="Calibri"/>
              </w:rPr>
              <w:t>Μανταλάκια πλαστικά, ανθεκτικά σε συσκευασία 24 τµχ</w:t>
            </w:r>
          </w:p>
        </w:tc>
        <w:tc>
          <w:tcPr>
            <w:tcW w:w="211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before="0" w:after="120"/>
              <w:jc w:val="center"/>
              <w:rPr>
                <w:rFonts w:ascii="Calibri" w:hAnsi="Calibri" w:cs="Calibri"/>
              </w:rPr>
            </w:pPr>
            <w:r>
              <w:rPr>
                <w:rFonts w:cs="Calibri"/>
              </w:rPr>
              <w:t>42716110-2</w:t>
            </w:r>
          </w:p>
        </w:tc>
      </w:tr>
      <w:tr>
        <w:trPr/>
        <w:tc>
          <w:tcPr>
            <w:tcW w:w="6100" w:type="dxa"/>
            <w:tcBorders>
              <w:top w:val="single" w:sz="4" w:space="0" w:color="000000"/>
              <w:left w:val="single" w:sz="4" w:space="0" w:color="000000"/>
              <w:bottom w:val="single" w:sz="4" w:space="0" w:color="000000"/>
            </w:tcBorders>
          </w:tcPr>
          <w:p>
            <w:pPr>
              <w:pStyle w:val="Normal"/>
              <w:widowControl w:val="false"/>
              <w:snapToGrid w:val="false"/>
              <w:spacing w:before="0" w:after="120"/>
              <w:rPr>
                <w:rFonts w:ascii="Calibri" w:hAnsi="Calibri" w:cs="Calibri"/>
              </w:rPr>
            </w:pPr>
            <w:r>
              <w:rPr>
                <w:rFonts w:cs="Calibri"/>
              </w:rPr>
              <w:t>Κουρτίνα μπάνιου, κουρτινόξυλο μπάνιου</w:t>
            </w:r>
          </w:p>
        </w:tc>
        <w:tc>
          <w:tcPr>
            <w:tcW w:w="211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before="0" w:after="120"/>
              <w:jc w:val="center"/>
              <w:rPr>
                <w:rFonts w:ascii="Calibri" w:hAnsi="Calibri" w:cs="Calibri"/>
                <w:highlight w:val="white"/>
              </w:rPr>
            </w:pPr>
            <w:r>
              <w:rPr>
                <w:rFonts w:cs="Calibri"/>
                <w:highlight w:val="white"/>
              </w:rPr>
              <w:t>39515100-6</w:t>
            </w:r>
          </w:p>
        </w:tc>
      </w:tr>
      <w:tr>
        <w:trPr/>
        <w:tc>
          <w:tcPr>
            <w:tcW w:w="6100" w:type="dxa"/>
            <w:tcBorders>
              <w:top w:val="single" w:sz="4" w:space="0" w:color="000000"/>
              <w:left w:val="single" w:sz="4" w:space="0" w:color="000000"/>
              <w:bottom w:val="single" w:sz="4" w:space="0" w:color="000000"/>
            </w:tcBorders>
          </w:tcPr>
          <w:p>
            <w:pPr>
              <w:pStyle w:val="Normal"/>
              <w:widowControl w:val="false"/>
              <w:snapToGrid w:val="false"/>
              <w:spacing w:before="0" w:after="120"/>
              <w:rPr>
                <w:rFonts w:ascii="Calibri" w:hAnsi="Calibri" w:cs="Calibri"/>
              </w:rPr>
            </w:pPr>
            <w:r>
              <w:rPr>
                <w:rFonts w:cs="Calibri"/>
              </w:rPr>
              <w:t>Φορητός Ηλεκτρονικός Υπολογιστής</w:t>
            </w:r>
          </w:p>
        </w:tc>
        <w:tc>
          <w:tcPr>
            <w:tcW w:w="211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before="0" w:after="120"/>
              <w:jc w:val="center"/>
              <w:rPr>
                <w:rFonts w:ascii="Calibri" w:hAnsi="Calibri" w:eastAsia="Calibri" w:cs="Calibri"/>
                <w:szCs w:val="22"/>
              </w:rPr>
            </w:pPr>
            <w:r>
              <w:rPr>
                <w:rFonts w:eastAsia="Calibri" w:cs="Calibri"/>
                <w:szCs w:val="22"/>
              </w:rPr>
              <w:t>30213100-6</w:t>
            </w:r>
          </w:p>
        </w:tc>
      </w:tr>
      <w:tr>
        <w:trPr/>
        <w:tc>
          <w:tcPr>
            <w:tcW w:w="6100" w:type="dxa"/>
            <w:tcBorders>
              <w:top w:val="single" w:sz="4" w:space="0" w:color="000000"/>
              <w:left w:val="single" w:sz="4" w:space="0" w:color="000000"/>
              <w:bottom w:val="single" w:sz="4" w:space="0" w:color="000000"/>
            </w:tcBorders>
          </w:tcPr>
          <w:p>
            <w:pPr>
              <w:pStyle w:val="Normal"/>
              <w:widowControl w:val="false"/>
              <w:tabs>
                <w:tab w:val="clear" w:pos="720"/>
                <w:tab w:val="left" w:pos="2409" w:leader="none"/>
              </w:tabs>
              <w:snapToGrid w:val="false"/>
              <w:spacing w:before="0" w:after="120"/>
              <w:rPr>
                <w:rFonts w:ascii="Calibri" w:hAnsi="Calibri" w:cs="Calibri"/>
                <w:szCs w:val="22"/>
              </w:rPr>
            </w:pPr>
            <w:r>
              <w:rPr>
                <w:rFonts w:cs="Calibri"/>
                <w:szCs w:val="22"/>
              </w:rPr>
              <w:t>Ποντίκι ασύρματο</w:t>
            </w:r>
          </w:p>
        </w:tc>
        <w:tc>
          <w:tcPr>
            <w:tcW w:w="211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before="0" w:after="120"/>
              <w:jc w:val="center"/>
              <w:rPr>
                <w:rFonts w:ascii="Calibri" w:hAnsi="Calibri" w:eastAsia="Calibri" w:cs="Calibri"/>
                <w:szCs w:val="22"/>
              </w:rPr>
            </w:pPr>
            <w:r>
              <w:rPr>
                <w:rFonts w:eastAsia="Calibri" w:cs="Calibri"/>
                <w:szCs w:val="22"/>
              </w:rPr>
              <w:t>30237410-6</w:t>
            </w:r>
          </w:p>
        </w:tc>
      </w:tr>
    </w:tbl>
    <w:p>
      <w:pPr>
        <w:pStyle w:val="Normal"/>
        <w:spacing w:before="0" w:after="120"/>
        <w:rPr>
          <w:lang w:val="el-GR"/>
        </w:rPr>
      </w:pPr>
      <w:r>
        <w:rPr>
          <w:lang w:val="el-GR"/>
        </w:rPr>
      </w:r>
    </w:p>
    <w:p>
      <w:pPr>
        <w:pStyle w:val="Normal"/>
        <w:rPr>
          <w:lang w:val="el-GR"/>
        </w:rPr>
      </w:pPr>
      <w:r>
        <w:rPr>
          <w:lang w:val="el-GR"/>
        </w:rPr>
      </w:r>
    </w:p>
    <w:p>
      <w:pPr>
        <w:pStyle w:val="Normal"/>
        <w:rPr>
          <w:lang w:val="el-GR"/>
        </w:rPr>
      </w:pPr>
      <w:r>
        <w:rPr>
          <w:lang w:val="el-GR"/>
        </w:rPr>
        <w:t>Η παρούσα σύμβαση  δεν υποδιαιρείται σε τμήματα</w:t>
      </w:r>
      <w:r>
        <w:rPr>
          <w:rStyle w:val="Style19"/>
          <w:lang w:val="el-GR"/>
        </w:rPr>
        <w:footnoteReference w:id="18"/>
      </w:r>
      <w:r>
        <w:rPr>
          <w:lang w:val="el-GR"/>
        </w:rPr>
        <w:t>:</w:t>
      </w:r>
    </w:p>
    <w:p>
      <w:pPr>
        <w:pStyle w:val="Normal"/>
        <w:rPr>
          <w:lang w:val="el-GR"/>
        </w:rPr>
      </w:pPr>
      <w:r>
        <w:rPr>
          <w:lang w:val="el-GR"/>
        </w:rPr>
        <w:t>Προσφορές υποβάλλονται για το σύνολο των παραπάνω υπό προμήθεια ειδών</w:t>
      </w:r>
    </w:p>
    <w:p>
      <w:pPr>
        <w:pStyle w:val="Normalwithoutspacing"/>
        <w:rPr/>
      </w:pPr>
      <w:r>
        <w:rPr/>
      </w:r>
    </w:p>
    <w:p>
      <w:pPr>
        <w:pStyle w:val="Normalwithoutspacing"/>
        <w:rPr/>
      </w:pPr>
      <w:r>
        <w:rPr/>
        <w:t xml:space="preserve">Η εκτιμώμενη αξία της σύμβασης ανέρχεται στο ποσό των </w:t>
      </w:r>
      <w:r>
        <w:rPr>
          <w:b/>
          <w:bCs/>
          <w:lang w:val="en-US"/>
        </w:rPr>
        <w:t>17.479,55</w:t>
      </w:r>
      <w:r>
        <w:rPr/>
        <w:t xml:space="preserve"> € μη συμπεριλαμβανομένου ΦΠΑ 24 % (εκτιμώμενη αξία συμπεριλαμβανομένου ΦΠΑ: </w:t>
      </w:r>
      <w:r>
        <w:rPr>
          <w:rFonts w:eastAsia="Times New Roman" w:cs="Calibri"/>
          <w:b/>
          <w:bCs/>
          <w:color w:val="000000"/>
          <w:kern w:val="0"/>
          <w:sz w:val="22"/>
          <w:szCs w:val="24"/>
          <w:shd w:fill="auto" w:val="clear"/>
          <w:lang w:val="en-US" w:eastAsia="ar-SA" w:bidi="ar-SA"/>
        </w:rPr>
        <w:t>21.674,64</w:t>
      </w:r>
      <w:r>
        <w:rPr>
          <w:rFonts w:eastAsia="Times New Roman" w:cs="Calibri"/>
          <w:b/>
          <w:bCs/>
          <w:color w:val="000000"/>
          <w:kern w:val="0"/>
          <w:sz w:val="22"/>
          <w:szCs w:val="24"/>
          <w:shd w:fill="auto" w:val="clear"/>
          <w:lang w:val="el-GR" w:eastAsia="ar-SA" w:bidi="ar-SA"/>
        </w:rPr>
        <w:t xml:space="preserve"> </w:t>
      </w:r>
      <w:r>
        <w:rPr/>
        <w:t xml:space="preserve">€ , ΦΠΑ : </w:t>
      </w:r>
      <w:r>
        <w:rPr>
          <w:lang w:val="en-US"/>
        </w:rPr>
        <w:t>4.195,09</w:t>
      </w:r>
      <w:r>
        <w:rPr/>
        <w:t xml:space="preserve"> € ) . </w:t>
      </w:r>
    </w:p>
    <w:p>
      <w:pPr>
        <w:pStyle w:val="Normalwithoutspacing"/>
        <w:rPr>
          <w:i/>
          <w:i/>
          <w:iCs/>
          <w:color w:val="5B9BD5"/>
        </w:rPr>
      </w:pPr>
      <w:r>
        <w:rPr>
          <w:i/>
          <w:iCs/>
          <w:color w:val="5B9BD5"/>
        </w:rPr>
      </w:r>
    </w:p>
    <w:p>
      <w:pPr>
        <w:pStyle w:val="Normal"/>
        <w:rPr>
          <w:i/>
          <w:i/>
          <w:iCs/>
          <w:color w:val="5B9BD5"/>
          <w:lang w:val="el-GR"/>
        </w:rPr>
      </w:pPr>
      <w:r>
        <w:rPr>
          <w:lang w:val="el-GR"/>
        </w:rPr>
        <w:t xml:space="preserve">Η διάρκεια της σύμβασης ορίζεται σε εξήντα (60) ημέρες.. </w:t>
      </w:r>
    </w:p>
    <w:p>
      <w:pPr>
        <w:pStyle w:val="Normal"/>
        <w:rPr>
          <w:lang w:val="el-GR"/>
        </w:rPr>
      </w:pPr>
      <w:r>
        <w:rPr>
          <w:lang w:val="el-GR"/>
        </w:rPr>
        <w:t>Αναλυτική περιγραφή του φυσικού και οικονομικού αντικειμένου της σύμβασης δίδεται στο ΠΑΡΑΡΤΗΜΑ</w:t>
      </w:r>
      <w:r>
        <w:rPr>
          <w:lang w:val="en-US"/>
        </w:rPr>
        <w:t xml:space="preserve"> Ι </w:t>
      </w:r>
      <w:r>
        <w:rPr>
          <w:lang w:val="el-GR"/>
        </w:rPr>
        <w:t xml:space="preserve">  της παρούσας διακήρυξης. </w:t>
      </w:r>
    </w:p>
    <w:p>
      <w:pPr>
        <w:pStyle w:val="Normalwithoutspacing"/>
        <w:rPr>
          <w:i/>
          <w:i/>
          <w:color w:val="5B9BD5"/>
        </w:rPr>
      </w:pPr>
      <w:r>
        <w:rPr/>
        <w:t xml:space="preserve">Η σύμβαση θα ανατεθεί με το κριτήριο της πλέον συμφέρουσας από οικονομική άποψη προσφοράς, βάσει </w:t>
      </w:r>
      <w:r>
        <w:rPr>
          <w:rStyle w:val="Style19"/>
          <w:szCs w:val="22"/>
        </w:rPr>
        <w:footnoteReference w:id="19"/>
      </w:r>
      <w:r>
        <w:rPr/>
        <w:t xml:space="preserve"> </w:t>
      </w:r>
      <w:r>
        <w:rPr>
          <w:lang w:val="el-GR"/>
        </w:rPr>
        <w:t>Τιμής</w:t>
      </w:r>
    </w:p>
    <w:p>
      <w:pPr>
        <w:pStyle w:val="2"/>
        <w:rPr>
          <w:lang w:val="el-GR"/>
        </w:rPr>
      </w:pPr>
      <w:r>
        <w:rPr>
          <w:lang w:val="el-GR"/>
        </w:rPr>
        <w:t>Θεσ</w:t>
      </w:r>
      <w:bookmarkStart w:id="6" w:name="_Toc129004396"/>
      <w:r>
        <w:rPr>
          <w:lang w:val="el-GR"/>
        </w:rPr>
        <w:t>μικό πλαίσιο</w:t>
      </w:r>
      <w:bookmarkEnd w:id="6"/>
      <w:r>
        <w:rPr>
          <w:lang w:val="el-GR"/>
        </w:rPr>
        <w:t xml:space="preserve"> </w:t>
      </w:r>
    </w:p>
    <w:p>
      <w:pPr>
        <w:pStyle w:val="Normal"/>
        <w:rPr>
          <w:lang w:val="el-GR"/>
        </w:rPr>
      </w:pPr>
      <w:r>
        <w:rPr>
          <w:lang w:val="el-GR"/>
        </w:rPr>
        <w:t>Η ανάθεση και εκτέλεση της σύμβασης διέπονται από την κείμενη νομοθεσία και τις κατ΄ εξουσιοδότηση αυτής εκδοθείσες κανονιστικές πράξεις, όπως ισχύουν, και ιδίως</w:t>
      </w:r>
      <w:r>
        <w:rPr>
          <w:rStyle w:val="Style19"/>
          <w:szCs w:val="22"/>
        </w:rPr>
        <w:footnoteReference w:id="20"/>
      </w:r>
      <w:r>
        <w:rPr>
          <w:lang w:val="el-GR"/>
        </w:rPr>
        <w:t>:</w:t>
      </w:r>
    </w:p>
    <w:p>
      <w:pPr>
        <w:pStyle w:val="Normal"/>
        <w:numPr>
          <w:ilvl w:val="0"/>
          <w:numId w:val="8"/>
        </w:numPr>
        <w:ind w:left="284" w:hanging="284"/>
        <w:rPr>
          <w:lang w:val="el-GR"/>
        </w:rPr>
      </w:pPr>
      <w:r>
        <w:rPr>
          <w:lang w:val="el-GR"/>
        </w:rPr>
        <w:t>του ν. 4412/2016 (Α’ 147) “Δημόσιες Συμβάσεις Έργων, Προμηθειών και Υπηρεσιών (προσαρμογή στις Οδηγίες 2014/24/ ΕΕ και 2014/25/ΕΕ)»,</w:t>
      </w:r>
    </w:p>
    <w:p>
      <w:pPr>
        <w:pStyle w:val="Normal"/>
        <w:numPr>
          <w:ilvl w:val="0"/>
          <w:numId w:val="8"/>
        </w:numPr>
        <w:ind w:left="284" w:hanging="284"/>
        <w:rPr>
          <w:lang w:val="el-GR"/>
        </w:rPr>
      </w:pPr>
      <w:r>
        <w:rPr>
          <w:lang w:val="el-GR"/>
        </w:rPr>
        <w:t>του ν. 4700/2020 (Α’ 127) «Ενιαίο κείμενο Δικονομίας για το Ελεγκτικό Συνέδριο, ολοκληρωμένο νομοθετικό πλαίσιο για τον προσυμβατικό έλεγχο, τροποποιήσεις στον Κώδικα Νόμων για το Ελεγκτικό Συνέδριο, διατάξεις για την αποτελεσματική απονομή της δικαιοσύνης και άλλες διατάξεις» και ιδίως των άρθρων 324-337,</w:t>
      </w:r>
    </w:p>
    <w:p>
      <w:pPr>
        <w:pStyle w:val="Normal"/>
        <w:numPr>
          <w:ilvl w:val="0"/>
          <w:numId w:val="8"/>
        </w:numPr>
        <w:ind w:left="284" w:hanging="284"/>
        <w:rPr>
          <w:lang w:val="el-GR"/>
        </w:rPr>
      </w:pPr>
      <w:r>
        <w:rPr>
          <w:lang w:val="el-GR"/>
        </w:rPr>
        <w:t xml:space="preserve">του ν. 4622/2019 (Α’ 133) «Επιτελικό Κράτος: οργάνωση, λειτουργία &amp; διαφάνεια της Κυβέρνησης, των κυβερνητικών οργάνων &amp; της κεντρικής δημόσιας διοίκησης» και ιδίως του άρθρου 37, </w:t>
      </w:r>
    </w:p>
    <w:p>
      <w:pPr>
        <w:pStyle w:val="Normal"/>
        <w:numPr>
          <w:ilvl w:val="0"/>
          <w:numId w:val="8"/>
        </w:numPr>
        <w:ind w:left="284" w:hanging="284"/>
        <w:rPr>
          <w:lang w:val="el-GR"/>
        </w:rPr>
      </w:pPr>
      <w:r>
        <w:rPr>
          <w:lang w:val="el-GR"/>
        </w:rPr>
        <w:t>του ν. 4601/2019 (Α’ 44) «</w:t>
      </w:r>
      <w:r>
        <w:rPr>
          <w:i/>
          <w:lang w:val="el-GR"/>
        </w:rPr>
        <w:t>Εταιρικοί µετασχηµατισµοί και εναρµόνιση του νοµοθετικού πλαισίου µε τις διατάξεις της Οδηγίας 2014/55/ΕΕ του Ευρωπαϊκού Κοινοβουλίου και του Συµβουλίου της 16ης Απριλίου 2014 για την έκδοση ηλεκτρονικών τιµολογίων στο πλαίσιο δηµόσιων συµβάσεων και λοιπές διατάξεις»,</w:t>
      </w:r>
    </w:p>
    <w:p>
      <w:pPr>
        <w:pStyle w:val="Normal"/>
        <w:numPr>
          <w:ilvl w:val="0"/>
          <w:numId w:val="8"/>
        </w:numPr>
        <w:ind w:left="284" w:hanging="284"/>
        <w:rPr>
          <w:lang w:val="el-GR"/>
        </w:rPr>
      </w:pPr>
      <w:r>
        <w:rPr>
          <w:lang w:val="el-GR"/>
        </w:rPr>
        <w:t>του άρθρου 11 του ν. 4013/2011 (Α’ 204) «Σύσταση ενιαίας Ανεξάρτητης Αρχής Δημοσίων Συμβάσεων και Κεντρικού Ηλεκτρονικού Μητρώου Δημοσίων Συμβάσεων…»,</w:t>
      </w:r>
    </w:p>
    <w:p>
      <w:pPr>
        <w:pStyle w:val="Normal"/>
        <w:numPr>
          <w:ilvl w:val="0"/>
          <w:numId w:val="8"/>
        </w:numPr>
        <w:ind w:left="284" w:hanging="284"/>
        <w:rPr>
          <w:i/>
          <w:i/>
          <w:iCs/>
          <w:color w:val="5B9BD5"/>
          <w:lang w:val="el-GR"/>
        </w:rPr>
      </w:pPr>
      <w:r>
        <w:rPr>
          <w:lang w:val="el-GR"/>
        </w:rPr>
        <w:t xml:space="preserve">του ν. 3548/2007 (Α’ 68) «Καταχώριση δημοσιεύσεων των φορέων του Δημοσίου στο νομαρχιακό και τοπικό Τύπο και άλλες διατάξεις», </w:t>
      </w:r>
    </w:p>
    <w:p>
      <w:pPr>
        <w:pStyle w:val="Normal"/>
        <w:numPr>
          <w:ilvl w:val="0"/>
          <w:numId w:val="8"/>
        </w:numPr>
        <w:ind w:left="284" w:hanging="284"/>
        <w:rPr>
          <w:i/>
          <w:i/>
          <w:iCs/>
          <w:color w:val="5B9BD5"/>
          <w:lang w:val="el-GR"/>
        </w:rPr>
      </w:pPr>
      <w:r>
        <w:rPr>
          <w:lang w:val="el-GR"/>
        </w:rPr>
        <w:t xml:space="preserve"> </w:t>
      </w:r>
      <w:r>
        <w:rPr>
          <w:lang w:val="el-GR"/>
        </w:rPr>
        <w:t xml:space="preserve">του άρθρου 4 του π.δ. 118/2007 (Α’ 150) </w:t>
      </w:r>
    </w:p>
    <w:p>
      <w:pPr>
        <w:pStyle w:val="Normal"/>
        <w:numPr>
          <w:ilvl w:val="0"/>
          <w:numId w:val="8"/>
        </w:numPr>
        <w:ind w:left="284" w:hanging="284"/>
        <w:rPr>
          <w:lang w:val="el-GR"/>
        </w:rPr>
      </w:pPr>
      <w:r>
        <w:rPr>
          <w:lang w:val="el-GR"/>
        </w:rPr>
        <w:t>του άρθρου 5 της απόφασης με αριθμ. 11389/1993 (Β΄ 185) του Υπουργού Εσωτερικών</w:t>
      </w:r>
      <w:r>
        <w:rPr>
          <w:i/>
          <w:iCs/>
          <w:color w:val="5B9BD5"/>
          <w:lang w:val="el-GR"/>
        </w:rPr>
        <w:t xml:space="preserve"> </w:t>
      </w:r>
    </w:p>
    <w:p>
      <w:pPr>
        <w:pStyle w:val="Normal"/>
        <w:numPr>
          <w:ilvl w:val="0"/>
          <w:numId w:val="8"/>
        </w:numPr>
        <w:ind w:left="284" w:hanging="284"/>
        <w:rPr>
          <w:szCs w:val="22"/>
          <w:lang w:val="el-GR"/>
        </w:rPr>
      </w:pPr>
      <w:r>
        <w:rPr>
          <w:lang w:val="el-GR"/>
        </w:rPr>
        <w:t xml:space="preserve">του ν. 3310/2005 (Α’ 30) </w:t>
      </w:r>
      <w:r>
        <w:rPr>
          <w:i/>
          <w:lang w:val="el-GR"/>
        </w:rPr>
        <w:t>«Μέτρα για τη διασφάλιση της διαφάνειας και την αποτροπή καταστρατηγήσεων κατά τη διαδικασία σύναψης δημοσίων συμβάσεων</w:t>
      </w:r>
      <w:r>
        <w:rPr>
          <w:lang w:val="el-GR"/>
        </w:rPr>
        <w:t xml:space="preserve">», του π.δ/τος 82/1996 (Α’ 66) </w:t>
      </w:r>
      <w:r>
        <w:rPr>
          <w:i/>
          <w:lang w:val="el-GR"/>
        </w:rPr>
        <w:t>«Ονομαστικοποίηση  μετοχών Ελληνικών Ανωνύμων Εταιρειών που μετέχουν στις διαδικασίες ανάληψης έργων ή προμηθειών του Δημοσίου ή των νομικών προσώπων του ευρύτερου δημόσιου τομέα»</w:t>
      </w:r>
      <w:r>
        <w:rPr>
          <w:rStyle w:val="Style19"/>
          <w:i/>
          <w:lang w:val="el-GR"/>
        </w:rPr>
        <w:footnoteReference w:id="21"/>
      </w:r>
      <w:r>
        <w:rPr>
          <w:lang w:val="el-GR"/>
        </w:rPr>
        <w:t xml:space="preserve">, της κοινής απόφασης των Υπουργών Ανάπτυξης και Επικρατείας με αρ. 20977/2007 (Β’ 1673) σχετικά με τα </w:t>
      </w:r>
      <w:r>
        <w:rPr>
          <w:i/>
          <w:lang w:val="el-GR"/>
        </w:rPr>
        <w:t>«Δικαιολογητικά για την τήρηση των μητρώων του ν.3310/2005, όπως τροποποιήθηκε με τον ν.3414/2005»</w:t>
      </w:r>
      <w:r>
        <w:rPr>
          <w:lang w:val="el-GR"/>
        </w:rPr>
        <w:t xml:space="preserve">, καθώς και των υπουργικών αποφάσεων, οι οποίες εκδίδονται, κατ’ εξουσιοδότηση  του άρθρου 65 του ν. 4172/2013 (Α’167) για τον καθορισμό: α) των μη «συνεργάσιμων φορολογικά» κρατών και β) των κρατών με </w:t>
      </w:r>
      <w:r>
        <w:rPr>
          <w:i/>
          <w:lang w:val="el-GR"/>
        </w:rPr>
        <w:t>«προνομιακό φορολογικό καθεστώς»</w:t>
      </w:r>
      <w:r>
        <w:rPr>
          <w:rStyle w:val="Style19"/>
          <w:lang w:val="el-GR"/>
        </w:rPr>
        <w:footnoteReference w:id="22"/>
      </w:r>
      <w:r>
        <w:rPr>
          <w:szCs w:val="22"/>
          <w:lang w:val="el-GR"/>
        </w:rPr>
        <w:t>,</w:t>
      </w:r>
    </w:p>
    <w:p>
      <w:pPr>
        <w:pStyle w:val="Normal"/>
        <w:numPr>
          <w:ilvl w:val="0"/>
          <w:numId w:val="8"/>
        </w:numPr>
        <w:ind w:left="284" w:hanging="284"/>
        <w:rPr>
          <w:i/>
          <w:i/>
          <w:lang w:val="el-GR"/>
        </w:rPr>
      </w:pPr>
      <w:r>
        <w:rPr>
          <w:lang w:val="el-GR"/>
        </w:rPr>
        <w:t xml:space="preserve">του π.δ. 39/2017 (Α’ 64) </w:t>
      </w:r>
      <w:r>
        <w:rPr>
          <w:i/>
          <w:lang w:val="el-GR"/>
        </w:rPr>
        <w:t>«Κανονισμός εξέτασης προδικαστικών προσφυγών ενώπιων της Α.Ε.Π.Π.»,</w:t>
      </w:r>
    </w:p>
    <w:p>
      <w:pPr>
        <w:pStyle w:val="Normal"/>
        <w:numPr>
          <w:ilvl w:val="0"/>
          <w:numId w:val="8"/>
        </w:numPr>
        <w:ind w:left="284" w:hanging="284"/>
        <w:rPr>
          <w:i/>
          <w:i/>
          <w:lang w:val="el-GR"/>
        </w:rPr>
      </w:pPr>
      <w:r>
        <w:rPr>
          <w:lang w:val="el-GR"/>
        </w:rPr>
        <w:t>της υπ’ αριθμ. της</w:t>
      </w:r>
      <w:r>
        <w:rPr>
          <w:i/>
          <w:lang w:val="el-GR"/>
        </w:rPr>
        <w:t xml:space="preserve"> </w:t>
      </w:r>
      <w:r>
        <w:rPr>
          <w:lang w:val="el-GR"/>
        </w:rPr>
        <w:t>υπ΄ αριθμ</w:t>
      </w:r>
      <w:r>
        <w:rPr>
          <w:i/>
          <w:lang w:val="el-GR"/>
        </w:rPr>
        <w:t xml:space="preserve">. Κ.Υ.Α. </w:t>
      </w:r>
      <w:r>
        <w:rPr>
          <w:lang w:val="el-GR"/>
        </w:rPr>
        <w:t xml:space="preserve">52445 ΕΞ 2023 </w:t>
      </w:r>
      <w:r>
        <w:rPr>
          <w:i/>
          <w:lang w:val="el-GR"/>
        </w:rPr>
        <w:t>(B’ 2385/12.04.2023) «Υποχρέωση υποβολής ηλεκτρονικών τιμολογίων από τους οικονομικούς φορείς»,</w:t>
      </w:r>
    </w:p>
    <w:p>
      <w:pPr>
        <w:pStyle w:val="Normal"/>
        <w:numPr>
          <w:ilvl w:val="0"/>
          <w:numId w:val="8"/>
        </w:numPr>
        <w:ind w:left="284" w:hanging="284"/>
        <w:rPr>
          <w:i/>
          <w:i/>
          <w:iCs/>
          <w:color w:val="5B9BD5"/>
          <w:lang w:val="el-GR"/>
        </w:rPr>
      </w:pPr>
      <w:r>
        <w:rPr>
          <w:lang w:val="el-GR"/>
        </w:rPr>
        <w:t>της υπ’ αριθμ. 102080/24-10-2022 (Β΄5623/02.11.2022) απόφασης του Υπουργού Ανάπτυξης και</w:t>
      </w:r>
      <w:r>
        <w:rPr>
          <w:iCs/>
          <w:color w:val="5B9BD5"/>
          <w:lang w:val="el-GR"/>
        </w:rPr>
        <w:t xml:space="preserve"> </w:t>
      </w:r>
      <w:r>
        <w:rPr>
          <w:i/>
          <w:lang w:val="el-GR"/>
        </w:rPr>
        <w:t>Επενδύσεων  «Ρύθμιση θεμάτων σχετικά με την εξέταση επανορθωτικών μέτρων από την Επιτροπή της παρ.  9 του άρθρου 73 του ν. 4412/2016»,</w:t>
      </w:r>
      <w:r>
        <w:rPr>
          <w:i/>
          <w:iCs/>
          <w:color w:val="5B9BD5"/>
          <w:lang w:val="el-GR"/>
        </w:rPr>
        <w:t xml:space="preserve"> </w:t>
      </w:r>
    </w:p>
    <w:p>
      <w:pPr>
        <w:pStyle w:val="Normal"/>
        <w:numPr>
          <w:ilvl w:val="0"/>
          <w:numId w:val="8"/>
        </w:numPr>
        <w:ind w:left="284" w:hanging="284"/>
        <w:rPr>
          <w:i/>
          <w:i/>
          <w:lang w:val="el-GR"/>
        </w:rPr>
      </w:pPr>
      <w:r>
        <w:rPr>
          <w:lang w:val="el-GR"/>
        </w:rPr>
        <w:t>της</w:t>
      </w:r>
      <w:r>
        <w:rPr>
          <w:i/>
          <w:lang w:val="el-GR"/>
        </w:rPr>
        <w:t xml:space="preserve"> </w:t>
      </w:r>
      <w:r>
        <w:rPr>
          <w:lang w:val="el-GR"/>
        </w:rPr>
        <w:t>υπ' αριθμ. 76928/13.07.2021 Απόφασης των Υπουργών Ανάπτυξης και Επενδύσεων και Επικρατείας,</w:t>
      </w:r>
      <w:r>
        <w:rPr>
          <w:i/>
          <w:lang w:val="el-GR"/>
        </w:rPr>
        <w:t xml:space="preserve">: “Ρύθμιση ειδικότερων θεμάτων λειτουργίας και διαχείρισης του Κεντρικού Ηλεκτρονικού Μητρώου Δημοσίων Συμβάσεων (ΚΗΜΔΗΣ)” (Β’ 3075), </w:t>
      </w:r>
    </w:p>
    <w:p>
      <w:pPr>
        <w:pStyle w:val="Normal"/>
        <w:numPr>
          <w:ilvl w:val="0"/>
          <w:numId w:val="8"/>
        </w:numPr>
        <w:ind w:left="284" w:hanging="284"/>
        <w:rPr>
          <w:i/>
          <w:i/>
          <w:lang w:val="el-GR"/>
        </w:rPr>
      </w:pPr>
      <w:r>
        <w:rPr>
          <w:lang w:val="el-GR"/>
        </w:rPr>
        <w:t>της υπ΄αριθμ. 64233/08.06.2021 (Β΄2453/ 09.06.2021) Κοινής Απόφασης των Υπουργών Ανάπτυξης και Επενδύσεων  και Ψηφιακής Διακυβέρνησης,</w:t>
      </w:r>
      <w:r>
        <w:rPr>
          <w:i/>
          <w:lang w:val="el-GR"/>
        </w:rPr>
        <w:t xml:space="preserve"> </w:t>
      </w:r>
      <w:r>
        <w:rPr>
          <w:lang w:val="el-GR"/>
        </w:rPr>
        <w:t>με θέμα</w:t>
      </w:r>
      <w:r>
        <w:rPr>
          <w:i/>
          <w:lang w:val="el-GR"/>
        </w:rPr>
        <w:t> «Ρυθμίσεις τεχνικών ζητημάτων που αφορούν την ανάθεση των Δημοσίων Συμβάσεων Προμηθειών και Υπηρεσιών με χρήση των επιμέρους εργαλείων και διαδικασιών του Εθνικού Συστήματος Ηλεκτρονικών Δημοσίων Συμβάσεων (ΕΣΗΔΗΣ)»,</w:t>
      </w:r>
    </w:p>
    <w:p>
      <w:pPr>
        <w:pStyle w:val="Normal"/>
        <w:numPr>
          <w:ilvl w:val="0"/>
          <w:numId w:val="8"/>
        </w:numPr>
        <w:ind w:left="284" w:hanging="284"/>
        <w:rPr>
          <w:i/>
          <w:i/>
          <w:lang w:val="el-GR"/>
        </w:rPr>
      </w:pPr>
      <w:r>
        <w:rPr>
          <w:lang w:val="el-GR"/>
        </w:rPr>
        <w:t xml:space="preserve"> </w:t>
      </w:r>
      <w:r>
        <w:rPr>
          <w:lang w:val="el-GR"/>
        </w:rPr>
        <w:t>της</w:t>
      </w:r>
      <w:r>
        <w:rPr>
          <w:i/>
          <w:lang w:val="el-GR"/>
        </w:rPr>
        <w:t xml:space="preserve"> </w:t>
      </w:r>
      <w:r>
        <w:rPr>
          <w:lang w:val="el-GR"/>
        </w:rPr>
        <w:t>υπ’ αριθμ</w:t>
      </w:r>
      <w:r>
        <w:rPr>
          <w:i/>
          <w:lang w:val="el-GR"/>
        </w:rPr>
        <w:t>. 63446/2021 Κ.Υ.Α. (B’ 2338/02.06.2021) «Καθορισμός Εθνικού Μορφότυπου ηλεκτρονικού τιμολογίου στο πλαίσιο των Δημοσίων Συμβάσεων»,</w:t>
      </w:r>
    </w:p>
    <w:p>
      <w:pPr>
        <w:pStyle w:val="Normal"/>
        <w:numPr>
          <w:ilvl w:val="0"/>
          <w:numId w:val="8"/>
        </w:numPr>
        <w:ind w:left="284" w:hanging="284"/>
        <w:rPr>
          <w:i/>
          <w:i/>
          <w:lang w:val="el-GR"/>
        </w:rPr>
      </w:pPr>
      <w:r>
        <w:rPr>
          <w:i/>
          <w:lang w:val="el-GR"/>
        </w:rPr>
        <w:t xml:space="preserve"> </w:t>
      </w:r>
      <w:r>
        <w:rPr>
          <w:lang w:val="el-GR"/>
        </w:rPr>
        <w:t>της</w:t>
      </w:r>
      <w:r>
        <w:rPr>
          <w:i/>
          <w:lang w:val="el-GR"/>
        </w:rPr>
        <w:t xml:space="preserve"> </w:t>
      </w:r>
      <w:r>
        <w:rPr>
          <w:lang w:val="el-GR"/>
        </w:rPr>
        <w:t>υπ΄ αριθμ</w:t>
      </w:r>
      <w:r>
        <w:rPr>
          <w:i/>
          <w:lang w:val="el-GR"/>
        </w:rPr>
        <w:t>. Κ.Υ.Α. οικ. 98979 ΕΞ2021 (B’ 3766/13.08.2021) «Ηλεκτρονική Τιμολόγηση στο πλαίσιο των Δημόσιων Συμβάσεων δυνάμει του ν. 4601/2019» (Α΄44),</w:t>
      </w:r>
    </w:p>
    <w:p>
      <w:pPr>
        <w:pStyle w:val="Normal"/>
        <w:numPr>
          <w:ilvl w:val="0"/>
          <w:numId w:val="8"/>
        </w:numPr>
        <w:ind w:left="284" w:hanging="284"/>
        <w:rPr>
          <w:i/>
          <w:i/>
          <w:iCs/>
          <w:color w:val="5B9BD5"/>
          <w:lang w:val="el-GR"/>
        </w:rPr>
      </w:pPr>
      <w:r>
        <w:rPr>
          <w:lang w:val="el-GR"/>
        </w:rPr>
        <w:t>της υπ’ αριθμ. Κ.Υ.Α. οικ. 14900/21 (Β’ 466):</w:t>
      </w:r>
      <w:r>
        <w:rPr>
          <w:i/>
          <w:lang w:val="el-GR"/>
        </w:rPr>
        <w:t xml:space="preserve"> </w:t>
      </w:r>
      <w:r>
        <w:rPr>
          <w:lang w:val="el-GR"/>
        </w:rPr>
        <w:t>«Έγκριση σχεδίου Δράσης για τις Πράσινες Δημόσιες Συμβάσεις»</w:t>
      </w:r>
      <w:r>
        <w:rPr>
          <w:i/>
          <w:lang w:val="el-GR"/>
        </w:rPr>
        <w:t xml:space="preserve"> (ΑΔΑ: ΨΡΤΟ46ΜΤΛΡ-Χ92). </w:t>
      </w:r>
    </w:p>
    <w:p>
      <w:pPr>
        <w:pStyle w:val="Normal"/>
        <w:numPr>
          <w:ilvl w:val="0"/>
          <w:numId w:val="8"/>
        </w:numPr>
        <w:ind w:left="284" w:hanging="284"/>
        <w:rPr>
          <w:i/>
          <w:i/>
          <w:lang w:val="el-GR"/>
        </w:rPr>
      </w:pPr>
      <w:r>
        <w:rPr>
          <w:lang w:val="el-GR"/>
        </w:rPr>
        <w:t>του ν. 5005/2022 (Α’ 236) «</w:t>
      </w:r>
      <w:r>
        <w:rPr>
          <w:i/>
          <w:lang w:val="el-GR"/>
        </w:rPr>
        <w:t>Ενίσχυση δημοσιότητας και διαφάνειας στον έντυπο και ηλεκτρονικό Τύπο - Σύσταση ηλεκτρονικών μητρώων εντύπου και ηλεκτρονικού</w:t>
      </w:r>
      <w:r>
        <w:rPr>
          <w:i/>
        </w:rPr>
        <w:t> </w:t>
      </w:r>
      <w:r>
        <w:rPr>
          <w:i/>
          <w:lang w:val="el-GR"/>
        </w:rPr>
        <w:t>Τύπου - Διατάξεις αρμοδιότητας της Γενικής</w:t>
      </w:r>
      <w:r>
        <w:rPr>
          <w:i/>
        </w:rPr>
        <w:t> </w:t>
      </w:r>
      <w:r>
        <w:rPr>
          <w:i/>
          <w:lang w:val="el-GR"/>
        </w:rPr>
        <w:t>Γραμματείας Επικοινωνίας και Ενημέρωσης και</w:t>
      </w:r>
      <w:r>
        <w:rPr>
          <w:i/>
        </w:rPr>
        <w:t> </w:t>
      </w:r>
      <w:r>
        <w:rPr>
          <w:i/>
          <w:lang w:val="el-GR"/>
        </w:rPr>
        <w:t>λοιπές επείγουσες ρυθμίσεις</w:t>
      </w:r>
      <w:r>
        <w:rPr>
          <w:lang w:val="el-GR"/>
        </w:rPr>
        <w:t>»,</w:t>
      </w:r>
    </w:p>
    <w:p>
      <w:pPr>
        <w:pStyle w:val="Normal"/>
        <w:numPr>
          <w:ilvl w:val="0"/>
          <w:numId w:val="8"/>
        </w:numPr>
        <w:ind w:left="284" w:hanging="284"/>
        <w:rPr>
          <w:i/>
          <w:i/>
          <w:lang w:val="el-GR"/>
        </w:rPr>
      </w:pPr>
      <w:r>
        <w:rPr>
          <w:lang w:val="el-GR"/>
        </w:rPr>
        <w:t>του ν. 4919/2022 (Α’ 71)</w:t>
      </w:r>
      <w:r>
        <w:rPr>
          <w:i/>
          <w:lang w:val="el-GR"/>
        </w:rPr>
        <w:t xml:space="preserve"> «Σύσταση εταιρειών μέσω των Υπηρεσιών Μιας Στάσης (Υ.Μ.Σ.) και τήρηση του Γενικού Εμπορικού Μητρώου (Γ.Ε.ΜΗ.) - Ενσωμάτωση της Οδηγίας (ΕΕ) 2019/1151 του Ευρωπαϊκού Κοινοβουλίου και του Συμβουλίου της 20ής Ιουνίου 2019 για την τροποποίηση της </w:t>
      </w:r>
      <w:r>
        <w:rPr>
          <w:i/>
        </w:rPr>
        <w:t>O</w:t>
      </w:r>
      <w:r>
        <w:rPr>
          <w:i/>
          <w:lang w:val="el-GR"/>
        </w:rPr>
        <w:t>δηγίας (ΕΕ) 2017/1132, όσον αφορά τη χρήση ψηφιακών εργαλείων και διαδικασιών στον τομέα του εταιρικού δικαίου (</w:t>
      </w:r>
      <w:r>
        <w:rPr>
          <w:i/>
        </w:rPr>
        <w:t>L</w:t>
      </w:r>
      <w:r>
        <w:rPr>
          <w:i/>
          <w:lang w:val="el-GR"/>
        </w:rPr>
        <w:t xml:space="preserve"> 186) και λοιπές επείγουσες διατάξεις»,</w:t>
      </w:r>
    </w:p>
    <w:p>
      <w:pPr>
        <w:pStyle w:val="Normal"/>
        <w:numPr>
          <w:ilvl w:val="0"/>
          <w:numId w:val="8"/>
        </w:numPr>
        <w:ind w:left="284" w:hanging="284"/>
        <w:rPr>
          <w:i/>
          <w:i/>
          <w:lang w:val="el-GR"/>
        </w:rPr>
      </w:pPr>
      <w:r>
        <w:rPr>
          <w:i/>
          <w:lang w:val="el-GR"/>
        </w:rPr>
        <w:t xml:space="preserve">του ν. 4914/2022 (Α’61) «Διαχείριση, έλεγχος και εφαρμογή αναπτυξιακών παρεμβάσεων για την Προγραμματική Περίοδο 2021-2027, σύσταση Ανώνυμης Εταιρείας «Εθνικό Μητρώο Νεοφυών Επιχειρήσεων Α.Ε.» και άλλες διατάξεις», </w:t>
      </w:r>
    </w:p>
    <w:p>
      <w:pPr>
        <w:pStyle w:val="Normal"/>
        <w:numPr>
          <w:ilvl w:val="0"/>
          <w:numId w:val="8"/>
        </w:numPr>
        <w:ind w:left="284" w:hanging="284"/>
        <w:rPr>
          <w:lang w:val="el-GR"/>
        </w:rPr>
      </w:pPr>
      <w:r>
        <w:rPr>
          <w:lang w:val="el-GR"/>
        </w:rPr>
        <w:t xml:space="preserve">του  ν. 4727/2020 (Α’ 184) </w:t>
      </w:r>
      <w:r>
        <w:rPr>
          <w:i/>
          <w:lang w:val="el-GR"/>
        </w:rPr>
        <w:t>«Ψηφιακή Διακυβέρνηση (Ενσωμάτωση στην Ελληνική Νομοθεσία της Οδηγίας (ΕΕ) 2016/2102 και της Οδηγίας (ΕΕ) 2019/1024) – Ηλεκτρονικές Επικοινωνίες (Ενσωμάτωση στο Ελληνικό Δίκαιο της Οδηγίας (ΕΕ) 2018/1972 και άλλες διατάξεις»,</w:t>
      </w:r>
      <w:r>
        <w:rPr>
          <w:lang w:val="el-GR"/>
        </w:rPr>
        <w:t xml:space="preserve"> </w:t>
      </w:r>
    </w:p>
    <w:p>
      <w:pPr>
        <w:pStyle w:val="Normal"/>
        <w:numPr>
          <w:ilvl w:val="0"/>
          <w:numId w:val="8"/>
        </w:numPr>
        <w:ind w:left="284" w:hanging="284"/>
        <w:rPr>
          <w:i/>
          <w:i/>
          <w:lang w:val="el-GR"/>
        </w:rPr>
      </w:pPr>
      <w:r>
        <w:rPr>
          <w:lang w:val="el-GR"/>
        </w:rPr>
        <w:t xml:space="preserve">του ν. 4624/2019 (Α’ 137) </w:t>
      </w:r>
      <w:r>
        <w:rPr>
          <w:i/>
          <w:lang w:val="el-GR"/>
        </w:rPr>
        <w:t>«Αρχή Προστασίας Δεδομένων Προσωπικού Χαρακτήρα, μέτρα εφαρμογής του Κανονισμού (ΕΕ) 2016/679 του Ευρωπαϊκού Κοινοβουλίου και του Συμβουλίου της 27ης Απριλίου 2016 για την προστασία των φυσικών προσώπων έναντι της επεξεργασίας δεδομένων προσωπικού χαρακτήρα και ενσωμάτωση στην εθνική νομοθεσία της Οδηγίας (ΕΕ) 2016/680 του Ευρωπαϊκού Κοινοβουλίου και του Συμβουλίου της 27ης Απριλίου 2016 και άλλες διατάξεις»,</w:t>
      </w:r>
    </w:p>
    <w:p>
      <w:pPr>
        <w:pStyle w:val="Normal"/>
        <w:numPr>
          <w:ilvl w:val="0"/>
          <w:numId w:val="8"/>
        </w:numPr>
        <w:ind w:left="284" w:hanging="284"/>
        <w:rPr>
          <w:lang w:val="el-GR"/>
        </w:rPr>
      </w:pPr>
      <w:r>
        <w:rPr>
          <w:lang w:val="el-GR"/>
        </w:rPr>
        <w:t xml:space="preserve">του ν. 4270/2014 (Α’ 143) </w:t>
      </w:r>
      <w:r>
        <w:rPr>
          <w:i/>
          <w:lang w:val="el-GR"/>
        </w:rPr>
        <w:t>«Αρχές δημοσιονομικής διαχείρισης και εποπτείας (ενσωμάτωση της Οδηγίας 2011/85/ΕΕ) – δημόσιο λογιστικό και άλλες διατάξεις»,</w:t>
      </w:r>
    </w:p>
    <w:p>
      <w:pPr>
        <w:pStyle w:val="Normal"/>
        <w:numPr>
          <w:ilvl w:val="0"/>
          <w:numId w:val="8"/>
        </w:numPr>
        <w:ind w:left="284" w:hanging="284"/>
        <w:rPr>
          <w:lang w:val="el-GR"/>
        </w:rPr>
      </w:pPr>
      <w:r>
        <w:rPr>
          <w:lang w:val="el-GR"/>
        </w:rPr>
        <w:t xml:space="preserve">της παρ. Ζ του ν. 4152/2013 (Α’ 107) </w:t>
      </w:r>
      <w:r>
        <w:rPr>
          <w:i/>
          <w:lang w:val="el-GR"/>
        </w:rPr>
        <w:t>«Προσαρμογή της ελληνικής νομοθεσίας στην Οδηγία 2011/7 της 16.2.2011 για την καταπολέμηση των καθυστερήσεων πληρωμών στις εμπορικές συναλλαγές»,</w:t>
      </w:r>
    </w:p>
    <w:p>
      <w:pPr>
        <w:pStyle w:val="Normal"/>
        <w:numPr>
          <w:ilvl w:val="0"/>
          <w:numId w:val="8"/>
        </w:numPr>
        <w:ind w:left="284" w:hanging="284"/>
        <w:rPr>
          <w:i/>
          <w:i/>
          <w:lang w:val="el-GR"/>
        </w:rPr>
      </w:pPr>
      <w:r>
        <w:rPr>
          <w:lang w:val="el-GR"/>
        </w:rPr>
        <w:t xml:space="preserve">του ν. 3419/2005 (Α’ 297) </w:t>
      </w:r>
      <w:r>
        <w:rPr>
          <w:i/>
          <w:lang w:val="el-GR"/>
        </w:rPr>
        <w:t>«Γενικό Εμπορικό Μητρώο (Γ.Ε.ΜΗ.) και εκσυγχρονισμός της Επιμελητηριακής Νομοθεσίας»,</w:t>
      </w:r>
    </w:p>
    <w:p>
      <w:pPr>
        <w:pStyle w:val="Normal"/>
        <w:numPr>
          <w:ilvl w:val="0"/>
          <w:numId w:val="8"/>
        </w:numPr>
        <w:ind w:left="284" w:hanging="284"/>
        <w:rPr>
          <w:lang w:val="el-GR"/>
        </w:rPr>
      </w:pPr>
      <w:r>
        <w:rPr>
          <w:lang w:val="el-GR"/>
        </w:rPr>
        <w:t xml:space="preserve">του ν. 2859/2000 (Α’ 248) </w:t>
      </w:r>
      <w:r>
        <w:rPr>
          <w:i/>
          <w:lang w:val="el-GR"/>
        </w:rPr>
        <w:t>«Κύρωση Κώδικα Φόρου Προστιθέμενης Αξίας»,</w:t>
      </w:r>
      <w:r>
        <w:rPr>
          <w:lang w:val="el-GR"/>
        </w:rPr>
        <w:t xml:space="preserve"> </w:t>
      </w:r>
    </w:p>
    <w:p>
      <w:pPr>
        <w:pStyle w:val="Normal"/>
        <w:numPr>
          <w:ilvl w:val="0"/>
          <w:numId w:val="8"/>
        </w:numPr>
        <w:ind w:left="284" w:hanging="284"/>
        <w:rPr>
          <w:lang w:val="el-GR"/>
        </w:rPr>
      </w:pPr>
      <w:r>
        <w:rPr>
          <w:lang w:val="el-GR"/>
        </w:rPr>
        <w:t xml:space="preserve">του ν.2690/1999 (Α’ 45) </w:t>
      </w:r>
      <w:r>
        <w:rPr>
          <w:i/>
          <w:lang w:val="el-GR"/>
        </w:rPr>
        <w:t>«Κύρωση του Κώδικα Διοικητικής Διαδικασίας και άλλες διατάξεις»</w:t>
      </w:r>
      <w:r>
        <w:rPr>
          <w:lang w:val="el-GR"/>
        </w:rPr>
        <w:t xml:space="preserve">  και ιδίως των άρθρων 1,2, 7, 11 και 13 έως 15,</w:t>
      </w:r>
    </w:p>
    <w:p>
      <w:pPr>
        <w:pStyle w:val="Normal"/>
        <w:numPr>
          <w:ilvl w:val="0"/>
          <w:numId w:val="8"/>
        </w:numPr>
        <w:ind w:left="284" w:hanging="284"/>
        <w:rPr>
          <w:lang w:val="el-GR"/>
        </w:rPr>
      </w:pPr>
      <w:r>
        <w:rPr>
          <w:lang w:val="el-GR"/>
        </w:rPr>
        <w:t xml:space="preserve">του ν. 2121/1993 (Α’ 25) </w:t>
      </w:r>
      <w:r>
        <w:rPr>
          <w:i/>
          <w:lang w:val="el-GR"/>
        </w:rPr>
        <w:t>«Πνευματική Ιδιοκτησία, Συγγενικά Δικαιώματα και Πολιτιστικά Θέματα»,</w:t>
      </w:r>
      <w:r>
        <w:rPr>
          <w:lang w:val="el-GR"/>
        </w:rPr>
        <w:t xml:space="preserve"> </w:t>
      </w:r>
    </w:p>
    <w:p>
      <w:pPr>
        <w:pStyle w:val="Normal"/>
        <w:numPr>
          <w:ilvl w:val="0"/>
          <w:numId w:val="8"/>
        </w:numPr>
        <w:ind w:left="284" w:hanging="284"/>
        <w:rPr>
          <w:i/>
          <w:i/>
          <w:lang w:val="el-GR"/>
        </w:rPr>
      </w:pPr>
      <w:r>
        <w:rPr>
          <w:lang w:val="el-GR"/>
        </w:rPr>
        <w:t xml:space="preserve">του π.δ. 80/2016 (Α’ 145) </w:t>
      </w:r>
      <w:r>
        <w:rPr>
          <w:i/>
          <w:lang w:val="el-GR"/>
        </w:rPr>
        <w:t>«Ανάληψη υποχρεώσεων από τους Διατάκτες»,</w:t>
      </w:r>
    </w:p>
    <w:p>
      <w:pPr>
        <w:pStyle w:val="Normal"/>
        <w:numPr>
          <w:ilvl w:val="0"/>
          <w:numId w:val="8"/>
        </w:numPr>
        <w:ind w:left="284" w:hanging="284"/>
        <w:rPr>
          <w:i/>
          <w:i/>
          <w:szCs w:val="22"/>
          <w:lang w:val="el-GR"/>
        </w:rPr>
      </w:pPr>
      <w:r>
        <w:rPr>
          <w:szCs w:val="22"/>
          <w:lang w:val="el-GR"/>
        </w:rPr>
        <w:t xml:space="preserve">του π.δ 28/2015 (Α’ 34) </w:t>
      </w:r>
      <w:r>
        <w:rPr>
          <w:i/>
          <w:szCs w:val="22"/>
          <w:lang w:val="el-GR"/>
        </w:rPr>
        <w:t xml:space="preserve">«Κωδικοποίηση διατάξεων για την πρόσβαση σε δημόσια έγγραφα και στοιχεία», </w:t>
      </w:r>
    </w:p>
    <w:p>
      <w:pPr>
        <w:pStyle w:val="Normal"/>
        <w:numPr>
          <w:ilvl w:val="0"/>
          <w:numId w:val="8"/>
        </w:numPr>
        <w:ind w:left="284" w:hanging="284"/>
        <w:rPr>
          <w:lang w:val="el-GR"/>
        </w:rPr>
      </w:pPr>
      <w:r>
        <w:rPr>
          <w:lang w:val="el-GR"/>
        </w:rPr>
        <w:t>του Κανονισμού (ΕΕ) 2022/576 του Συμβουλίου της 8ης Απριλίου 2022 για την τροποποίηση του κανονισμού (ΕΕ) αριθ. 833/2014 σχετικά με περιοριστικά μέτρα λόγω ενεργειών της Ρωσίας που αποσταθεροποιούν την κατάσταση στην Ουκρανία,</w:t>
      </w:r>
    </w:p>
    <w:p>
      <w:pPr>
        <w:pStyle w:val="Normal"/>
        <w:numPr>
          <w:ilvl w:val="0"/>
          <w:numId w:val="8"/>
        </w:numPr>
        <w:ind w:left="284" w:hanging="284"/>
        <w:rPr>
          <w:szCs w:val="22"/>
          <w:lang w:val="el-GR"/>
        </w:rPr>
      </w:pPr>
      <w:r>
        <w:rPr>
          <w:szCs w:val="22"/>
          <w:lang w:val="el-GR"/>
        </w:rPr>
        <w:t xml:space="preserve">του </w:t>
      </w:r>
      <w:r>
        <w:rPr>
          <w:lang w:val="el-GR"/>
        </w:rPr>
        <w:t>Κανονισμού</w:t>
      </w:r>
      <w:r>
        <w:rPr>
          <w:szCs w:val="22"/>
          <w:lang w:val="el-GR"/>
        </w:rPr>
        <w:t xml:space="preserve"> (ΕΕ) 2016/679 του ΕΚ και του Συμβουλίου, της 27ης Απριλίου 2016, για την προστασία των φυσικών προσώπων έναντι της επεξεργασίας των δεδομένων προσωπικού χαρακτήρα και για την ελεύθερη κυκλοφορία των δεδομένων αυτών και την κατάργηση της οδηγίας 95/46/ΕΚ (Γενικός Κανονισμός για την Προστασία Δεδομένων) (Κείμενο που παρουσιάζει ενδιαφέρον για τον ΕΟΧ) OJ L 119 </w:t>
      </w:r>
    </w:p>
    <w:p>
      <w:pPr>
        <w:pStyle w:val="Normal"/>
        <w:rPr>
          <w:i/>
          <w:i/>
          <w:iCs/>
          <w:color w:val="5B9BD5"/>
          <w:lang w:val="el-GR"/>
        </w:rPr>
      </w:pPr>
      <w:r>
        <w:rPr>
          <w:i/>
          <w:iCs/>
          <w:color w:val="5B9BD5"/>
          <w:lang w:val="el-GR"/>
        </w:rPr>
      </w:r>
    </w:p>
    <w:p>
      <w:pPr>
        <w:pStyle w:val="Normal"/>
        <w:numPr>
          <w:ilvl w:val="0"/>
          <w:numId w:val="8"/>
        </w:numPr>
        <w:ind w:left="284" w:hanging="284"/>
        <w:rPr>
          <w:szCs w:val="22"/>
          <w:lang w:val="el-GR"/>
        </w:rPr>
      </w:pPr>
      <w:r>
        <w:rPr>
          <w:szCs w:val="22"/>
          <w:lang w:val="el-GR"/>
        </w:rPr>
        <w:t>των σε εκτέλεση των ανωτέρω νόμων εκδοθεισών κανονιστικών πράξεων, των λοιπών διατάξεων που αναφέρονται ρητά ή απορρέουν από τα οριζόμενα στα συμβατικά τεύχη της παρούσας,  καθώς και του συνόλου των διατάξεων του ασφαλιστικού, εργατικού, κοινωνικού, περιβαλλοντικού και φορολογικού δικαίου που διέπει την ανάθεση και εκτέλεση της παρούσας σύμβασης, έστω και αν δεν αναφέρονται ρητά παραπάνω.</w:t>
      </w:r>
    </w:p>
    <w:p>
      <w:pPr>
        <w:pStyle w:val="Normal"/>
        <w:ind w:left="284" w:hanging="0"/>
        <w:rPr>
          <w:lang w:val="el-GR"/>
        </w:rPr>
      </w:pPr>
      <w:r>
        <w:rPr>
          <w:lang w:val="el-GR"/>
        </w:rPr>
      </w:r>
    </w:p>
    <w:p>
      <w:pPr>
        <w:pStyle w:val="2"/>
        <w:rPr>
          <w:lang w:val="el-GR" w:eastAsia="el-GR"/>
        </w:rPr>
      </w:pPr>
      <w:bookmarkStart w:id="7" w:name="_Toc129004397"/>
      <w:r>
        <w:rPr>
          <w:lang w:val="el-GR"/>
        </w:rPr>
        <w:t>1.5</w:t>
        <w:tab/>
        <w:t>Προθεσμία παραλαβής προσφορών</w:t>
      </w:r>
      <w:bookmarkEnd w:id="7"/>
      <w:r>
        <w:rPr>
          <w:lang w:val="el-GR"/>
        </w:rPr>
        <w:t xml:space="preserve"> </w:t>
      </w:r>
    </w:p>
    <w:p>
      <w:pPr>
        <w:pStyle w:val="Normal"/>
        <w:rPr>
          <w:lang w:val="el-GR" w:eastAsia="el-GR"/>
        </w:rPr>
      </w:pPr>
      <w:r>
        <w:rPr>
          <w:lang w:val="el-GR" w:eastAsia="el-GR"/>
        </w:rPr>
        <w:t xml:space="preserve">Η καταληκτική ημερομηνία παραλαβής των προσφορών είναι η </w:t>
      </w:r>
      <w:r>
        <w:rPr>
          <w:lang w:val="en-US" w:eastAsia="el-GR"/>
        </w:rPr>
        <w:t>25</w:t>
      </w:r>
      <w:r>
        <w:rPr>
          <w:lang w:val="el-GR" w:eastAsia="el-GR"/>
        </w:rPr>
        <w:t>/</w:t>
      </w:r>
      <w:r>
        <w:rPr>
          <w:lang w:val="en-US" w:eastAsia="el-GR"/>
        </w:rPr>
        <w:t>10</w:t>
      </w:r>
      <w:r>
        <w:rPr>
          <w:lang w:val="el-GR" w:eastAsia="el-GR"/>
        </w:rPr>
        <w:t>/</w:t>
      </w:r>
      <w:r>
        <w:rPr>
          <w:lang w:val="en-US" w:eastAsia="el-GR"/>
        </w:rPr>
        <w:t xml:space="preserve">2024 </w:t>
      </w:r>
      <w:r>
        <w:rPr>
          <w:lang w:val="el-GR" w:eastAsia="el-GR"/>
        </w:rPr>
        <w:t xml:space="preserve">και ώρα </w:t>
      </w:r>
      <w:r>
        <w:rPr>
          <w:lang w:val="en-US" w:eastAsia="el-GR"/>
        </w:rPr>
        <w:t>15</w:t>
      </w:r>
      <w:r>
        <w:rPr>
          <w:lang w:val="el-GR" w:eastAsia="el-GR"/>
        </w:rPr>
        <w:t>:</w:t>
      </w:r>
      <w:r>
        <w:rPr>
          <w:lang w:val="en-US" w:eastAsia="el-GR"/>
        </w:rPr>
        <w:t xml:space="preserve">00 </w:t>
      </w:r>
      <w:r>
        <w:rPr>
          <w:rStyle w:val="Style19"/>
          <w:lang w:val="el-GR" w:eastAsia="el-GR"/>
        </w:rPr>
        <w:footnoteReference w:id="23"/>
      </w:r>
    </w:p>
    <w:p>
      <w:pPr>
        <w:pStyle w:val="Normal"/>
        <w:rPr>
          <w:i/>
          <w:i/>
          <w:iCs/>
          <w:color w:val="5B9BD5"/>
          <w:kern w:val="2"/>
          <w:lang w:val="el-GR"/>
        </w:rPr>
      </w:pPr>
      <w:r>
        <w:rPr>
          <w:i/>
          <w:iCs/>
          <w:color w:val="5B9BD5"/>
          <w:kern w:val="2"/>
          <w:lang w:val="el-GR"/>
        </w:rPr>
      </w:r>
    </w:p>
    <w:p>
      <w:pPr>
        <w:pStyle w:val="Normal"/>
        <w:rPr>
          <w:lang w:val="el-GR" w:eastAsia="el-GR"/>
        </w:rPr>
      </w:pPr>
      <w:r>
        <w:rPr>
          <w:lang w:val="el-GR" w:eastAsia="el-GR"/>
        </w:rPr>
        <w:t xml:space="preserve">Η διαδικασία θα διενεργηθεί με χρήση του Εθνικού Συστήματος Ηλεκτρονικών Δημόσιων Συμβάσεων (ΕΣΗΔΗΣ) Προμήθειες και Υπηρεσίες του  ΟΠΣ ΕΣΗΔΗΣ (Διαδικτυακή Πύλη </w:t>
      </w:r>
      <w:hyperlink r:id="rId2">
        <w:r>
          <w:rPr>
            <w:lang w:val="el-GR" w:eastAsia="el-GR"/>
          </w:rPr>
          <w:t>www.promitheus.gov.gr</w:t>
        </w:r>
      </w:hyperlink>
      <w:r>
        <w:rPr>
          <w:lang w:val="el-GR" w:eastAsia="el-GR"/>
        </w:rPr>
        <w:t>) https://portal.eprocurement.gov.gr/webcenter/portal/TestPortal</w:t>
      </w:r>
    </w:p>
    <w:p>
      <w:pPr>
        <w:pStyle w:val="Normal"/>
        <w:rPr>
          <w:lang w:val="el-GR"/>
        </w:rPr>
      </w:pPr>
      <w:r>
        <w:rPr>
          <w:lang w:val="el-GR"/>
        </w:rPr>
      </w:r>
    </w:p>
    <w:p>
      <w:pPr>
        <w:pStyle w:val="2"/>
        <w:rPr>
          <w:lang w:val="el-GR"/>
        </w:rPr>
      </w:pPr>
      <w:bookmarkStart w:id="8" w:name="_Toc129004398"/>
      <w:r>
        <w:rPr>
          <w:lang w:val="el-GR"/>
        </w:rPr>
        <w:t>1.6</w:t>
        <w:tab/>
        <w:t>Δημοσιότητα</w:t>
      </w:r>
      <w:bookmarkEnd w:id="8"/>
    </w:p>
    <w:p>
      <w:pPr>
        <w:pStyle w:val="Normal"/>
        <w:tabs>
          <w:tab w:val="clear" w:pos="720"/>
          <w:tab w:val="left" w:pos="709" w:leader="none"/>
        </w:tabs>
        <w:rPr>
          <w:lang w:val="el-GR"/>
        </w:rPr>
      </w:pPr>
      <w:r>
        <w:rPr>
          <w:lang w:val="el-GR"/>
        </w:rPr>
      </w:r>
    </w:p>
    <w:p>
      <w:pPr>
        <w:pStyle w:val="Normal"/>
        <w:rPr>
          <w:lang w:val="el-GR"/>
        </w:rPr>
      </w:pPr>
      <w:r>
        <w:rPr>
          <w:b/>
          <w:lang w:val="el-GR"/>
        </w:rPr>
        <w:t xml:space="preserve">Δημοσίευση σε εθνικό επίπεδο </w:t>
      </w:r>
      <w:r>
        <w:rPr>
          <w:rStyle w:val="Style19"/>
          <w:rFonts w:cs="Calibri"/>
          <w:b/>
          <w:szCs w:val="22"/>
        </w:rPr>
        <w:footnoteReference w:id="24"/>
      </w:r>
    </w:p>
    <w:p>
      <w:pPr>
        <w:pStyle w:val="Normal"/>
        <w:rPr>
          <w:lang w:val="el-GR"/>
        </w:rPr>
      </w:pPr>
      <w:r>
        <w:rPr>
          <w:lang w:val="el-GR"/>
        </w:rPr>
        <w:t>Η προκήρυξη</w:t>
      </w:r>
      <w:r>
        <w:rPr>
          <w:rStyle w:val="Style19"/>
          <w:lang w:val="el-GR"/>
        </w:rPr>
        <w:footnoteReference w:id="25"/>
      </w:r>
      <w:r>
        <w:rPr>
          <w:lang w:val="el-GR"/>
        </w:rPr>
        <w:t xml:space="preserve"> και το πλήρες κείμενο της παρούσας Διακήρυξης καταχωρήθηκαν στο Κεντρικό Ηλεκτρονικό Μητρώο Δημοσίων Συμβάσεων (ΚΗΜΔΗΣ). </w:t>
      </w:r>
    </w:p>
    <w:p>
      <w:pPr>
        <w:pStyle w:val="Normal"/>
        <w:rPr>
          <w:lang w:val="el-GR"/>
        </w:rPr>
      </w:pPr>
      <w:r>
        <w:rPr>
          <w:lang w:val="el-GR"/>
        </w:rPr>
        <w:t xml:space="preserve">Τα έγγραφα της σύμβασης της παρούσας Διακήρυξης θα καταχωρηθούν στη σχετική ηλεκτρονική διαδικασία σύναψης δημόσιας σύμβασης στο ΕΣΗΔΗΣ, και στη Διαδικτυακή Πύλη (www.promitheus.gov.gr) του ΟΠΣ ΕΣΗΔΗΣ. </w:t>
      </w:r>
    </w:p>
    <w:p>
      <w:pPr>
        <w:pStyle w:val="Normal"/>
        <w:rPr>
          <w:lang w:val="el-GR"/>
        </w:rPr>
      </w:pPr>
      <w:r>
        <w:rPr>
          <w:lang w:val="el-GR"/>
        </w:rPr>
        <w:t>Περίληψη της παρούσας Διακήρυξης δημοσιεύεται και στον Ελληνικό Τύπο</w:t>
      </w:r>
      <w:r>
        <w:rPr>
          <w:rStyle w:val="Style19"/>
          <w:rFonts w:cs="Calibri"/>
          <w:szCs w:val="22"/>
        </w:rPr>
        <w:footnoteReference w:id="26"/>
      </w:r>
      <w:r>
        <w:rPr>
          <w:lang w:val="el-GR"/>
        </w:rPr>
        <w:t xml:space="preserve"> </w:t>
      </w:r>
      <w:r>
        <w:rPr>
          <w:rStyle w:val="Style19"/>
          <w:rFonts w:cs="Calibri"/>
          <w:szCs w:val="22"/>
        </w:rPr>
        <w:footnoteReference w:id="27"/>
      </w:r>
      <w:r>
        <w:rPr>
          <w:lang w:val="el-GR"/>
        </w:rPr>
        <w:t xml:space="preserve"> </w:t>
      </w:r>
      <w:r>
        <w:rPr>
          <w:rStyle w:val="Style19"/>
          <w:lang w:val="el-GR"/>
        </w:rPr>
        <w:footnoteReference w:id="28"/>
      </w:r>
      <w:r>
        <w:rPr>
          <w:lang w:val="el-GR"/>
        </w:rPr>
        <w:t xml:space="preserve">, σύμφωνα με το άρθρο 66 του Ν. 4412/2016 : </w:t>
      </w:r>
    </w:p>
    <w:p>
      <w:pPr>
        <w:pStyle w:val="Normal"/>
        <w:rPr>
          <w:lang w:val="el-GR"/>
        </w:rPr>
      </w:pPr>
      <w:r>
        <w:rPr>
          <w:lang w:val="el-GR"/>
        </w:rPr>
        <w:t xml:space="preserve">Περίληψη της παρούσας Διακήρυξης, </w:t>
      </w:r>
      <w:r>
        <w:rPr>
          <w:lang w:val="el-GR" w:eastAsia="el-GR"/>
        </w:rPr>
        <w:t xml:space="preserve">όπως προβλέπεται στην περίπτωση (ιστ) της παραγράφου 3 του άρθρου 76 του Ν.4727/2020, αναρτήθηκε στο διαδίκτυο, στον ιστότοπο </w:t>
      </w:r>
      <w:hyperlink r:id="rId3">
        <w:r>
          <w:rPr>
            <w:color w:val="000000"/>
            <w:szCs w:val="22"/>
            <w:lang w:val="el-GR" w:eastAsia="el-GR"/>
          </w:rPr>
          <w:t>http://et.diavgeia.gov.gr/</w:t>
        </w:r>
      </w:hyperlink>
      <w:r>
        <w:rPr>
          <w:lang w:val="el-GR" w:eastAsia="el-GR"/>
        </w:rPr>
        <w:t xml:space="preserve"> (ΠΡΟΓΡΑΜΜΑ ΔΙΑΥΓΕΙΑ).</w:t>
      </w:r>
      <w:r>
        <w:rPr>
          <w:rStyle w:val="WW1"/>
          <w:lang w:val="el-GR" w:eastAsia="el-GR"/>
        </w:rPr>
        <w:t xml:space="preserve"> </w:t>
      </w:r>
      <w:hyperlink r:id="rId4">
        <w:r>
          <w:rPr>
            <w:lang w:val="el-GR" w:eastAsia="el-GR"/>
          </w:rPr>
          <w:t xml:space="preserve"> </w:t>
        </w:r>
      </w:hyperlink>
    </w:p>
    <w:p>
      <w:pPr>
        <w:pStyle w:val="Normal"/>
        <w:spacing w:before="120" w:after="120"/>
        <w:rPr>
          <w:i w:val="false"/>
          <w:i w:val="false"/>
          <w:iCs w:val="false"/>
          <w:color w:val="auto"/>
        </w:rPr>
      </w:pPr>
      <w:r>
        <w:rPr>
          <w:i w:val="false"/>
          <w:iCs w:val="false"/>
          <w:color w:val="auto"/>
          <w:kern w:val="2"/>
          <w:lang w:val="el-GR"/>
        </w:rPr>
        <w:t>Η Διακήρυξη θα καταχωρηθεί στο διαδίκτυο, στην ιστοσελίδα της αναθέτουσας αρχής, στη διεύθυνση (URL) :   www.</w:t>
      </w:r>
      <w:r>
        <w:rPr>
          <w:i w:val="false"/>
          <w:iCs w:val="false"/>
          <w:color w:val="auto"/>
          <w:kern w:val="2"/>
          <w:lang w:val="en-US"/>
        </w:rPr>
        <w:t>dimoskarditsas</w:t>
      </w:r>
      <w:r>
        <w:rPr>
          <w:i w:val="false"/>
          <w:iCs w:val="false"/>
          <w:color w:val="auto"/>
          <w:kern w:val="2"/>
          <w:lang w:val="el-GR"/>
        </w:rPr>
        <w:t>.</w:t>
      </w:r>
      <w:r>
        <w:rPr>
          <w:i w:val="false"/>
          <w:iCs w:val="false"/>
          <w:color w:val="auto"/>
          <w:kern w:val="2"/>
          <w:lang w:val="en-US"/>
        </w:rPr>
        <w:t>gov</w:t>
      </w:r>
      <w:r>
        <w:rPr>
          <w:i w:val="false"/>
          <w:iCs w:val="false"/>
          <w:color w:val="auto"/>
          <w:kern w:val="2"/>
          <w:lang w:val="el-GR"/>
        </w:rPr>
        <w:t xml:space="preserve">.gr  στην διαδρομή : Επικαιρότητα </w:t>
      </w:r>
      <w:r>
        <w:rPr>
          <w:rFonts w:cs="Arial" w:ascii="Arial" w:hAnsi="Arial"/>
          <w:i w:val="false"/>
          <w:iCs w:val="false"/>
          <w:smallCaps/>
          <w:color w:val="auto"/>
          <w:kern w:val="2"/>
          <w:lang w:val="el-GR"/>
        </w:rPr>
        <w:t>►</w:t>
      </w:r>
      <w:r>
        <w:rPr>
          <w:i w:val="false"/>
          <w:iCs w:val="false"/>
          <w:color w:val="auto"/>
          <w:kern w:val="2"/>
          <w:lang w:val="el-GR"/>
        </w:rPr>
        <w:t xml:space="preserve"> Διαγωνισμοί </w:t>
      </w:r>
      <w:r>
        <w:rPr>
          <w:rFonts w:cs="Arial" w:ascii="Arial" w:hAnsi="Arial"/>
          <w:i w:val="false"/>
          <w:iCs w:val="false"/>
          <w:smallCaps/>
          <w:color w:val="auto"/>
          <w:kern w:val="2"/>
          <w:lang w:val="el-GR"/>
        </w:rPr>
        <w:t>►</w:t>
      </w:r>
      <w:r>
        <w:rPr>
          <w:i w:val="false"/>
          <w:iCs w:val="false"/>
          <w:color w:val="auto"/>
          <w:kern w:val="2"/>
          <w:lang w:val="el-GR"/>
        </w:rPr>
        <w:t xml:space="preserve"> Διαγωνισμοί Προμηθειών   </w:t>
      </w:r>
    </w:p>
    <w:p>
      <w:pPr>
        <w:pStyle w:val="Normal"/>
        <w:spacing w:before="240" w:after="120"/>
        <w:rPr>
          <w:rFonts w:eastAsia="ArialMT"/>
          <w:lang w:val="el-GR"/>
        </w:rPr>
      </w:pPr>
      <w:r>
        <w:rPr>
          <w:b/>
          <w:lang w:val="el-GR" w:eastAsia="el-GR"/>
        </w:rPr>
        <w:t>Γ.</w:t>
        <w:tab/>
        <w:t>Έξοδα δημοσιεύσεων</w:t>
      </w:r>
    </w:p>
    <w:p>
      <w:pPr>
        <w:pStyle w:val="Normal"/>
        <w:rPr>
          <w:lang w:val="el-GR"/>
        </w:rPr>
      </w:pPr>
      <w:r>
        <w:rPr>
          <w:lang w:val="el-GR"/>
        </w:rPr>
        <w:t>Οι δαπάνες δημοσίευσης, καταβάλλονται από τον φορέα που έδωσε την εντολή καταχώρισης στην εφημερίδα, εντός των προθεσμιών του άρθρου 69Ζ του ν. 4270/2014 (Α’ 143). Σε περίπτωση ανακήρυξης αναδόχου της δημοσιευόμενης διαδικασίας, οι ως άνω δαπάνες παρακρατούνται από τον φορέα και αφαιρούνται από το τίμημα που οφείλει στον ανάδοχο για την προμήθεια.</w:t>
      </w:r>
      <w:r>
        <w:rPr>
          <w:rStyle w:val="Style19"/>
          <w:rFonts w:eastAsia="ArialMT" w:cs="Calibri"/>
          <w:szCs w:val="22"/>
        </w:rPr>
        <w:footnoteReference w:id="29"/>
      </w:r>
    </w:p>
    <w:p>
      <w:pPr>
        <w:pStyle w:val="Normal"/>
        <w:rPr>
          <w:lang w:val="el-GR"/>
        </w:rPr>
      </w:pPr>
      <w:r>
        <w:rPr>
          <w:lang w:val="el-GR"/>
        </w:rPr>
      </w:r>
    </w:p>
    <w:p>
      <w:pPr>
        <w:pStyle w:val="2"/>
        <w:rPr>
          <w:lang w:val="el-GR"/>
        </w:rPr>
      </w:pPr>
      <w:bookmarkStart w:id="9" w:name="_Toc129004399"/>
      <w:r>
        <w:rPr>
          <w:lang w:val="el-GR"/>
        </w:rPr>
        <w:t>1.7</w:t>
        <w:tab/>
        <w:t>Αρχές εφαρμοζόμενες στη διαδικασία σύναψης</w:t>
      </w:r>
      <w:bookmarkEnd w:id="9"/>
      <w:r>
        <w:rPr>
          <w:lang w:val="el-GR"/>
        </w:rPr>
        <w:t xml:space="preserve"> </w:t>
      </w:r>
    </w:p>
    <w:p>
      <w:pPr>
        <w:pStyle w:val="Normal"/>
        <w:rPr>
          <w:lang w:val="el-GR"/>
        </w:rPr>
      </w:pPr>
      <w:r>
        <w:rPr>
          <w:lang w:val="el-GR"/>
        </w:rPr>
        <w:t>Οι οικονομικοί φορείς δεσμεύονται ότι:</w:t>
      </w:r>
    </w:p>
    <w:p>
      <w:pPr>
        <w:pStyle w:val="Normal"/>
        <w:rPr>
          <w:lang w:val="el-GR"/>
        </w:rPr>
      </w:pPr>
      <w:r>
        <w:rPr>
          <w:lang w:val="el-GR"/>
        </w:rPr>
        <w:t>α) τηρούν και θα εξακολουθήσουν να τηρούν κατά την εκτέλεση της σύμβασης, εφόσον επιλεγούν,  τις υποχρεώσεις τους που απορρέουν από τις διατάξεις της περιβαλλοντικής, κοινωνικοασφαλιστικής και εργατικής νομοθεσίας, που έχουν θεσπιστεί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Χ του Προσαρτήματος Α του ν. 4412/2016. Η τήρηση των εν λόγω υποχρεώσεων ελέγχεται και βεβαιώνεται από τα όργανα που επιβλέπουν την εκτέλεση των δημοσίων συμβάσεων και τις αρμόδιες δημόσιες αρχές και υπηρεσίες που ενεργούν εντός των ορίων της ευθύνης και της αρμοδιότητάς τους,</w:t>
      </w:r>
      <w:r>
        <w:rPr>
          <w:rStyle w:val="Style19"/>
          <w:lang w:val="el-GR"/>
        </w:rPr>
        <w:footnoteReference w:id="30"/>
      </w:r>
      <w:r>
        <w:rPr>
          <w:lang w:val="el-GR"/>
        </w:rPr>
        <w:t xml:space="preserve"> </w:t>
      </w:r>
    </w:p>
    <w:p>
      <w:pPr>
        <w:pStyle w:val="Normal"/>
        <w:rPr>
          <w:lang w:val="el-GR"/>
        </w:rPr>
      </w:pPr>
      <w:r>
        <w:rPr>
          <w:lang w:val="el-GR"/>
        </w:rPr>
        <w:t>β) δεν θα ενεργήσουν αθέμιτα, παράνομα ή καταχρηστικά καθ΄ όλη τη διάρκεια της διαδικασίας ανάθεσης, αλλά και κατά το στάδιο εκτέλεσης της σύμβασης, εφόσον επιλεγούν,</w:t>
      </w:r>
    </w:p>
    <w:p>
      <w:pPr>
        <w:pStyle w:val="Normal"/>
        <w:rPr>
          <w:lang w:val="el-GR"/>
        </w:rPr>
      </w:pPr>
      <w:r>
        <w:rPr>
          <w:lang w:val="el-GR"/>
        </w:rPr>
        <w:t>γ) λαμβάνουν τα κατάλληλα μέτρα για να διαφυλάξουν την εμπιστευτικότητα των πληροφοριών που έχουν χαρακτηρισθεί ως τέτοιες.</w:t>
      </w:r>
    </w:p>
    <w:p>
      <w:pPr>
        <w:pStyle w:val="1"/>
        <w:tabs>
          <w:tab w:val="clear" w:pos="720"/>
          <w:tab w:val="left" w:pos="567" w:leader="none"/>
        </w:tabs>
        <w:ind w:left="567" w:hanging="567"/>
        <w:rPr>
          <w:lang w:val="el-GR"/>
        </w:rPr>
      </w:pPr>
      <w:bookmarkStart w:id="10" w:name="_Toc129004400"/>
      <w:r>
        <w:rPr>
          <w:rFonts w:cs="Calibri" w:ascii="Calibri" w:hAnsi="Calibri"/>
          <w:lang w:val="el-GR"/>
        </w:rPr>
        <w:t>2.</w:t>
        <w:tab/>
        <w:t>ΓΕΝΙΚΟΙ ΚΑΙ ΕΙΔΙΚΟΙ ΟΡΟΙ ΣΥΜΜΕΤΟΧΗΣ</w:t>
      </w:r>
      <w:bookmarkEnd w:id="10"/>
    </w:p>
    <w:p>
      <w:pPr>
        <w:pStyle w:val="2"/>
        <w:rPr>
          <w:lang w:val="el-GR"/>
        </w:rPr>
      </w:pPr>
      <w:bookmarkStart w:id="11" w:name="_Toc129004401"/>
      <w:r>
        <w:rPr>
          <w:lang w:val="el-GR"/>
        </w:rPr>
        <w:t>2.1</w:t>
        <w:tab/>
        <w:t>Γενικές Πληροφορίες</w:t>
      </w:r>
      <w:bookmarkEnd w:id="11"/>
    </w:p>
    <w:p>
      <w:pPr>
        <w:pStyle w:val="3"/>
        <w:rPr>
          <w:lang w:val="el-GR"/>
        </w:rPr>
      </w:pPr>
      <w:bookmarkStart w:id="12" w:name="_Toc129004402"/>
      <w:r>
        <w:rPr>
          <w:lang w:val="el-GR"/>
        </w:rPr>
        <w:t>2.1.1</w:t>
        <w:tab/>
        <w:t>Έγγραφα της σύμβασης</w:t>
      </w:r>
      <w:bookmarkEnd w:id="12"/>
    </w:p>
    <w:p>
      <w:pPr>
        <w:pStyle w:val="Normal"/>
        <w:rPr>
          <w:lang w:val="el-GR"/>
        </w:rPr>
      </w:pPr>
      <w:r>
        <w:rPr>
          <w:lang w:val="el-GR"/>
        </w:rPr>
        <w:t>Τα έγγραφα της παρούσας διαδικασίας σύναψης,</w:t>
      </w:r>
      <w:r>
        <w:rPr>
          <w:rStyle w:val="Style19"/>
          <w:lang w:val="el-GR"/>
        </w:rPr>
        <w:footnoteReference w:id="31"/>
      </w:r>
      <w:r>
        <w:rPr>
          <w:lang w:val="el-GR"/>
        </w:rPr>
        <w:t xml:space="preserve">  είναι τα ακόλουθα:</w:t>
      </w:r>
      <w:r>
        <w:rPr>
          <w:color w:val="5B9BD5"/>
          <w:kern w:val="2"/>
          <w:lang w:val="el-GR"/>
        </w:rPr>
        <w:t xml:space="preserve"> </w:t>
      </w:r>
    </w:p>
    <w:p>
      <w:pPr>
        <w:pStyle w:val="Normal"/>
        <w:numPr>
          <w:ilvl w:val="0"/>
          <w:numId w:val="7"/>
        </w:numPr>
        <w:spacing w:before="0" w:after="40"/>
        <w:ind w:left="567" w:hanging="425"/>
        <w:rPr>
          <w:lang w:val="el-GR"/>
        </w:rPr>
      </w:pPr>
      <w:r>
        <w:rPr>
          <w:lang w:val="el-GR"/>
        </w:rPr>
        <w:t xml:space="preserve">η  Προκήρυξη της Σύμβασης , όπως αυτή έχει δημοσιευτεί </w:t>
      </w:r>
      <w:r>
        <w:rPr>
          <w:color w:val="5B9BD5"/>
          <w:kern w:val="2"/>
          <w:lang w:val="el-GR"/>
        </w:rPr>
        <w:t xml:space="preserve"> </w:t>
      </w:r>
    </w:p>
    <w:p>
      <w:pPr>
        <w:pStyle w:val="Normal"/>
        <w:numPr>
          <w:ilvl w:val="0"/>
          <w:numId w:val="7"/>
        </w:numPr>
        <w:ind w:left="567" w:hanging="425"/>
        <w:rPr>
          <w:lang w:val="el-GR"/>
        </w:rPr>
      </w:pPr>
      <w:r>
        <w:rPr>
          <w:lang w:val="el-GR"/>
        </w:rPr>
        <w:t xml:space="preserve">το  Ευρωπαϊκό Ενιαίο Έγγραφο Σύμβασης [ΕΕΕΣ] </w:t>
      </w:r>
    </w:p>
    <w:p>
      <w:pPr>
        <w:pStyle w:val="Normal"/>
        <w:numPr>
          <w:ilvl w:val="0"/>
          <w:numId w:val="7"/>
        </w:numPr>
        <w:ind w:left="567" w:hanging="425"/>
        <w:rPr>
          <w:lang w:val="el-GR"/>
        </w:rPr>
      </w:pPr>
      <w:r>
        <w:rPr>
          <w:lang w:val="el-GR"/>
        </w:rPr>
        <w:t xml:space="preserve">η παρούσα διακήρυξη </w:t>
      </w:r>
      <w:r>
        <w:rPr>
          <w:kern w:val="2"/>
          <w:lang w:val="el-GR"/>
        </w:rPr>
        <w:t>και τα παραρτήματά</w:t>
      </w:r>
      <w:r>
        <w:rPr>
          <w:color w:val="5B9BD5"/>
          <w:kern w:val="2"/>
          <w:lang w:val="el-GR"/>
        </w:rPr>
        <w:t xml:space="preserve"> </w:t>
      </w:r>
      <w:r>
        <w:rPr>
          <w:lang w:val="el-GR"/>
        </w:rPr>
        <w:t>της</w:t>
      </w:r>
    </w:p>
    <w:p>
      <w:pPr>
        <w:pStyle w:val="Normal"/>
        <w:numPr>
          <w:ilvl w:val="0"/>
          <w:numId w:val="7"/>
        </w:numPr>
        <w:ind w:left="567" w:hanging="425"/>
        <w:rPr>
          <w:lang w:val="el-GR"/>
        </w:rPr>
      </w:pPr>
      <w:r>
        <w:rPr>
          <w:lang w:val="el-GR"/>
        </w:rPr>
        <w:t>οι συμπληρωματικές πληροφορίες που τυχόν παρέχονται στο πλαίσιο της διαδικασίας, ιδίως σχετικά με τις προδιαγραφές και τα σχετικά δικαιολογητικά</w:t>
      </w:r>
    </w:p>
    <w:p>
      <w:pPr>
        <w:pStyle w:val="Normal"/>
        <w:numPr>
          <w:ilvl w:val="0"/>
          <w:numId w:val="7"/>
        </w:numPr>
        <w:ind w:left="567" w:hanging="425"/>
        <w:rPr>
          <w:lang w:val="el-GR"/>
        </w:rPr>
      </w:pPr>
      <w:r>
        <w:rPr>
          <w:lang w:val="el-GR"/>
        </w:rPr>
        <w:t>το σχέδιο της σύμβασης με τα Παραρτήματά της.</w:t>
      </w:r>
    </w:p>
    <w:p>
      <w:pPr>
        <w:pStyle w:val="3"/>
        <w:rPr>
          <w:lang w:val="el-GR"/>
        </w:rPr>
      </w:pPr>
      <w:bookmarkStart w:id="13" w:name="_Toc129004403"/>
      <w:r>
        <w:rPr>
          <w:lang w:val="el-GR"/>
        </w:rPr>
        <w:t>2.1.2</w:t>
        <w:tab/>
        <w:t>Επικοινωνία - Πρόσβαση στα έγγραφα της Σύμβασης</w:t>
      </w:r>
      <w:bookmarkEnd w:id="13"/>
    </w:p>
    <w:p>
      <w:pPr>
        <w:pStyle w:val="Normal"/>
        <w:rPr>
          <w:i/>
          <w:i/>
          <w:color w:val="5B9BD5"/>
          <w:lang w:val="el-GR"/>
        </w:rPr>
      </w:pPr>
      <w:r>
        <w:rPr>
          <w:lang w:val="el-GR"/>
        </w:rPr>
        <w:t>Όλες οι επικοινωνίες σε σχέση με τα βασικά στοιχεία της διαδικασίας σύναψης της σύμβασης, καθώς και όλες οι ανταλλαγές πληροφοριών, ιδίως η ηλεκτρονική υποβολή, εκτελούνται με τη χρήση της πλατφόρμας του Εθνικού Συστήματος Ηλεκτρονικών Δημοσίων Συμβάσεων (ΕΣΗΔΗΣ), η οποία είναι προσβάσιμη μέσω της Διαδικτυακής Πύλης (www.promitheus.gov.gr)</w:t>
      </w:r>
      <w:r>
        <w:rPr>
          <w:rStyle w:val="Style19"/>
          <w:lang w:val="el-GR"/>
        </w:rPr>
        <w:footnoteReference w:id="32"/>
      </w:r>
      <w:r>
        <w:rPr>
          <w:lang w:val="el-GR"/>
        </w:rPr>
        <w:t>.</w:t>
      </w:r>
    </w:p>
    <w:p>
      <w:pPr>
        <w:pStyle w:val="Normal"/>
        <w:rPr>
          <w:lang w:val="el-GR"/>
        </w:rPr>
      </w:pPr>
      <w:r>
        <w:rPr>
          <w:lang w:val="el-GR"/>
        </w:rPr>
        <w:t>Επιβάλλονται στους οικονομικούς φορείς οι κάτωθι απαιτήσεις με σκοπό την προστασία του εμπιστευτικού χαρακτήρα των πληροφοριών των ανωτέρω εγγράφων της σύμβασης :</w:t>
      </w:r>
    </w:p>
    <w:p>
      <w:pPr>
        <w:pStyle w:val="Normal"/>
        <w:rPr>
          <w:i/>
          <w:i/>
          <w:color w:val="5B9BD5"/>
          <w:lang w:val="el-GR"/>
        </w:rPr>
      </w:pPr>
      <w:r>
        <w:rPr>
          <w:lang w:val="el-GR"/>
        </w:rPr>
        <w:t xml:space="preserve"> </w:t>
      </w:r>
      <w:r>
        <w:rPr>
          <w:lang w:val="el-GR"/>
        </w:rPr>
        <w:t>Ο οικονομικός φορέας αναλαμβάνει την υποχρέωση να τηρήσει εμπιστευτικά και να μη γνωστοποιήσει σε τρίτους (συμπεριλαμβανομένων των εκπροσώπων του ελληνικού και διεθνούς Τύπου), χωρίς την προηγούμενη έγγραφη συγκατάθεση της Αναθέτουσας Αρχής, τα ανωτέρω έγγραφα ή πληροφορίες που προκύπτουν από αυτά. Οι οικονομικοί φορείς διασφαλίζουν την τήρηση των απαιτήσεων αυτών από το προσωπικό τους, τους υπεργολάβους τους και κάθε άλλο τρίτο πρόσωπο που χρησιμοποιούν κατά την ανάθεση ή εκτέλεση της σύμβασης. Για το σκοπό κατά την παραλαβή των εγγράφων της σύμβασης υποβάλλει υπεύθυνη δήλωση του ν. 1599/1986 με την οποία δηλώνει τα ανωτέρω.</w:t>
      </w:r>
      <w:r>
        <w:rPr>
          <w:rStyle w:val="Style19"/>
          <w:lang w:val="el-GR"/>
        </w:rPr>
        <w:footnoteReference w:id="33"/>
      </w:r>
    </w:p>
    <w:p>
      <w:pPr>
        <w:pStyle w:val="3"/>
        <w:rPr>
          <w:lang w:val="el-GR"/>
        </w:rPr>
      </w:pPr>
      <w:bookmarkStart w:id="14" w:name="_Toc129004404"/>
      <w:r>
        <w:rPr>
          <w:lang w:val="el-GR"/>
        </w:rPr>
        <w:t>2.1.3</w:t>
        <w:tab/>
        <w:t>Παροχή Διευκρινίσεων</w:t>
      </w:r>
      <w:bookmarkEnd w:id="14"/>
    </w:p>
    <w:p>
      <w:pPr>
        <w:pStyle w:val="Standard"/>
        <w:spacing w:lineRule="auto" w:line="276"/>
        <w:jc w:val="both"/>
        <w:rPr>
          <w:rFonts w:ascii="Calibri" w:hAnsi="Calibri" w:eastAsia="Times New Roman" w:cs="Calibri"/>
          <w:kern w:val="0"/>
          <w:sz w:val="22"/>
          <w:lang w:eastAsia="ar-SA" w:bidi="ar-SA"/>
        </w:rPr>
      </w:pPr>
      <w:r>
        <w:rPr>
          <w:rFonts w:eastAsia="Times New Roman" w:cs="Calibri" w:ascii="Calibri" w:hAnsi="Calibri"/>
          <w:kern w:val="0"/>
          <w:sz w:val="22"/>
          <w:lang w:eastAsia="ar-SA" w:bidi="ar-SA"/>
        </w:rPr>
        <w:t xml:space="preserve">Τα σχετικά αιτήματα παροχής διευκρινίσεων υποβάλλονται ηλεκτρονικά,  το αργότερο </w:t>
      </w:r>
      <w:r>
        <w:rPr>
          <w:rFonts w:eastAsia="Times New Roman" w:cs="Calibri" w:ascii="Calibri" w:hAnsi="Calibri"/>
          <w:b/>
          <w:bCs/>
          <w:kern w:val="0"/>
          <w:sz w:val="22"/>
          <w:lang w:eastAsia="ar-SA" w:bidi="ar-SA"/>
        </w:rPr>
        <w:t xml:space="preserve">επτά </w:t>
      </w:r>
      <w:r>
        <w:rPr>
          <w:rFonts w:eastAsia="Times New Roman" w:cs="Calibri" w:ascii="Calibri" w:hAnsi="Calibri"/>
          <w:kern w:val="0"/>
          <w:sz w:val="22"/>
          <w:lang w:eastAsia="ar-SA" w:bidi="ar-SA"/>
        </w:rPr>
        <w:t>(7)ημέρες πριν την καταληκτική ημερομηνία υποβολής προσφορών και απαντώνται αντίστοιχα, στο πλαίσιο της παρούσας, στη σχετική ηλεκτρονική διαδικασία σύναψης δημόσιας σύμβασης στην πλατφόρμα του ΕΣΗΔΗΣ, η οποία είναι προσβάσιμη μέσω της Διαδικτυακής Πύλης (</w:t>
      </w:r>
      <w:hyperlink r:id="rId5">
        <w:r>
          <w:rPr>
            <w:rFonts w:eastAsia="Times New Roman" w:cs="Calibri" w:ascii="Calibri" w:hAnsi="Calibri"/>
            <w:kern w:val="0"/>
            <w:sz w:val="22"/>
            <w:lang w:eastAsia="ar-SA" w:bidi="ar-SA"/>
          </w:rPr>
          <w:t>www.promitheus.gov.gr</w:t>
        </w:r>
      </w:hyperlink>
      <w:r>
        <w:rPr>
          <w:rFonts w:eastAsia="Times New Roman" w:cs="Calibri" w:ascii="Calibri" w:hAnsi="Calibri"/>
          <w:kern w:val="0"/>
          <w:sz w:val="22"/>
          <w:lang w:eastAsia="ar-SA" w:bidi="ar-SA"/>
        </w:rPr>
        <w:t>). Αιτήματα παροχής συμπληρωματικών πληροφοριών – διευκρινίσεων  υποβάλλονται από εγγεγραμμένους  στο σύστημα οικονομικούς φορείς, δηλαδή από εκείνους που διαθέτουν σχετικά</w:t>
      </w:r>
      <w:r>
        <w:rPr/>
        <w:t xml:space="preserve"> </w:t>
      </w:r>
      <w:r>
        <w:rPr>
          <w:rFonts w:eastAsia="Times New Roman" w:cs="Calibri" w:ascii="Calibri" w:hAnsi="Calibri"/>
          <w:kern w:val="0"/>
          <w:sz w:val="22"/>
          <w:lang w:eastAsia="ar-SA" w:bidi="ar-SA"/>
        </w:rPr>
        <w:t>διαπιστευτήρια που τους έχουν χορηγηθεί (όνομα χρήστη και κωδικό πρόσβασης) και απαραίτητα το ηλεκτρονικό αρχείο με το κείμενο των ερωτημάτων είναι ηλεκτρονικά υπογεγραμμένο</w:t>
      </w:r>
      <w:r>
        <w:rPr/>
        <w:t xml:space="preserve">. </w:t>
      </w:r>
      <w:r>
        <w:rPr>
          <w:rFonts w:eastAsia="Times New Roman" w:cs="Calibri" w:ascii="Calibri" w:hAnsi="Calibri"/>
          <w:kern w:val="0"/>
          <w:sz w:val="22"/>
          <w:lang w:eastAsia="ar-SA" w:bidi="ar-SA"/>
        </w:rPr>
        <w:t>Αιτήματα παροχής διευκρινίσεων που είτε υποβάλλονται με άλλον τρόπο, είτε το ηλεκτρονικό αρχείο που τα συνοδεύει δεν είναι ηλεκτρονικά υπογεγραμμένο, δεν εξετάζονται.</w:t>
      </w:r>
    </w:p>
    <w:p>
      <w:pPr>
        <w:pStyle w:val="Standard"/>
        <w:spacing w:lineRule="auto" w:line="276"/>
        <w:rPr>
          <w:b/>
          <w:b/>
          <w:bCs/>
          <w:i/>
          <w:i/>
          <w:iCs/>
          <w:color w:val="5B9BD5"/>
        </w:rPr>
      </w:pPr>
      <w:r>
        <w:rPr/>
        <w:t xml:space="preserve"> </w:t>
      </w:r>
    </w:p>
    <w:p>
      <w:pPr>
        <w:pStyle w:val="Normal"/>
        <w:rPr>
          <w:lang w:val="el-GR"/>
        </w:rPr>
      </w:pPr>
      <w:r>
        <w:rPr>
          <w:lang w:val="el-GR"/>
        </w:rPr>
        <w:t>Η αναθέτουσα αρχή παρατείνει την προθεσμία παραλαβής των προσφορών, ούτως ώστε όλοι οι ενδιαφερόμενοι οικονομικοί φορείς να μπορούν να λάβουν γνώση όλων των αναγκαίων πληροφοριών για την κατάρτιση των προσφορών στις ακόλουθες περιπτώσεις</w:t>
      </w:r>
      <w:r>
        <w:rPr>
          <w:rStyle w:val="Style19"/>
          <w:lang w:val="el-GR"/>
        </w:rPr>
        <w:footnoteReference w:id="34"/>
      </w:r>
      <w:r>
        <w:rPr>
          <w:lang w:val="el-GR"/>
        </w:rPr>
        <w:t>:</w:t>
      </w:r>
    </w:p>
    <w:p>
      <w:pPr>
        <w:pStyle w:val="Normal"/>
        <w:rPr>
          <w:lang w:val="el-GR"/>
        </w:rPr>
      </w:pPr>
      <w:r>
        <w:rPr>
          <w:lang w:val="el-GR"/>
        </w:rPr>
        <w:t>α) όταν, για οποιονδήποτε λόγο, πρόσθετες πληροφορίες, αν και ζητήθηκαν από τον οικονομικό φορέα έγκαιρα δεν έχουν παρασχεθεί το αργότερο τέσσερις (4) ημέρες πριν από την προθεσμία που ορίζεται για την παραλαβή των προσφορών,</w:t>
      </w:r>
    </w:p>
    <w:p>
      <w:pPr>
        <w:pStyle w:val="Normal"/>
        <w:rPr>
          <w:i/>
          <w:i/>
          <w:iCs/>
          <w:color w:val="5B9BD5"/>
          <w:lang w:val="el-GR"/>
        </w:rPr>
      </w:pPr>
      <w:r>
        <w:rPr>
          <w:lang w:val="el-GR"/>
        </w:rPr>
        <w:t xml:space="preserve">β) όταν τα έγγραφα της σύμβασης υφίστανται σημαντικές αλλαγές. </w:t>
      </w:r>
    </w:p>
    <w:p>
      <w:pPr>
        <w:pStyle w:val="Normal"/>
        <w:rPr>
          <w:lang w:val="el-GR"/>
        </w:rPr>
      </w:pPr>
      <w:r>
        <w:rPr>
          <w:lang w:val="el-GR"/>
        </w:rPr>
        <w:t>Η διάρκεια της παράτασης θα είναι ανάλογη με τη σπουδαιότητα των πληροφοριών που ζητήθηκαν ή των αλλαγών.</w:t>
      </w:r>
    </w:p>
    <w:p>
      <w:pPr>
        <w:pStyle w:val="Normal"/>
        <w:rPr>
          <w:lang w:val="el-GR"/>
        </w:rPr>
      </w:pPr>
      <w:r>
        <w:rPr>
          <w:lang w:val="el-GR"/>
        </w:rPr>
        <w:t>Όταν οι πρόσθετες πληροφορίες δεν έχουν ζητηθεί έγκαιρα ή δεν έχουν σημασία για την προετοιμασία κατάλληλων προσφορών, η παράταση της προθεσμίας εναπόκειται στη διακριτική ευχέρεια της αναθέτουσας αρχής.</w:t>
      </w:r>
    </w:p>
    <w:p>
      <w:pPr>
        <w:pStyle w:val="Normal"/>
        <w:rPr>
          <w:lang w:val="el-GR"/>
        </w:rPr>
      </w:pPr>
      <w:r>
        <w:rPr>
          <w:lang w:val="el-GR"/>
        </w:rPr>
        <w:t xml:space="preserve">Η αναθέτουσα αρχή, με ειδικά αιτιολογημένη απόφασή της, δύναται να παρατείνει την προθεσμία παραλαβής των προσφορών, τηρουμένων σε κάθε περίπτωση των αρχών της ίσης μεταχείρισης και της διαφάνειας. </w:t>
      </w:r>
    </w:p>
    <w:p>
      <w:pPr>
        <w:pStyle w:val="Normal"/>
        <w:rPr>
          <w:lang w:val="el-GR"/>
        </w:rPr>
      </w:pPr>
      <w:r>
        <w:rPr>
          <w:lang w:val="el-GR"/>
        </w:rPr>
        <w:t>Τροποποίηση των όρων της διαγωνιστικής διαδικασίας (πχ αλλαγή/μετάθεση της καταληκτικής ημερομηνίας υποβολής προσφορών, καθώς και σημαντικές αλλαγές των εγγράφων της σύμβασης, σύμφωνα με την προηγούμενη παράγραφο) δημοσιεύεται στο ΚΗΜΔΗΣ</w:t>
      </w:r>
      <w:r>
        <w:rPr>
          <w:rStyle w:val="Style19"/>
          <w:lang w:val="el-GR"/>
        </w:rPr>
        <w:footnoteReference w:id="35"/>
      </w:r>
      <w:r>
        <w:rPr>
          <w:lang w:val="el-GR"/>
        </w:rPr>
        <w:t xml:space="preserve">. </w:t>
      </w:r>
    </w:p>
    <w:p>
      <w:pPr>
        <w:pStyle w:val="3"/>
        <w:rPr>
          <w:lang w:val="el-GR"/>
        </w:rPr>
      </w:pPr>
      <w:bookmarkStart w:id="15" w:name="_Toc129004405"/>
      <w:r>
        <w:rPr>
          <w:lang w:val="el-GR"/>
        </w:rPr>
        <w:t>2.1.4</w:t>
        <w:tab/>
        <w:t>Γλώσσα</w:t>
      </w:r>
      <w:bookmarkEnd w:id="15"/>
    </w:p>
    <w:p>
      <w:pPr>
        <w:pStyle w:val="Normal"/>
        <w:rPr>
          <w:lang w:val="el-GR"/>
        </w:rPr>
      </w:pPr>
      <w:r>
        <w:rPr>
          <w:lang w:val="el-GR"/>
        </w:rPr>
        <w:t>Τα έγγραφα της σύμβασης έχουν συνταχθεί στην ελληνική γλώσσα . Σε περίπτωση ασυμφωνίας μεταξύ των τμημάτων των εγγράφων της σύμβασης που έχουν συνταχθεί σε περισσότερες γλώσσες, επικρατεί η ελληνική έκδοση.</w:t>
      </w:r>
      <w:r>
        <w:rPr>
          <w:rStyle w:val="Style19"/>
          <w:lang w:val="el-GR"/>
        </w:rPr>
        <w:footnoteReference w:id="36"/>
      </w:r>
    </w:p>
    <w:p>
      <w:pPr>
        <w:pStyle w:val="Normal"/>
        <w:rPr>
          <w:color w:val="000000"/>
          <w:lang w:val="el-GR"/>
        </w:rPr>
      </w:pPr>
      <w:r>
        <w:rPr>
          <w:lang w:val="el-GR"/>
        </w:rPr>
        <w:t>Τυχόν προδικαστικές προσφυγές υποβάλλονται στην ελληνική γλώσσα.</w:t>
      </w:r>
    </w:p>
    <w:p>
      <w:pPr>
        <w:pStyle w:val="Normal"/>
        <w:rPr>
          <w:color w:val="000000"/>
          <w:lang w:val="el-GR"/>
        </w:rPr>
      </w:pPr>
      <w:r>
        <w:rPr>
          <w:color w:val="000000"/>
          <w:lang w:val="el-GR"/>
        </w:rPr>
        <w:t xml:space="preserve">Οι </w:t>
      </w:r>
      <w:r>
        <w:rPr>
          <w:b/>
          <w:color w:val="000000"/>
          <w:u w:val="single"/>
          <w:lang w:val="el-GR"/>
        </w:rPr>
        <w:t>προσφορές,</w:t>
      </w:r>
      <w:r>
        <w:rPr>
          <w:color w:val="000000"/>
          <w:lang w:val="el-GR"/>
        </w:rPr>
        <w:t xml:space="preserve"> τα  στοιχεία που περιλαμβάνονται σε αυτές, καθώς και τα αποδεικτικά έγγραφα σχετικά με τη μη ύπαρξη λόγου αποκλεισμού και την πλήρωση των κριτηρίων ποιοτικής επιλογής</w:t>
      </w:r>
      <w:r>
        <w:rPr>
          <w:rStyle w:val="Style19"/>
          <w:color w:val="000000"/>
          <w:lang w:val="el-GR"/>
        </w:rPr>
        <w:footnoteReference w:id="37"/>
      </w:r>
      <w:r>
        <w:rPr>
          <w:color w:val="000000"/>
          <w:lang w:val="el-GR"/>
        </w:rPr>
        <w:t xml:space="preserve"> συντάσσονται στην ελληνική γλώσσα ή συνοδεύονται από επίσημη μετάφρασή τους στην ελληνική γλώσσα. </w:t>
      </w:r>
    </w:p>
    <w:p>
      <w:pPr>
        <w:pStyle w:val="Normal"/>
        <w:rPr>
          <w:color w:val="000000"/>
          <w:lang w:val="el-GR"/>
        </w:rPr>
      </w:pPr>
      <w:r>
        <w:rPr>
          <w:color w:val="000000"/>
          <w:lang w:val="el-GR"/>
        </w:rPr>
        <w:t xml:space="preserve">Τα αλλοδαπά δημόσια και ιδιωτικά έγγραφα συνοδεύονται από μετάφρασή τους στην ελληνική γλώσσα επικυρωμένη, είτε από πρόσωπο αρμόδιο κατά τις κείμενες διατάξεις της εθνικής νομοθεσίας είτε από πρόσωπο κατά νόμο αρμόδιο της χώρας στην οποία έχει συνταχθεί το έγγραφο. </w:t>
      </w:r>
    </w:p>
    <w:p>
      <w:pPr>
        <w:pStyle w:val="Normal"/>
        <w:rPr>
          <w:color w:val="000000"/>
          <w:lang w:val="el-GR"/>
        </w:rPr>
      </w:pPr>
      <w:r>
        <w:rPr>
          <w:i/>
          <w:iCs/>
          <w:color w:val="000000"/>
          <w:lang w:val="el-GR"/>
        </w:rPr>
        <w:t xml:space="preserve"> </w:t>
      </w:r>
      <w:r>
        <w:rPr>
          <w:iCs/>
          <w:color w:val="000000"/>
          <w:lang w:val="el-GR"/>
        </w:rPr>
        <w:t>Ενημερωτικά και τεχνικά φυλλάδια και άλλα έντυπα, εταιρικά ή μη, με ειδικό τεχνικό περιεχόμενο, δηλαδή έντυπα με αμιγώς τεχνικά χαρακτηριστικά, όπως αριθμούς, αποδόσεις σε διεθνείς μονάδες, μαθηματικούς τύπους και σχέδια, που είναι δυνατόν να διαβαστούν σε κάθε γλώσσα και δεν είναι απαραίτητη η μετάφραση τους, μπορούν να υποβάλλονται σε άλλη γλώσσα, χωρίς να συνοδεύονται από μετάφραση στην ελληνική</w:t>
      </w:r>
      <w:r>
        <w:rPr>
          <w:i/>
          <w:iCs/>
          <w:color w:val="000000"/>
          <w:lang w:val="el-GR"/>
        </w:rPr>
        <w:t xml:space="preserve">. </w:t>
      </w:r>
      <w:r>
        <w:rPr>
          <w:rStyle w:val="Style19"/>
          <w:color w:val="000000"/>
          <w:lang w:val="el-GR"/>
        </w:rPr>
        <w:footnoteReference w:id="38"/>
      </w:r>
      <w:r>
        <w:rPr>
          <w:rStyle w:val="FootnoteReference2"/>
          <w:color w:val="000000"/>
          <w:lang w:val="el-GR"/>
        </w:rPr>
        <w:t xml:space="preserve">. </w:t>
      </w:r>
    </w:p>
    <w:p>
      <w:pPr>
        <w:pStyle w:val="Normal"/>
        <w:rPr>
          <w:color w:val="000000"/>
          <w:lang w:val="el-GR"/>
        </w:rPr>
      </w:pPr>
      <w:r>
        <w:rPr>
          <w:color w:val="000000"/>
          <w:lang w:val="el-GR"/>
        </w:rPr>
        <w:t>Κάθε μορφής επικοινωνία με την αναθέτουσα αρχή, καθώς και μεταξύ αυτής και του αναδόχου, θα γίνονται υποχρεωτικά στην ελληνική γλώσσα</w:t>
      </w:r>
      <w:r>
        <w:rPr>
          <w:rStyle w:val="Style19"/>
          <w:color w:val="000000"/>
          <w:lang w:val="el-GR"/>
        </w:rPr>
        <w:footnoteReference w:id="39"/>
      </w:r>
      <w:r>
        <w:rPr>
          <w:color w:val="000000"/>
          <w:lang w:val="el-GR"/>
        </w:rPr>
        <w:t>.</w:t>
      </w:r>
    </w:p>
    <w:p>
      <w:pPr>
        <w:pStyle w:val="3"/>
        <w:rPr>
          <w:color w:val="000000"/>
          <w:lang w:val="el-GR"/>
        </w:rPr>
      </w:pPr>
      <w:bookmarkStart w:id="16" w:name="_Toc129004406"/>
      <w:r>
        <w:rPr>
          <w:lang w:val="el-GR"/>
        </w:rPr>
        <w:t>2.1.5</w:t>
        <w:tab/>
        <w:t>Εγγυήσεις</w:t>
      </w:r>
      <w:r>
        <w:rPr>
          <w:rStyle w:val="Style19"/>
          <w:color w:val="000000"/>
          <w:lang w:val="el-GR"/>
        </w:rPr>
        <w:footnoteReference w:id="40"/>
      </w:r>
      <w:bookmarkEnd w:id="16"/>
    </w:p>
    <w:p>
      <w:pPr>
        <w:pStyle w:val="Normal"/>
        <w:rPr>
          <w:color w:val="000000"/>
          <w:lang w:val="el-GR"/>
        </w:rPr>
      </w:pPr>
      <w:r>
        <w:rPr>
          <w:color w:val="000000"/>
          <w:lang w:val="el-GR"/>
        </w:rPr>
        <w:t>Οι εγγυητικές επιστολές των παραγράφων 2.2.2 και 4.1. εκδίδονται από πιστωτικά ιδρύματα ή χρηματοδοτικά ιδρύματα ή ασφαλιστικές επιχειρήσεις κατά την έννοια των περιπτώσεων β΄ και γ΄ της παρ. 1 του άρθρου 14 του ν. 4364/ 2016 (Α΄13)</w:t>
      </w:r>
      <w:r>
        <w:rPr>
          <w:rStyle w:val="Style19"/>
          <w:color w:val="000000"/>
          <w:lang w:val="el-GR"/>
        </w:rPr>
        <w:footnoteReference w:id="41"/>
      </w:r>
      <w:r>
        <w:rPr>
          <w:lang w:val="el-GR"/>
        </w:rPr>
        <w:t>,</w:t>
      </w:r>
      <w:r>
        <w:rPr>
          <w:color w:val="000000"/>
          <w:lang w:val="el-GR"/>
        </w:rPr>
        <w:t xml:space="preserve"> που λειτουργούν νόμιμα στα κράτη - μέλη της Ένωσης ή του Ευρωπαϊκού Οικονομικού Χώρου ή στα κράτη-μέρη της ΣΔΣ και έχουν, σύμφωνα με τις ισχύουσες διατάξεις, το δικαίωμα αυτό. Μπορούν, επίσης, να εκδίδονται από το Τ.Μ.Ε.Δ.Ε. ή να παρέχονται με γραμμάτιο του Ταμείου Παρακαταθηκών και Δανείων με παρακατάθεση σε αυτό του αντίστοιχου χρηματικού ποσού</w:t>
      </w:r>
      <w:r>
        <w:rPr>
          <w:rStyle w:val="Style19"/>
          <w:color w:val="000000"/>
          <w:lang w:val="el-GR"/>
        </w:rPr>
        <w:footnoteReference w:id="42"/>
      </w:r>
      <w:r>
        <w:rPr>
          <w:color w:val="000000"/>
          <w:lang w:val="el-GR"/>
        </w:rPr>
        <w:t>. Αν συσταθεί παρακαταθήκη με γραμμάτιο παρακατάθεσης χρεογράφων στο Ταμείο Παρακαταθηκών και  Δανείων, τα τοκομερίδια ή μερίσματα που λήγουν κατά τη διάρκεια της εγγύησης επιστρέφονται μετά τη λήξη τους στον υπέρ ου η εγγύηση οικονομικό φορέα.</w:t>
      </w:r>
    </w:p>
    <w:p>
      <w:pPr>
        <w:pStyle w:val="Normal"/>
        <w:rPr>
          <w:color w:val="000000"/>
          <w:lang w:val="el-GR"/>
        </w:rPr>
      </w:pPr>
      <w:r>
        <w:rPr>
          <w:color w:val="000000"/>
          <w:lang w:val="el-GR"/>
        </w:rPr>
        <w:t>Οι εγγυητικές επιστολές εκδίδονται κατ’ επιλογή των οικονομικών φορέων από έναν ή περισσότερους εκδότες της παραπάνω παραγράφου.</w:t>
      </w:r>
    </w:p>
    <w:p>
      <w:pPr>
        <w:pStyle w:val="Normal"/>
        <w:rPr>
          <w:color w:val="5B9BD5"/>
          <w:lang w:val="el-GR"/>
        </w:rPr>
      </w:pPr>
      <w:r>
        <w:rPr>
          <w:color w:val="000000"/>
          <w:lang w:val="el-GR"/>
        </w:rPr>
        <w:t>Οι εγγυήσεις αυτές περιλαμβάνουν κατ’ ελάχιστον τα ακόλουθα στοιχεία: α) την ημερομηνία έκδοσης, β) τον εκδότη, γ) την αναθέτουσα αρχή προς την οποία απευθύνονται, δ) τον αριθμό της εγγύησης, ε) το ποσό που καλύπτει η εγγύηση, στ) την πλήρη επωνυμία, τον Α.Φ.Μ. και τη διεύθυνση του οικονομικού φορέα υπέρ του οποίου εκδίδεται η εγγύηση (στην περίπτωση ένωσης αναγράφονται όλα τα παραπάνω για κάθε μέλος της ένωσης),  ζ) τους όρους ότι: αα) η εγγύηση παρέχεται ανέκκλητα και ανεπιφύλακτα, ο δε εκδότης παραιτείται του δικαιώματος της διαιρέσεως και της διζήσεως και  ββ) ότι σε περίπτωση κατάπτωσης αυτής, το ποσό της κατάπτωσης υπόκειται στο εκάστοτε ισχύον τέλος χαρτοσήμου, η) τα στοιχεία της σχετικής διακήρυξης και την καταληκτική ημερομηνία υποβολής προσφορών, θ) την ημερομηνία λήξης ή τον χρόνο ισχύος της εγγύησης, ι) την ανάληψη υποχρέωσης από τον εκδότη της εγγύησης να καταβάλει το ποσό της εγγύησης ολικά ή μερικά εντός πέντε (5) ημερών μετά από απλή έγγραφη ειδοποίηση εκείνου προς τον οποίο απευθύνεται και ια) στην περίπτωση των εγγυήσεων καλής εκτέλεσης και προκαταβολής, τον αριθμό και τον τίτλο της σχετικής σύμβασης</w:t>
      </w:r>
      <w:r>
        <w:rPr>
          <w:rStyle w:val="Style19"/>
          <w:color w:val="000000"/>
          <w:lang w:val="el-GR"/>
        </w:rPr>
        <w:footnoteReference w:id="43"/>
      </w:r>
      <w:r>
        <w:rPr>
          <w:color w:val="000000"/>
          <w:lang w:val="el-GR"/>
        </w:rPr>
        <w:t xml:space="preserve">. </w:t>
      </w:r>
    </w:p>
    <w:p>
      <w:pPr>
        <w:pStyle w:val="Normal"/>
        <w:rPr>
          <w:color w:val="000000"/>
          <w:lang w:val="el-GR"/>
        </w:rPr>
      </w:pPr>
      <w:r>
        <w:rPr>
          <w:color w:val="000000"/>
          <w:lang w:val="el-GR"/>
        </w:rPr>
        <w:t>Η περ. αα’ του προηγούμενου εδαφίου ζ΄ δεν εφαρμόζεται για τις εγγυήσεις που παρέχονται με γραμμάτιο του Ταμείου Παρακαταθηκών και Δανείων.</w:t>
      </w:r>
    </w:p>
    <w:p>
      <w:pPr>
        <w:pStyle w:val="Normal"/>
        <w:spacing w:before="0" w:after="0"/>
        <w:rPr>
          <w:color w:val="000000"/>
          <w:lang w:val="el-GR"/>
        </w:rPr>
      </w:pPr>
      <w:r>
        <w:rPr>
          <w:color w:val="000000"/>
          <w:lang w:val="el-GR"/>
        </w:rPr>
        <w:t>Η αναθέτουσα αρχή επικοινωνεί με τους εκδότες των εγγυητικών επιστολών, προκειμένου να διαπιστώσει την εγκυρότητά τους.</w:t>
      </w:r>
    </w:p>
    <w:p>
      <w:pPr>
        <w:pStyle w:val="3"/>
        <w:rPr>
          <w:lang w:val="el-GR"/>
        </w:rPr>
      </w:pPr>
      <w:bookmarkStart w:id="17" w:name="_Toc129004407"/>
      <w:r>
        <w:rPr>
          <w:lang w:val="el-GR"/>
        </w:rPr>
        <w:t>2.1.6</w:t>
        <w:tab/>
        <w:t>Προστασία Προσωπικών Δεδομένων</w:t>
      </w:r>
      <w:bookmarkEnd w:id="17"/>
    </w:p>
    <w:p>
      <w:pPr>
        <w:pStyle w:val="Normal"/>
        <w:rPr>
          <w:color w:val="000000"/>
          <w:lang w:val="el-GR"/>
        </w:rPr>
      </w:pPr>
      <w:r>
        <w:rPr>
          <w:color w:val="000000"/>
          <w:lang w:val="el-GR"/>
        </w:rPr>
        <w:t>Η αναθέτουσα αρχή ενημερώνει το φυσικό πρόσωπο που υπογράφει την προσφορά ως Προσφέρων ή ως Νόμιμος Εκπρόσωπος Προσφέροντος, ότι η ίδια ή και τρίτοι, κατ’ εντολή και για λογαριασμό της, θα επεξεργάζονται προσωπικά δεδομένα που περιέχονται στους φακέλους της προσφοράς και τα αποδεικτικά μέσα τα οποία υποβάλλονται σε αυτήν, στο πλαίσιο του παρόντος Διαγωνισμού, για τον σκοπό της αξιολόγησης των προσφορών και της ενημέρωσης έτερων συμμετεχόντων σε αυτόν, λαμβάνοντας κάθε εύλογο μέτρο για τη διασφάλιση του απόρρητου και της ασφάλειας της επεξεργασίας των δεδομένων και της προστασίας τους από κάθε μορφής αθέμιτη επεξεργασία, σύμφωνα με τις διατάξεις της κείμενης νομοθεσίας περί προστασίας προσωπικών δεδομένων, κατά τα αναλυτικώς αναφερόμενα στην αναλυτική ενημέρωση που επισυνάπτεται στην παρούσα.</w:t>
      </w:r>
    </w:p>
    <w:p>
      <w:pPr>
        <w:pStyle w:val="2"/>
        <w:rPr>
          <w:lang w:val="el-GR"/>
        </w:rPr>
      </w:pPr>
      <w:bookmarkStart w:id="18" w:name="_Toc129004408"/>
      <w:r>
        <w:rPr>
          <w:lang w:val="el-GR"/>
        </w:rPr>
        <w:t>2.2</w:t>
        <w:tab/>
        <w:t>Δικαίωμα Συμμετοχής - Κριτήρια Ποιοτικής Επιλογής</w:t>
      </w:r>
      <w:bookmarkEnd w:id="18"/>
    </w:p>
    <w:p>
      <w:pPr>
        <w:pStyle w:val="3"/>
        <w:rPr>
          <w:lang w:val="el-GR"/>
        </w:rPr>
      </w:pPr>
      <w:bookmarkStart w:id="19" w:name="_Toc129004409"/>
      <w:r>
        <w:rPr>
          <w:lang w:val="el-GR"/>
        </w:rPr>
        <w:t>2.2.1</w:t>
        <w:tab/>
        <w:t>Δικαίωμα συμμετοχής</w:t>
      </w:r>
      <w:bookmarkEnd w:id="19"/>
      <w:r>
        <w:rPr>
          <w:lang w:val="el-GR"/>
        </w:rPr>
        <w:t xml:space="preserve"> </w:t>
      </w:r>
    </w:p>
    <w:p>
      <w:pPr>
        <w:pStyle w:val="Normal"/>
        <w:rPr>
          <w:lang w:val="el-GR"/>
        </w:rPr>
      </w:pPr>
      <w:r>
        <w:rPr>
          <w:rFonts w:cs="Times New Roman" w:ascii="Arial" w:hAnsi="Arial"/>
          <w:b/>
          <w:bCs/>
          <w:szCs w:val="26"/>
          <w:lang w:val="el-GR"/>
        </w:rPr>
        <w:t>1</w:t>
      </w:r>
      <w:r>
        <w:rPr>
          <w:b/>
          <w:bCs/>
          <w:lang w:val="el-GR"/>
        </w:rPr>
        <w:t xml:space="preserve">. </w:t>
      </w:r>
      <w:r>
        <w:rPr>
          <w:lang w:val="el-GR"/>
        </w:rPr>
        <w:t>Δικαίωμα συμμετοχής στη διαδικασία σύναψης της παρούσας σύμβασης έχουν φυσικά ή νομικά πρόσωπα και, σε περίπτωση ενώσεων οικονομικών φορέων, τα μέλη αυτών, που είναι εγκατεστημένα σε:</w:t>
      </w:r>
    </w:p>
    <w:p>
      <w:pPr>
        <w:pStyle w:val="Normal"/>
        <w:rPr>
          <w:lang w:val="el-GR"/>
        </w:rPr>
      </w:pPr>
      <w:r>
        <w:rPr>
          <w:lang w:val="el-GR"/>
        </w:rPr>
        <w:t>α) κράτος-μέλος της Ένωσης,</w:t>
      </w:r>
    </w:p>
    <w:p>
      <w:pPr>
        <w:pStyle w:val="Normal"/>
        <w:rPr>
          <w:lang w:val="el-GR"/>
        </w:rPr>
      </w:pPr>
      <w:r>
        <w:rPr>
          <w:lang w:val="el-GR"/>
        </w:rPr>
        <w:t>β) κράτος-μέλος του Ευρωπαϊκού Οικονομικού Χώρου (Ε.Ο.Χ.),</w:t>
      </w:r>
    </w:p>
    <w:p>
      <w:pPr>
        <w:pStyle w:val="Normal"/>
        <w:rPr>
          <w:lang w:val="el-GR"/>
        </w:rPr>
      </w:pPr>
      <w:r>
        <w:rPr>
          <w:lang w:val="el-GR"/>
        </w:rPr>
        <w:t>γ) τρίτες χώρες που έχουν υπογράψει και κυρώσει τη ΣΔΣ</w:t>
      </w:r>
      <w:r>
        <w:rPr>
          <w:rStyle w:val="Style19"/>
          <w:lang w:val="el-GR"/>
        </w:rPr>
        <w:footnoteReference w:id="44"/>
      </w:r>
      <w:r>
        <w:rPr>
          <w:lang w:val="el-GR"/>
        </w:rPr>
        <w:t xml:space="preserve">, στον βαθμό που η υπό ανάθεση δημόσια σύμβαση καλύπτεται από τα Παραρτήματα 1, 2, 4, </w:t>
      </w:r>
      <w:r>
        <w:rPr>
          <w:lang w:val="el-GR" w:eastAsia="zh-CN"/>
        </w:rPr>
        <w:t>5, 6 και 7</w:t>
      </w:r>
      <w:r>
        <w:rPr>
          <w:rStyle w:val="Style19"/>
          <w:vertAlign w:val="superscript"/>
          <w:lang w:val="el-GR" w:eastAsia="zh-CN"/>
        </w:rPr>
        <w:footnoteReference w:id="45"/>
      </w:r>
      <w:r>
        <w:rPr>
          <w:lang w:val="el-GR" w:eastAsia="zh-CN"/>
        </w:rPr>
        <w:t xml:space="preserve"> </w:t>
      </w:r>
      <w:r>
        <w:rPr>
          <w:lang w:val="el-GR"/>
        </w:rPr>
        <w:t xml:space="preserve">και τις γενικές σημειώσεις του σχετικού με την Ένωση Προσαρτήματος </w:t>
      </w:r>
      <w:r>
        <w:rPr/>
        <w:t>I</w:t>
      </w:r>
      <w:r>
        <w:rPr>
          <w:lang w:val="el-GR"/>
        </w:rPr>
        <w:t xml:space="preserve"> της ως άνω Συμφωνίας, καθώς και </w:t>
      </w:r>
    </w:p>
    <w:p>
      <w:pPr>
        <w:pStyle w:val="Normal"/>
        <w:rPr>
          <w:lang w:val="el-GR"/>
        </w:rPr>
      </w:pPr>
      <w:r>
        <w:rPr>
          <w:lang w:val="el-GR"/>
        </w:rPr>
        <w:t>δ) σε τρίτες χώρες που δεν εμπίπτουν στην περίπτωση γ΄ της παρούσας παραγράφου και έχουν συνάψει διμερείς ή πολυμερείς συμφωνίες με την Ένωση σε θέματα διαδικασιών ανάθεσης δημοσίων συμβάσεων</w:t>
      </w:r>
      <w:r>
        <w:rPr>
          <w:rStyle w:val="Style19"/>
          <w:lang w:val="el-GR"/>
        </w:rPr>
        <w:footnoteReference w:id="46"/>
      </w:r>
      <w:r>
        <w:rPr>
          <w:lang w:val="el-GR"/>
        </w:rPr>
        <w:t>.</w:t>
      </w:r>
    </w:p>
    <w:p>
      <w:pPr>
        <w:pStyle w:val="Normal"/>
        <w:rPr>
          <w:lang w:val="el-GR"/>
        </w:rPr>
      </w:pPr>
      <w:r>
        <w:rPr>
          <w:lang w:val="el-GR"/>
        </w:rPr>
        <w:t>Στον βαθμό που καλύπτονται από τα Παραρτήματα 1, 2, 4 και 5, 6 και 7 και τις γενικές σημειώσεις του σχετικού με την Ένωση Προσαρτήματος I της ΣΔΣ, καθώς και τις λοιπές διεθνείς συμφωνίες από τις οποίες δεσμεύεται η Ένωση, οι αναθέτουσες αρχές επιφυλάσσουν για τα έργα, τα αγαθά, τις υπηρεσίες και τους οικονομικούς φορείς των χωρών που έχουν υπογράψει τις εν λόγω συμφωνίες μεταχείριση εξίσου ευνοϊκή με αυτήν που επιφυλάσσουν για τα έργα, τα αγαθά, τις υπηρεσίες και τους οικονομικούς φορείς της Ένωσης</w:t>
      </w:r>
      <w:r>
        <w:rPr>
          <w:rStyle w:val="Style19"/>
          <w:lang w:val="el-GR"/>
        </w:rPr>
        <w:footnoteReference w:id="47"/>
      </w:r>
    </w:p>
    <w:p>
      <w:pPr>
        <w:pStyle w:val="Style34"/>
        <w:rPr>
          <w:lang w:val="el-GR"/>
        </w:rPr>
      </w:pPr>
      <w:r>
        <w:rPr>
          <w:b/>
          <w:szCs w:val="22"/>
          <w:lang w:val="el-GR"/>
        </w:rPr>
        <w:t xml:space="preserve">2. </w:t>
      </w:r>
      <w:r>
        <w:rPr>
          <w:szCs w:val="22"/>
          <w:lang w:val="el-GR"/>
        </w:rPr>
        <w:t>Οικονομικός φορέας συμμετέχει είτε μεμονωμένα είτε ως μέλος ένωσης</w:t>
      </w:r>
      <w:r>
        <w:rPr>
          <w:rFonts w:ascii="Cambria" w:hAnsi="Cambria"/>
          <w:szCs w:val="22"/>
          <w:lang w:val="el-GR"/>
        </w:rPr>
        <w:t xml:space="preserve">. </w:t>
      </w:r>
      <w:r>
        <w:rPr>
          <w:lang w:val="el-GR"/>
        </w:rPr>
        <w:t>Οι ενώσεις οικονομικών φορέων, συμπεριλαμβανομένων και των προσωρινών συμπράξεων, δεν απαιτείται να περιβληθούν συγκεκριμένη νομική μορφή για την υποβολή προσφοράς. Η αναθέτουσα αρχή  μπορεί να απαιτήσει από τις ενώσεις οικονομικών φορέων να περιβληθούν συγκεκριμένη νομική μορφή, εφόσον τους ανατεθεί η σύμβαση.</w:t>
      </w:r>
    </w:p>
    <w:p>
      <w:pPr>
        <w:pStyle w:val="Style34"/>
        <w:rPr>
          <w:lang w:val="el-GR"/>
        </w:rPr>
      </w:pPr>
      <w:r>
        <w:rPr>
          <w:lang w:val="el-GR"/>
        </w:rPr>
        <w:t>Στις περιπτώσεις υποβολής προσφοράς από ένωση οικονομικών φορέων, όλα τα μέλη της ευθύνονται έναντι της αναθέτουσας αρχής αλληλεγγύως και εις ολόκληρον</w:t>
      </w:r>
      <w:r>
        <w:rPr>
          <w:rStyle w:val="Style19"/>
          <w:vertAlign w:val="superscript"/>
        </w:rPr>
        <w:footnoteReference w:id="48"/>
      </w:r>
      <w:r>
        <w:rPr>
          <w:vertAlign w:val="superscript"/>
          <w:lang w:val="el-GR"/>
        </w:rPr>
        <w:t>.</w:t>
      </w:r>
      <w:r>
        <w:rPr>
          <w:lang w:val="el-GR"/>
        </w:rPr>
        <w:t xml:space="preserve">  </w:t>
      </w:r>
    </w:p>
    <w:p>
      <w:pPr>
        <w:pStyle w:val="3"/>
        <w:rPr>
          <w:lang w:val="el-GR"/>
        </w:rPr>
      </w:pPr>
      <w:bookmarkStart w:id="20" w:name="_Toc129004410"/>
      <w:r>
        <w:rPr>
          <w:lang w:val="el-GR"/>
        </w:rPr>
        <w:t>2.2.2</w:t>
        <w:tab/>
        <w:t>Εγγύηση συμμετοχής</w:t>
      </w:r>
      <w:r>
        <w:rPr>
          <w:rStyle w:val="Style19"/>
          <w:lang w:val="el-GR"/>
        </w:rPr>
        <w:footnoteReference w:id="49"/>
      </w:r>
      <w:bookmarkEnd w:id="20"/>
    </w:p>
    <w:p>
      <w:pPr>
        <w:pStyle w:val="Normal"/>
        <w:rPr>
          <w:lang w:val="el-GR"/>
        </w:rPr>
      </w:pPr>
      <w:r>
        <w:rPr>
          <w:b/>
          <w:bCs/>
          <w:lang w:val="el-GR"/>
        </w:rPr>
        <w:t xml:space="preserve">2.2.2.1. </w:t>
      </w:r>
      <w:r>
        <w:rPr>
          <w:lang w:val="el-GR"/>
        </w:rPr>
        <w:t>Για την έγκυρη συμμετοχή στη διαδικασία σύναψης της παρούσας σύμβασης, κατατίθεται από τους συμμετέχοντες οικονομικούς φορείς (προσφέροντες),  εγγυητική επιστολή συμμετοχής</w:t>
      </w:r>
      <w:r>
        <w:rPr>
          <w:rStyle w:val="Style19"/>
          <w:szCs w:val="22"/>
        </w:rPr>
        <w:footnoteReference w:id="50"/>
      </w:r>
      <w:r>
        <w:rPr>
          <w:lang w:val="el-GR"/>
        </w:rPr>
        <w:t xml:space="preserve">, ποσού </w:t>
      </w:r>
      <w:r>
        <w:rPr>
          <w:b/>
          <w:bCs/>
          <w:lang w:val="en-US"/>
        </w:rPr>
        <w:t>340</w:t>
      </w:r>
      <w:r>
        <w:rPr>
          <w:b/>
          <w:bCs/>
          <w:lang w:val="el-GR"/>
        </w:rPr>
        <w:t>,00</w:t>
      </w:r>
      <w:r>
        <w:rPr>
          <w:lang w:val="el-GR"/>
        </w:rPr>
        <w:t xml:space="preserve"> ευρώ</w:t>
      </w:r>
      <w:r>
        <w:rPr>
          <w:rStyle w:val="Style19"/>
          <w:szCs w:val="22"/>
        </w:rPr>
        <w:footnoteReference w:id="51"/>
      </w:r>
      <w:r>
        <w:rPr>
          <w:lang w:val="el-GR"/>
        </w:rPr>
        <w:t xml:space="preserve">. </w:t>
      </w:r>
    </w:p>
    <w:p>
      <w:pPr>
        <w:pStyle w:val="Normal"/>
        <w:rPr>
          <w:bCs/>
          <w:lang w:val="el-GR"/>
        </w:rPr>
      </w:pPr>
      <w:r>
        <w:rPr>
          <w:lang w:val="el-GR"/>
        </w:rPr>
        <w:t>Στην περίπτωση ένωσης οικονομικών φορέων, η εγγύηση συμμετοχής περιλαμβάνει και τον όρο ότι η εγγύηση καλύπτει τις υποχρεώσεις όλων των οικονομικών φορέων που συμμετέχουν στην ένωση.</w:t>
      </w:r>
    </w:p>
    <w:p>
      <w:pPr>
        <w:pStyle w:val="Normal"/>
        <w:rPr>
          <w:bCs/>
          <w:lang w:val="el-GR"/>
        </w:rPr>
      </w:pPr>
      <w:r>
        <w:rPr>
          <w:bCs/>
          <w:lang w:val="el-GR"/>
        </w:rPr>
        <w:t xml:space="preserve">Η εγγύηση συμμετοχής πρέπει να ισχύει τουλάχιστον για τριάντα (30) ημέρες μετά τη λήξη του χρόνου ισχύος της προσφοράς του άρθρου 2.4.5 της παρούσας, ήτοι μέχρι </w:t>
      </w:r>
      <w:r>
        <w:rPr>
          <w:bCs/>
          <w:lang w:val="en-US"/>
        </w:rPr>
        <w:t>25/07/2024</w:t>
      </w:r>
      <w:r>
        <w:rPr>
          <w:bCs/>
          <w:lang w:val="el-GR"/>
        </w:rPr>
        <w:t>, άλλως η προσφορά απορρίπτεται. Η αναθέτουσα αρχή μπορεί, πριν από τη λήξη της προσφοράς, να ζητά από τους προσφέροντες να παρατείνουν, πριν τη λήξη τους, τη διάρκεια ισχύος της προσφοράς και της εγγύησης συμμετοχής.</w:t>
      </w:r>
    </w:p>
    <w:p>
      <w:pPr>
        <w:pStyle w:val="Normal"/>
        <w:rPr>
          <w:bCs/>
          <w:lang w:val="el-GR"/>
        </w:rPr>
      </w:pPr>
      <w:r>
        <w:rPr>
          <w:bCs/>
          <w:lang w:val="el-GR"/>
        </w:rPr>
        <w:t xml:space="preserve">Οι πρωτότυπες εγγυήσεις συμμετοχής, πλην των εγγυήσεων που εκδίδονται ηλεκτρονικά, προσκομίζονται, σε κλειστό φάκελο με ευθύνη του οικονομικού φορέα, το αργότερο πριν την ημερομηνία και ώρα αποσφράγισης των προσφορών που ορίζεται στην παρ. 3.1 της παρούσας, άλλως η προσφορά απορρίπτεται ως απαράδεκτη, μετά από γνώμη της Επιτροπής Διαγωνισμού. </w:t>
      </w:r>
    </w:p>
    <w:p>
      <w:pPr>
        <w:pStyle w:val="Normal"/>
        <w:rPr>
          <w:bCs/>
          <w:lang w:val="el-GR"/>
        </w:rPr>
      </w:pPr>
      <w:r>
        <w:rPr>
          <w:b/>
          <w:bCs/>
          <w:lang w:val="el-GR"/>
        </w:rPr>
        <w:t>2.2.2.2.</w:t>
      </w:r>
      <w:r>
        <w:rPr>
          <w:b/>
          <w:lang w:val="el-GR"/>
        </w:rPr>
        <w:t xml:space="preserve"> </w:t>
      </w:r>
      <w:r>
        <w:rPr>
          <w:lang w:val="el-GR"/>
        </w:rPr>
        <w:t xml:space="preserve">Η εγγύηση συμμετοχής επιστρέφεται στον ανάδοχο με την προσκόμιση της εγγύησης καλής </w:t>
      </w:r>
      <w:r>
        <w:rPr>
          <w:bCs/>
          <w:lang w:val="el-GR"/>
        </w:rPr>
        <w:t xml:space="preserve">εκτέλεσης. </w:t>
      </w:r>
    </w:p>
    <w:p>
      <w:pPr>
        <w:pStyle w:val="Normal"/>
        <w:rPr>
          <w:b/>
          <w:b/>
          <w:lang w:val="el-GR"/>
        </w:rPr>
      </w:pPr>
      <w:r>
        <w:rPr>
          <w:bCs/>
          <w:lang w:val="el-GR"/>
        </w:rPr>
        <w:t>Η εγγύηση συμμετοχής επιστρέφεται στους λοιπούς προσφέροντες, σύμφωνα με τα ειδικότερα οριζόμενα στην παρ. 3 του άρθρου 72 του ν. 4412/2016</w:t>
      </w:r>
      <w:r>
        <w:rPr>
          <w:rStyle w:val="Style19"/>
          <w:bCs/>
        </w:rPr>
        <w:footnoteReference w:id="52"/>
      </w:r>
      <w:r>
        <w:rPr>
          <w:bCs/>
          <w:lang w:val="el-GR"/>
        </w:rPr>
        <w:t>.</w:t>
      </w:r>
    </w:p>
    <w:p>
      <w:pPr>
        <w:pStyle w:val="Normal"/>
        <w:rPr>
          <w:lang w:val="el-GR"/>
        </w:rPr>
      </w:pPr>
      <w:r>
        <w:rPr>
          <w:b/>
          <w:lang w:val="el-GR"/>
        </w:rPr>
        <w:t>2.2.2.3.</w:t>
      </w:r>
      <w:r>
        <w:rPr>
          <w:lang w:val="el-GR"/>
        </w:rPr>
        <w:t xml:space="preserve"> Η εγγύηση συμμετοχής καταπίπτει εάν ο προσφέρων: α) αποσύρει την προσφορά του κατά τη διάρκεια ισχύος αυτής, β) παρέχει, εν γνώσει του, ψευδή στοιχεία ή πληροφορίες που αναφέρονται στις παραγράφους 2.2.3 έως 2.2.8 , γ) δεν προσκομίσει εγκαίρως τα προβλεπόμενα από την παρούσα δικαιολογητικά (παράγραφοι 2.2.9 και 3.2), δ) δεν προσέλθει εγκαίρως για υπογραφή του συμφωνητικού, ε) υποβάλει μη κατάλληλη προσφορά, με την έννοια της περ. 46 της παρ. 1 του άρθρου 2 του ν. 4412/2016, στ) δεν ανταποκριθεί στη σχετική πρόσκληση της αναθέτουσας αρχής να εξηγήσει την τιμή ή το κόστος της προσφοράς του εντός της τεθείσας προθεσμίας και η προσφορά του απορριφθεί</w:t>
      </w:r>
      <w:r>
        <w:rPr>
          <w:rStyle w:val="Style19"/>
          <w:vertAlign w:val="superscript"/>
        </w:rPr>
        <w:footnoteReference w:id="53"/>
      </w:r>
      <w:r>
        <w:rPr>
          <w:lang w:val="el-GR"/>
        </w:rPr>
        <w:t>, ζ) στις περιπτώσεις των παρ. 3, 4 και 5 του άρθρου 103 του ν. 4412/2016, περί πρόσκλησης για υποβολή δικαιολογητικών από τον προσωρινό ανάδοχο, αν, κατά τον έλεγχο των παραπάνω δικαιολογητικών, σύμφωνα με τις παραγράφους 3.2 και 3.4 της παρούσας, διαπιστωθεί ότι τα στοιχεία που δηλώθηκαν στο ΕΕΕΣ είναι εκ προθέσεως απατηλά, ή ότι έχουν υποβληθεί πλαστά αποδεικτικά στοιχεία, ή αν, από τα παραπάνω δικαιολογητικά που προσκομίσθηκαν νομίμως και εμπροθέσμως, δεν αποδεικνύεται η μη συνδρομή των λόγων αποκλεισμού της παραγράφου 2.2.3 ή η πλήρωση μιας ή περισσότερων από τις απαιτήσεις των κριτηρίων ποιοτικής επιλογής.</w:t>
      </w:r>
    </w:p>
    <w:p>
      <w:pPr>
        <w:pStyle w:val="3"/>
        <w:spacing w:before="120" w:after="60"/>
        <w:rPr>
          <w:lang w:val="el-GR"/>
        </w:rPr>
      </w:pPr>
      <w:bookmarkStart w:id="21" w:name="_Toc129004411"/>
      <w:r>
        <w:rPr>
          <w:lang w:val="el-GR"/>
        </w:rPr>
        <w:t>2.2.3</w:t>
        <w:tab/>
        <w:t>Λόγοι αποκλεισμού</w:t>
      </w:r>
      <w:r>
        <w:rPr>
          <w:rStyle w:val="Style19"/>
          <w:lang w:val="el-GR"/>
        </w:rPr>
        <w:footnoteReference w:id="54"/>
      </w:r>
      <w:bookmarkEnd w:id="21"/>
      <w:r>
        <w:rPr>
          <w:lang w:val="el-GR"/>
        </w:rPr>
        <w:t xml:space="preserve"> </w:t>
      </w:r>
    </w:p>
    <w:p>
      <w:pPr>
        <w:pStyle w:val="Normal"/>
        <w:spacing w:before="120" w:after="120"/>
        <w:rPr>
          <w:b/>
          <w:b/>
          <w:bCs/>
          <w:lang w:val="el-GR"/>
        </w:rPr>
      </w:pPr>
      <w:r>
        <w:rPr>
          <w:lang w:val="el-GR"/>
        </w:rPr>
        <w:t>Αποκλείεται από τη συμμετοχή στην παρούσα διαδικασία σύναψης σύμβασης (διαγωνισμό) οικονομικός φορέας, εφόσον συντρέχει στο πρόσωπό του (εάν πρόκειται για μεμονωμένο φυσικό ή νομικό πρόσωπο) ή σε ένα από τα μέλη του (εάν πρόκειται για ένωση οικονομικών φορέων) ένας ή περισσότεροι από τους ακόλουθους λόγους:</w:t>
      </w:r>
    </w:p>
    <w:p>
      <w:pPr>
        <w:pStyle w:val="Normal"/>
        <w:rPr>
          <w:lang w:val="el-GR"/>
        </w:rPr>
      </w:pPr>
      <w:r>
        <w:rPr>
          <w:b/>
          <w:bCs/>
          <w:lang w:val="el-GR"/>
        </w:rPr>
        <w:t xml:space="preserve">2.2.3.1. </w:t>
      </w:r>
      <w:r>
        <w:rPr>
          <w:lang w:val="el-GR"/>
        </w:rPr>
        <w:t xml:space="preserve"> Όταν υπάρχει σε βάρος του αμετάκλητη</w:t>
      </w:r>
      <w:r>
        <w:rPr>
          <w:rStyle w:val="Style19"/>
          <w:szCs w:val="22"/>
          <w:lang w:val="el-GR"/>
        </w:rPr>
        <w:footnoteReference w:id="55"/>
      </w:r>
      <w:r>
        <w:rPr>
          <w:lang w:val="el-GR"/>
        </w:rPr>
        <w:t xml:space="preserve"> καταδικαστική απόφαση για ένα από τα ακόλουθα εγκλήματα: </w:t>
      </w:r>
    </w:p>
    <w:p>
      <w:pPr>
        <w:pStyle w:val="Normal"/>
        <w:rPr>
          <w:lang w:val="el-GR"/>
        </w:rPr>
      </w:pPr>
      <w:r>
        <w:rPr>
          <w:lang w:val="el-GR"/>
        </w:rPr>
        <w:t xml:space="preserve">α) συμμετοχή σε εγκληματική οργάνωση, όπως αυτή ορίζεται στο άρθρο 2 της απόφασης-πλαίσιο 2008/841/ΔΕΥ του Συμβουλίου της 24ης Οκτωβρίου 2008, για την καταπολέμηση του οργανωμένου εγκλήματος (ΕΕ </w:t>
      </w:r>
      <w:r>
        <w:rPr/>
        <w:t>L</w:t>
      </w:r>
      <w:r>
        <w:rPr>
          <w:lang w:val="el-GR"/>
        </w:rPr>
        <w:t xml:space="preserve"> 300 της 11.11.2008 σ.42), και τα εγκλήματα του άρθρου 187 του Ποινικού Κώδικα (εγκληματική οργάνωση),</w:t>
      </w:r>
    </w:p>
    <w:p>
      <w:pPr>
        <w:pStyle w:val="Normal"/>
        <w:rPr>
          <w:lang w:val="el-GR"/>
        </w:rPr>
      </w:pPr>
      <w:r>
        <w:rPr>
          <w:lang w:val="el-GR"/>
        </w:rPr>
        <w:t xml:space="preserve">β) ενεργητική δωροδοκία, όπως ορίζεται στο άρθρο 3 της σύμβασης περί της καταπολέμησης της δωροδοκίας στην οποία ενέχονται υπάλληλοι των Ευρωπαϊκών Κοινοτήτων ή των κρατών-μελών της Ένωσης (ΕΕ </w:t>
      </w:r>
      <w:r>
        <w:rPr/>
        <w:t>C</w:t>
      </w:r>
      <w:r>
        <w:rPr>
          <w:lang w:val="el-GR"/>
        </w:rPr>
        <w:t xml:space="preserve"> 195 της 25.6.1997, σ. 1) και στην παρ. 1 του άρθρου 2 της απόφασης-πλαίσιο 2003/568/ΔΕΥ του Συμβουλίου της 22ας Ιουλίου 2003, για την καταπολέμηση της δωροδοκίας στον ιδιωτικό τομέα (ΕΕ </w:t>
      </w:r>
      <w:r>
        <w:rPr/>
        <w:t>L</w:t>
      </w:r>
      <w:r>
        <w:rPr>
          <w:lang w:val="el-GR"/>
        </w:rPr>
        <w:t xml:space="preserve"> 192 της 31.7.2003, σ. 54), καθώς και όπως ορίζεται στο εθνικό δίκαιο του οικονομικού φορέα, και τα εγκλήματα των άρθρων 159Α (δωροδοκία πολιτικών προσώπων), 236 (δωροδοκία υπαλλήλου), 237 παρ. 2-4 (δωροδοκία δικαστικών λειτουργών), 237Α παρ. 2 (εμπορία επιρροής – μεσάζοντες), 396 παρ. 2 (δωροδοκία στον ιδιωτικό τομέα) του Ποινικού Κώδικα,</w:t>
      </w:r>
    </w:p>
    <w:p>
      <w:pPr>
        <w:pStyle w:val="Normal"/>
        <w:suppressAutoHyphens w:val="false"/>
        <w:rPr>
          <w:szCs w:val="22"/>
          <w:lang w:val="el-GR"/>
        </w:rPr>
      </w:pPr>
      <w:r>
        <w:rPr>
          <w:lang w:val="el-GR"/>
        </w:rPr>
        <w:t>γ) απάτη εις βάρος των οικονομικών συμφερόντων της Ένωσης, κατά την έννοια των άρθρων 3 και 4 της Οδηγίας (ΕΕ) 2017/1371 του Ευρωπαϊκού Κοινοβουλίου και του Συμβουλίου της 5</w:t>
      </w:r>
      <w:r>
        <w:rPr>
          <w:vertAlign w:val="superscript"/>
          <w:lang w:val="el-GR"/>
        </w:rPr>
        <w:t>ης</w:t>
      </w:r>
      <w:r>
        <w:rPr>
          <w:lang w:val="el-GR"/>
        </w:rPr>
        <w:t xml:space="preserve"> Ιουλίου 2017 σχετικά με την καταπολέμηση, μέσω του ποινικού δικαίου, της απάτης εις βάρος των οικονομικών συμφερόντων της Ένωσης (</w:t>
      </w:r>
      <w:r>
        <w:rPr>
          <w:lang w:val="en-US"/>
        </w:rPr>
        <w:t>L</w:t>
      </w:r>
      <w:r>
        <w:rPr>
          <w:lang w:val="el-GR"/>
        </w:rPr>
        <w:t xml:space="preserve"> 198/28.07.2017) και τα εγκλήματα των άρθρων 159Α (δωροδοκία πολιτικών προσώπων), 216 (πλαστογραφία), 236 (δωροδοκία υπαλλήλου), 237 παρ. 2-4 (δωροδοκία δικαστικών λειτουργών), 242 (ψευδής βεβαίωση, νόθευση κ.λπ.) 374 (διακεκριμένη κλοπή), 375 (υπεξαίρεση), 386 (απάτη), 386Α (απάτη με υπολογιστή), </w:t>
      </w:r>
      <w:r>
        <w:rPr>
          <w:szCs w:val="22"/>
          <w:lang w:val="el-GR"/>
        </w:rPr>
        <w:t>386Β (</w:t>
      </w:r>
      <w:r>
        <w:rPr>
          <w:szCs w:val="22"/>
          <w:lang w:val="el-GR" w:eastAsia="el-GR"/>
        </w:rPr>
        <w:t>απάτη σχετική με τις επιχορηγήσεις), 390 (απιστία) του Ποινικού Κώδικα και των άρθρων 155 επ. του Εθνικού Τελωνειακού Κώδικα (ν. 2960/2001, Α’ 265), όταν αυτά στρέφονται κατά των οικονομικών συμφερόντων της Ευρωπαϊκής Ένωσης ή συνδέονται με την προσβολή αυτών των συμφερόντων, καθώς και τα εγκλήματα των άρθρων 23 (διασυνοριακή απάτη σχετικά με τον ΦΠΑ) και 24 (επικουρικές διατάξεις για την ποινική προστασία των οικονομικών συμφερόντων της Ευρωπαϊκής Ένωσης) του ν. 4689/2020 (Α’ 103),</w:t>
      </w:r>
    </w:p>
    <w:p>
      <w:pPr>
        <w:pStyle w:val="Normal"/>
        <w:rPr>
          <w:lang w:val="el-GR"/>
        </w:rPr>
      </w:pPr>
      <w:r>
        <w:rPr>
          <w:lang w:val="el-GR"/>
        </w:rPr>
        <w:t>δ) τρομοκρατικά εγκλήματα ή εγκλήματα συνδεόμενα με τρομοκρατικές δραστηριότητες, όπως ορίζονται, αντιστοίχως, στα άρθρα 3-4 και 5-12 της Οδηγίας (ΕΕ) 2017/541 του Ευρωπαϊκού Κοινοβουλίου και του Συμβουλίου της 15</w:t>
      </w:r>
      <w:r>
        <w:rPr>
          <w:vertAlign w:val="superscript"/>
          <w:lang w:val="el-GR"/>
        </w:rPr>
        <w:t>ης</w:t>
      </w:r>
      <w:r>
        <w:rPr>
          <w:lang w:val="el-GR"/>
        </w:rPr>
        <w:t xml:space="preserve"> Μαρτίου 2017 για την καταπολέμηση της τρομοκρατίας και την αντικατάσταση της απόφασης-πλαισίου 2002/475/ΔΕΥ του Συμβουλίου και για την τροποποίηση της απόφασης 2005/671/ΔΕΥ του Συμβουλίου (ΕΕ </w:t>
      </w:r>
      <w:r>
        <w:rPr/>
        <w:t>L</w:t>
      </w:r>
      <w:r>
        <w:rPr>
          <w:lang w:val="el-GR"/>
        </w:rPr>
        <w:t xml:space="preserve"> 88/31.03.2017) ή ηθική αυτουργία ή συνέργεια ή απόπειρα διάπραξης εγκλήματος, όπως ορίζονται στο άρθρο 14 αυτής, και τα εγκλήματα των άρθρων 187Α και 187Β του Ποινικού Κώδικα, καθώς και τα εγκλήματα των άρθρων 32-35 του ν. 4689/2020 (Α’103),</w:t>
      </w:r>
    </w:p>
    <w:p>
      <w:pPr>
        <w:pStyle w:val="Normal"/>
        <w:rPr>
          <w:lang w:val="el-GR"/>
        </w:rPr>
      </w:pPr>
      <w:r>
        <w:rPr>
          <w:lang w:val="el-GR"/>
        </w:rPr>
        <w:t xml:space="preserve">ε) νομιμοποίηση εσόδων από παράνομες δραστηριότητες ή χρηματοδότηση της τρομοκρατίας, όπως αυτές ορίζονται στο άρθρο 1 της Οδηγίας (ΕΕ) 2015/849 του Ευρωπαϊκού Κοινοβουλίου και του Συμβουλίου της 20ης Μαΐου 2015, σχετικά με την πρόληψη της χρησιμοποίησης του χρηματοπιστωτικού συστήματος για τη νομιμοποίηση εσόδων από παράνομες δραστηριότητες ή για τη χρηματοδότηση της τρομοκρατίας, την τροποποίηση του κανονισμού (ΕΕ) αριθμ. 648/2012 του Ευρωπαϊκού Κοινοβουλίου και του Συμβουλίου, και την κατάργηση της οδηγίας 2005/60/ΕΚ του Ευρωπαϊκού Κοινοβουλίου και του Συμβουλίου και της οδηγίας 2006/70/ΕΚ της Επιτροπής (ΕΕ </w:t>
      </w:r>
      <w:r>
        <w:rPr>
          <w:lang w:val="en-US"/>
        </w:rPr>
        <w:t>L</w:t>
      </w:r>
      <w:r>
        <w:rPr>
          <w:lang w:val="el-GR"/>
        </w:rPr>
        <w:t xml:space="preserve"> 141/05.06.2015) και τα εγκλήματα των άρθρων 2 και 39 του ν. 4557/2018 (Α’ 139), </w:t>
      </w:r>
    </w:p>
    <w:p>
      <w:pPr>
        <w:pStyle w:val="Normal"/>
        <w:rPr>
          <w:lang w:val="el-GR"/>
        </w:rPr>
      </w:pPr>
      <w:r>
        <w:rPr>
          <w:lang w:val="el-GR"/>
        </w:rPr>
        <w:t xml:space="preserve">στ) παιδική εργασία και άλλες μορφές εμπορίας ανθρώπων, όπως ορίζονται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w:t>
      </w:r>
      <w:r>
        <w:rPr/>
        <w:t>L</w:t>
      </w:r>
      <w:r>
        <w:rPr>
          <w:lang w:val="el-GR"/>
        </w:rPr>
        <w:t xml:space="preserve"> 101 της 15.4.2011, σ. 1), και τα εγκλήματα του άρθρου 323Α του Ποινικού Κώδικα (εμπορία ανθρώπων). </w:t>
      </w:r>
    </w:p>
    <w:p>
      <w:pPr>
        <w:pStyle w:val="Normal"/>
        <w:rPr>
          <w:lang w:val="el-GR" w:eastAsia="zh-CN"/>
        </w:rPr>
      </w:pPr>
      <w:r>
        <w:rPr>
          <w:lang w:val="el-GR"/>
        </w:rPr>
        <w:t xml:space="preserve">Ο οικονομικός φορέας αποκλείεται, επίσης, όταν το πρόσωπο εις βάρος του οποίου εκδόθηκε αμετάκλητη καταδικαστική απόφαση είναι μέλος του διοικητικού, διευθυντικού ή εποπτικού οργάνου του ή έχει εξουσία εκπροσώπησης, λήψης αποφάσεων ή ελέγχου σε αυτό. </w:t>
      </w:r>
      <w:r>
        <w:rPr>
          <w:lang w:val="el-GR" w:eastAsia="zh-CN"/>
        </w:rPr>
        <w:t xml:space="preserve">Η υποχρέωση του προηγούμενου εδαφίου αφορά: </w:t>
      </w:r>
    </w:p>
    <w:p>
      <w:pPr>
        <w:pStyle w:val="Normal"/>
        <w:rPr>
          <w:lang w:val="el-GR"/>
        </w:rPr>
      </w:pPr>
      <w:r>
        <w:rPr>
          <w:lang w:val="el-GR"/>
        </w:rPr>
        <w:t>- στις περιπτώσεις εταιρειών περιορισμένης ευθύνης (Ε.Π.Ε.), ιδιωτικών κεφαλαιουχικών εταιρειών (Ι.Κ.Ε.) και προσωπικών εταιρειών (Ο.Ε. και Ε.Ε.) τους διαχειριστές.</w:t>
      </w:r>
    </w:p>
    <w:p>
      <w:pPr>
        <w:pStyle w:val="Normal"/>
        <w:suppressAutoHyphens w:val="false"/>
        <w:spacing w:lineRule="auto" w:line="252" w:before="0" w:after="160"/>
        <w:rPr>
          <w:lang w:val="el-GR"/>
        </w:rPr>
      </w:pPr>
      <w:r>
        <w:rPr>
          <w:lang w:val="el-GR"/>
        </w:rPr>
        <w:t>- στις περιπτώσεις ανωνύμων εταιρειών (Α.Ε.), τον διευθύνοντα Σύμβουλο, τα μέλη του Διοικητικού Συμβουλίου, καθώς και τα πρόσωπα στα οποία με απόφαση του Διοικητικού Συμβουλίου έχει ανατεθεί το σύνολο της διαχείρισης και εκπροσώπησης της εταιρείας.</w:t>
      </w:r>
    </w:p>
    <w:p>
      <w:pPr>
        <w:pStyle w:val="Normal"/>
        <w:suppressAutoHyphens w:val="false"/>
        <w:spacing w:lineRule="auto" w:line="252" w:before="0" w:after="160"/>
        <w:rPr>
          <w:lang w:val="el-GR"/>
        </w:rPr>
      </w:pPr>
      <w:r>
        <w:rPr>
          <w:lang w:val="el-GR"/>
        </w:rPr>
        <w:t>- στις περιπτώσεις Συνεταιρισμών, τα μέλη του Διοικητικού Συμβουλίου.</w:t>
      </w:r>
    </w:p>
    <w:p>
      <w:pPr>
        <w:pStyle w:val="Normal"/>
        <w:suppressAutoHyphens w:val="false"/>
        <w:spacing w:lineRule="auto" w:line="252" w:before="0" w:after="160"/>
        <w:rPr>
          <w:b/>
          <w:b/>
          <w:lang w:val="el-GR"/>
        </w:rPr>
      </w:pPr>
      <w:r>
        <w:rPr>
          <w:lang w:val="el-GR"/>
        </w:rPr>
        <w:t>- σε όλες τις υπόλοιπες περιπτώσεις νομικών προσώπων, τον κατά περίπτωση  νόμιμο εκπρόσωπο.</w:t>
      </w:r>
    </w:p>
    <w:p>
      <w:pPr>
        <w:pStyle w:val="Normal"/>
        <w:suppressAutoHyphens w:val="false"/>
        <w:spacing w:lineRule="auto" w:line="252" w:before="0" w:after="160"/>
        <w:rPr>
          <w:b/>
          <w:b/>
          <w:bCs/>
          <w:lang w:val="el-GR"/>
        </w:rPr>
      </w:pPr>
      <w:r>
        <w:rPr>
          <w:b/>
          <w:lang w:val="el-GR"/>
        </w:rPr>
        <w:t>Εάν στις ως άνω περιπτώσεις (α) έως (στ) η κατά τα ανωτέρω, περίοδος αποκλεισμού δεν έχει καθοριστεί με αμετάκλητη απόφαση, αυτή ανέρχεται σε πέντε (5) έτη από την ημερομηνία της καταδίκης με αμετάκλητη απόφαση</w:t>
      </w:r>
      <w:r>
        <w:rPr>
          <w:lang w:val="el-GR"/>
        </w:rPr>
        <w:t xml:space="preserve">. </w:t>
      </w:r>
    </w:p>
    <w:p>
      <w:pPr>
        <w:pStyle w:val="Normal"/>
        <w:rPr>
          <w:lang w:val="el-GR"/>
        </w:rPr>
      </w:pPr>
      <w:r>
        <w:rPr>
          <w:b/>
          <w:bCs/>
          <w:lang w:val="el-GR"/>
        </w:rPr>
        <w:t>2.2.3.2.</w:t>
      </w:r>
      <w:r>
        <w:rPr>
          <w:lang w:val="el-GR"/>
        </w:rPr>
        <w:t xml:space="preserve"> Στις ακόλουθες περιπτώσεις:</w:t>
      </w:r>
    </w:p>
    <w:p>
      <w:pPr>
        <w:pStyle w:val="Normal"/>
        <w:rPr>
          <w:lang w:val="el-GR"/>
        </w:rPr>
      </w:pPr>
      <w:r>
        <w:rPr>
          <w:lang w:val="el-GR"/>
        </w:rPr>
        <w:t xml:space="preserve">α) όταν ο  οικονομικός φορέας έχει αθετήσει τις υποχρεώσεις του όσον αφορά στην καταβολή φόρων ή εισφορών κοινωνικής ασφάλισης και αυτό έχει διαπιστωθεί από δικαστική ή διοικητική απόφαση με τελεσίδικη και δεσμευτική ισχύ, σύμφωνα με διατάξεις της χώρας όπου είναι εγκατεστημένος  ή την εθνική νομοθεσία ή </w:t>
      </w:r>
    </w:p>
    <w:p>
      <w:pPr>
        <w:pStyle w:val="Normal"/>
        <w:rPr>
          <w:lang w:val="el-GR"/>
        </w:rPr>
      </w:pPr>
      <w:r>
        <w:rPr>
          <w:lang w:val="el-GR"/>
        </w:rPr>
        <w:t>β) όταν η αναθέτουσα αρχή μπορεί να αποδείξει με τα κατάλληλα μέσα ότι ο οικονομικός φορέας έχει αθετήσει τις υποχρεώσεις του όσον αφορά την καταβολή φόρων ή εισφορών κοινωνικής ασφάλισης.</w:t>
      </w:r>
    </w:p>
    <w:p>
      <w:pPr>
        <w:pStyle w:val="Normal"/>
        <w:suppressAutoHyphens w:val="false"/>
        <w:spacing w:before="0" w:after="0"/>
        <w:rPr>
          <w:szCs w:val="22"/>
          <w:lang w:val="el-GR" w:eastAsia="el-GR"/>
        </w:rPr>
      </w:pPr>
      <w:r>
        <w:rPr>
          <w:lang w:val="el-GR"/>
        </w:rPr>
        <w:t>Αν ο οικονομικός φορέας είναι Έλληνας πολίτης ή έχει την εγκατάστασή του στην Ελλάδα, οι υποχρεώσεις του που αφορούν στις εισφορές κοινωνικής ασφάλισης καλύπτουν τόσο την κύρια όσο και την επικουρική ασφάλιση.</w:t>
      </w:r>
      <w:r>
        <w:rPr>
          <w:szCs w:val="22"/>
          <w:lang w:val="el-GR" w:eastAsia="el-GR"/>
        </w:rPr>
        <w:t xml:space="preserve"> </w:t>
      </w:r>
    </w:p>
    <w:p>
      <w:pPr>
        <w:pStyle w:val="Normal"/>
        <w:suppressAutoHyphens w:val="false"/>
        <w:spacing w:before="0" w:after="0"/>
        <w:rPr>
          <w:szCs w:val="22"/>
          <w:lang w:val="el-GR" w:eastAsia="el-GR"/>
        </w:rPr>
      </w:pPr>
      <w:r>
        <w:rPr>
          <w:szCs w:val="22"/>
          <w:lang w:val="el-GR" w:eastAsia="el-GR"/>
        </w:rPr>
        <w:t>Οι υποχρεώσεις των περ. α’ και β’ της παρ. 2.2.3.2  θεωρείται ότι δεν έχουν αθετηθεί εφόσον δεν έχουν καταστεί ληξιπρόθεσμες ή εφόσον αυτές έχουν υπαχθεί σε δεσμευτικό διακανονισμό που τηρείται.</w:t>
      </w:r>
    </w:p>
    <w:p>
      <w:pPr>
        <w:pStyle w:val="Normal"/>
        <w:rPr>
          <w:lang w:val="el-GR"/>
        </w:rPr>
      </w:pPr>
      <w:r>
        <w:rPr>
          <w:lang w:val="el-GR"/>
        </w:rPr>
      </w:r>
    </w:p>
    <w:p>
      <w:pPr>
        <w:pStyle w:val="Normal"/>
        <w:rPr>
          <w:lang w:val="el-GR"/>
        </w:rPr>
      </w:pPr>
      <w:r>
        <w:rPr>
          <w:lang w:val="el-GR"/>
        </w:rPr>
        <w:t>Δεν αποκλείεται ο οικονομικός φορέας, όταν έχει εκπληρώσει τις υποχρεώσεις του είτε καταβάλλοντας τους φόρους ή τις εισφορές κοινωνικής ασφάλισης που οφείλει, συμπεριλαμβανομένων, κατά περίπτωση, των δεδουλευμένων τόκων ή των προστίμων είτε υπαγόμενος σε δεσμευτικό διακανονισμό για την καταβολή τους στο μέτρο που τηρεί τους όρους του δεσμευτικού κανονισμού.</w:t>
      </w:r>
    </w:p>
    <w:p>
      <w:pPr>
        <w:pStyle w:val="Foothanging"/>
        <w:ind w:left="0" w:hanging="0"/>
        <w:rPr>
          <w:sz w:val="22"/>
          <w:szCs w:val="22"/>
          <w:lang w:val="el-GR"/>
        </w:rPr>
      </w:pPr>
      <w:r>
        <w:rPr>
          <w:b/>
          <w:bCs/>
          <w:sz w:val="22"/>
          <w:szCs w:val="22"/>
          <w:lang w:val="el-GR"/>
        </w:rPr>
        <w:t xml:space="preserve">2.2.3.3 </w:t>
      </w:r>
      <w:r>
        <w:rPr>
          <w:sz w:val="22"/>
          <w:szCs w:val="22"/>
          <w:lang w:val="el-GR"/>
        </w:rPr>
        <w:t>α)</w:t>
      </w:r>
      <w:r>
        <w:rPr>
          <w:b/>
          <w:bCs/>
          <w:sz w:val="22"/>
          <w:szCs w:val="22"/>
          <w:lang w:val="el-GR"/>
        </w:rPr>
        <w:t xml:space="preserve"> </w:t>
      </w:r>
      <w:r>
        <w:rPr>
          <w:sz w:val="22"/>
          <w:szCs w:val="22"/>
          <w:lang w:val="el-GR"/>
        </w:rPr>
        <w:t xml:space="preserve">Κατ’ εξαίρεση, δεν αποκλείονται για τους λόγους των ανωτέρω παραγράφων, εφόσον συντρέχουν οι πιο κάτω επιτακτικοί λόγοι δημόσιου συμφέροντος  </w:t>
      </w:r>
    </w:p>
    <w:p>
      <w:pPr>
        <w:pStyle w:val="Foothanging"/>
        <w:ind w:left="0" w:hanging="0"/>
        <w:rPr>
          <w:b/>
          <w:b/>
          <w:bCs/>
          <w:sz w:val="22"/>
          <w:szCs w:val="22"/>
          <w:lang w:val="el-GR"/>
        </w:rPr>
      </w:pPr>
      <w:r>
        <w:rPr>
          <w:b/>
          <w:bCs/>
          <w:sz w:val="22"/>
          <w:szCs w:val="22"/>
          <w:lang w:val="el-GR"/>
        </w:rPr>
      </w:r>
    </w:p>
    <w:p>
      <w:pPr>
        <w:pStyle w:val="Foothanging"/>
        <w:spacing w:before="0" w:after="120"/>
        <w:ind w:left="0" w:hanging="0"/>
        <w:rPr>
          <w:b/>
          <w:b/>
          <w:bCs/>
          <w:lang w:val="el-GR"/>
        </w:rPr>
      </w:pPr>
      <w:r>
        <w:rPr>
          <w:b/>
          <w:bCs/>
          <w:sz w:val="22"/>
          <w:szCs w:val="22"/>
          <w:lang w:val="el-GR"/>
        </w:rPr>
        <w:t>β)</w:t>
      </w:r>
      <w:r>
        <w:rPr>
          <w:sz w:val="22"/>
          <w:szCs w:val="22"/>
          <w:lang w:val="el-GR"/>
        </w:rPr>
        <w:t xml:space="preserve"> Κατ' εξαίρεση, επίσης, ο οικονομικός φορέας δεν αποκλείεται, όταν ο αποκλεισμός, σύμφωνα με την παράγραφο 2.2.3.2,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 2 του άρθρου 73 ν. 4412/2016, πριν από την εκπνοή της προθεσμίας υποβολής προσφοράς. </w:t>
      </w:r>
    </w:p>
    <w:p>
      <w:pPr>
        <w:pStyle w:val="Normal"/>
        <w:rPr>
          <w:lang w:val="el-GR"/>
        </w:rPr>
      </w:pPr>
      <w:r>
        <w:rPr>
          <w:b/>
          <w:bCs/>
          <w:lang w:val="el-GR"/>
        </w:rPr>
        <w:t>2.2.3.4.</w:t>
      </w:r>
      <w:r>
        <w:rPr>
          <w:lang w:val="el-GR"/>
        </w:rPr>
        <w:t xml:space="preserve"> Αποκλείεται</w:t>
      </w:r>
      <w:r>
        <w:rPr>
          <w:rStyle w:val="Style19"/>
          <w:szCs w:val="22"/>
        </w:rPr>
        <w:footnoteReference w:id="56"/>
      </w:r>
      <w:r>
        <w:rPr>
          <w:lang w:val="el-GR"/>
        </w:rPr>
        <w:t xml:space="preserve"> από τη συμμετοχή στη διαδικασία σύναψης της παρούσας σύμβασης, οικονομικός φορέας σε οποιαδήποτε από τις ακόλουθες καταστάσεις</w:t>
      </w:r>
      <w:r>
        <w:rPr>
          <w:rStyle w:val="Style19"/>
          <w:lang w:val="el-GR"/>
        </w:rPr>
        <w:footnoteReference w:id="57"/>
      </w:r>
      <w:r>
        <w:rPr>
          <w:lang w:val="el-GR"/>
        </w:rPr>
        <w:t xml:space="preserve">: </w:t>
      </w:r>
    </w:p>
    <w:p>
      <w:pPr>
        <w:pStyle w:val="Normal"/>
        <w:rPr>
          <w:lang w:val="el-GR"/>
        </w:rPr>
      </w:pPr>
      <w:r>
        <w:rPr>
          <w:lang w:val="el-GR"/>
        </w:rPr>
        <w:t>(α) εάν έχει αθετήσει τις υποχρεώσεις που προβλέπονται στην παρ. 2 του άρθρου 18 του ν. 4412/2016</w:t>
      </w:r>
      <w:r>
        <w:rPr>
          <w:rStyle w:val="Style19"/>
          <w:lang w:val="el-GR"/>
        </w:rPr>
        <w:footnoteReference w:id="58"/>
      </w:r>
      <w:r>
        <w:rPr>
          <w:lang w:val="el-GR"/>
        </w:rPr>
        <w:t>, περί αρχών που εφαρμόζονται στις διαδικασίες σύναψης δημοσίων συμβάσεων,</w:t>
      </w:r>
    </w:p>
    <w:p>
      <w:pPr>
        <w:pStyle w:val="Normal"/>
        <w:rPr>
          <w:i/>
          <w:i/>
          <w:color w:val="5B9BD5"/>
          <w:lang w:val="el-GR"/>
        </w:rPr>
      </w:pPr>
      <w:r>
        <w:rPr>
          <w:lang w:val="el-GR"/>
        </w:rPr>
        <w:t>(β) εάν τελεί υπό πτώχευση</w:t>
      </w:r>
      <w:r>
        <w:rPr>
          <w:b/>
          <w:lang w:val="el-GR"/>
        </w:rPr>
        <w:t xml:space="preserve"> </w:t>
      </w:r>
      <w:r>
        <w:rPr>
          <w:lang w:val="el-GR"/>
        </w:rPr>
        <w:t>ή έχει υπαχθεί σε διαδικασία ειδικής εκκαθάρισης</w:t>
      </w:r>
      <w:r>
        <w:rPr>
          <w:b/>
          <w:lang w:val="el-GR"/>
        </w:rPr>
        <w:t xml:space="preserve"> </w:t>
      </w:r>
      <w:r>
        <w:rPr>
          <w:lang w:val="el-GR"/>
        </w:rPr>
        <w:t>ή τελεί υπό αναγκαστική διαχείριση</w:t>
      </w:r>
      <w:r>
        <w:rPr>
          <w:b/>
          <w:lang w:val="el-GR"/>
        </w:rPr>
        <w:t xml:space="preserve"> </w:t>
      </w:r>
      <w:r>
        <w:rPr>
          <w:lang w:val="el-GR"/>
        </w:rPr>
        <w:t>από εκκαθαριστή ή από το δικαστήριο ή έχει υπαχθεί σε διαδικασία πτωχευτικού συμβιβασμού ή έχει αναστείλει τις επιχειρηματικές του δραστηριότητες ή έχει υπαχθεί σε διαδικασία εξυγίανσης και δεν τηρεί τους όρους αυτής ή εάν βρίσκεται σε οποιαδήποτε ανάλογη κατάσταση προκύπτουσα από παρόμοια διαδικασία, προβλεπόμενη σε εθνικές διατάξεις νόμου. Η αναθέτουσα αρχή μπορεί να μην αποκλείει έναν οικονομικό φορέα ο οποίος βρίσκεται σε μία εκ των καταστάσεων που αναφέρονται στην περίπτωση αυτή, υπό την προϋπόθεση ότι αποδεικνύει ότι ο εν λόγω φορέας είναι σε θέση να εκτελέσει τη σύμβαση, λαμβάνοντας υπόψη τις ισχύουσες διατάξεις και τα μέτρα για τη συνέχιση της επιχειρηματικής του λειτουργίας,</w:t>
      </w:r>
      <w:r>
        <w:rPr>
          <w:rStyle w:val="Style19"/>
          <w:szCs w:val="22"/>
        </w:rPr>
        <w:footnoteReference w:id="59"/>
      </w:r>
      <w:r>
        <w:rPr>
          <w:lang w:val="el-GR"/>
        </w:rPr>
        <w:t xml:space="preserve"> </w:t>
      </w:r>
    </w:p>
    <w:p>
      <w:pPr>
        <w:pStyle w:val="Normal"/>
        <w:rPr>
          <w:lang w:val="el-GR"/>
        </w:rPr>
      </w:pPr>
      <w:r>
        <w:rPr>
          <w:lang w:val="el-GR"/>
        </w:rPr>
        <w:t xml:space="preserve">(γ) εάν, με την επιφύλαξη της παραγράφου 3Γ του άρθρου 44 του ν. 3959/2011 περί ποινικών κυρώσεων και άλλων διοικητικών συνεπειών, υπάρχουν επαρκώς εύλογες ενδείξεις που οδηγούν στο συμπέρασμα ότι ο οικονομικός φορέας συνήψε συμφωνίες με άλλους οικονομικούς φορείς με στόχο τη στρέβλωση του ανταγωνισμού, </w:t>
      </w:r>
    </w:p>
    <w:p>
      <w:pPr>
        <w:pStyle w:val="Normal"/>
        <w:rPr>
          <w:lang w:val="el-GR"/>
        </w:rPr>
      </w:pPr>
      <w:r>
        <w:rPr>
          <w:lang w:val="el-GR"/>
        </w:rPr>
        <w:t xml:space="preserve">δ) εάν μία κατάσταση σύγκρουσης συμφερόντων  κατά την έννοια του άρθρου 24 του ν. 4412/2016, δεν μπορεί να θεραπευθεί αποτελεσματικά με άλλα, λιγότερο παρεμβατικά, μέσα, </w:t>
      </w:r>
    </w:p>
    <w:p>
      <w:pPr>
        <w:pStyle w:val="Normal"/>
        <w:rPr>
          <w:lang w:val="el-GR"/>
        </w:rPr>
      </w:pPr>
      <w:r>
        <w:rPr>
          <w:lang w:val="el-GR"/>
        </w:rPr>
        <w:t xml:space="preserve">(ε) εάν μία κατάσταση στρέβλωσης του ανταγωνισμού από την πρότερη συμμετοχή του οικονομικού φορέα κατά την προετοιμασία της διαδικασίας σύναψης σύμβασης, σύμφωνα με όσα ορίζονται στο άρθρο 48 του ν. 4412/2016, δεν μπορεί να θεραπευθεί με άλλα, λιγότερο παρεμβατικά, μέσα, </w:t>
      </w:r>
    </w:p>
    <w:p>
      <w:pPr>
        <w:pStyle w:val="Normal"/>
        <w:rPr>
          <w:lang w:val="el-GR"/>
        </w:rPr>
      </w:pPr>
      <w:r>
        <w:rPr>
          <w:lang w:val="el-GR"/>
        </w:rPr>
        <w:t xml:space="preserve">(στ) εάν έχει επιδείξει σοβαρή ή επαναλαμβανόμενη πλημμέλεια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αποζημιώσεις ή άλλες παρόμοιες κυρώσεις, </w:t>
      </w:r>
    </w:p>
    <w:p>
      <w:pPr>
        <w:pStyle w:val="Normal"/>
        <w:rPr>
          <w:lang w:val="el-GR"/>
        </w:rPr>
      </w:pPr>
      <w:r>
        <w:rPr>
          <w:lang w:val="el-GR"/>
        </w:rPr>
        <w:t xml:space="preserve">(ζ) εάν έχει κριθεί ένοχος εκ προθέσεως σοβαρών απατηλών δηλώσεων κατά την παροχή των πληροφοριών που απαιτούνται για την εξακρίβωση της απουσίας των λόγων αποκλεισμού ή την πλήρωση των κριτηρίων επιλογής, έχει αποκρύψει τις πληροφορίες αυτές ή δεν είναι σε θέση να προσκομίσει τα δικαιολογητικά που απαιτούνται κατ’ εφαρμογή της παραγράφου 2.2.9.2 της παρούσας, </w:t>
      </w:r>
    </w:p>
    <w:p>
      <w:pPr>
        <w:pStyle w:val="Normal"/>
        <w:rPr>
          <w:lang w:val="el-GR"/>
        </w:rPr>
      </w:pPr>
      <w:r>
        <w:rPr>
          <w:lang w:val="el-GR"/>
        </w:rPr>
        <w:t xml:space="preserve">(η) εάν επιχείρησε να επηρεάσει με αθέμιτο τρόπο τη διαδικασία λήψης αποφάσεων της αναθέτουσας αρχής, να αποκτήσει εμπιστευτικές πληροφορίες που ενδέχεται να του αποφέρουν αθέμιτο πλεονέκτημα στη διαδικασία σύναψης σύμβασης ή να παράσχει με απατηλό τρόπο παραπλανητικές πληροφορίες που ενδέχεται να επηρεάσουν ουσιωδώς τις αποφάσεις που αφορούν τον αποκλεισμό, την επιλογή ή την ανάθεση, </w:t>
      </w:r>
    </w:p>
    <w:p>
      <w:pPr>
        <w:pStyle w:val="Normal"/>
        <w:rPr>
          <w:b/>
          <w:b/>
          <w:lang w:val="el-GR"/>
        </w:rPr>
      </w:pPr>
      <w:r>
        <w:rPr>
          <w:lang w:val="el-GR"/>
        </w:rPr>
        <w:t xml:space="preserve">(θ) εάν η αναθέτουσα αρχή μπορεί να αποδείξει, με κατάλληλα μέσα ότι έχει διαπράξει σοβαρό επαγγελματικό παράπτωμα, το οποίο θέτει εν αμφιβόλω την ακεραιότητά του. </w:t>
      </w:r>
    </w:p>
    <w:p>
      <w:pPr>
        <w:pStyle w:val="Normal"/>
        <w:rPr>
          <w:lang w:val="el-GR"/>
        </w:rPr>
      </w:pPr>
      <w:r>
        <w:rPr>
          <w:b/>
          <w:lang w:val="el-GR"/>
        </w:rPr>
        <w:t>Εάν στις ως άνω περιπτώσεις (α) έως (θ)  η περίοδος αποκλεισμού δεν έχει καθοριστεί με αμετάκλητη απόφαση, αυτή ανέρχεται σε τρία (3) έτη από την ημερομηνία έκδοσης πράξης που βεβαιώνει το σχετικό γεγονός</w:t>
      </w:r>
      <w:r>
        <w:rPr>
          <w:lang w:val="el-GR"/>
        </w:rPr>
        <w:t>.</w:t>
      </w:r>
      <w:r>
        <w:rPr>
          <w:rStyle w:val="Style19"/>
          <w:lang w:val="el-GR"/>
        </w:rPr>
        <w:footnoteReference w:id="60"/>
      </w:r>
    </w:p>
    <w:p>
      <w:pPr>
        <w:pStyle w:val="Normal"/>
        <w:rPr>
          <w:b/>
          <w:b/>
          <w:bCs/>
          <w:lang w:val="el-GR"/>
        </w:rPr>
      </w:pPr>
      <w:r>
        <w:rPr>
          <w:b/>
          <w:bCs/>
          <w:lang w:val="el-GR"/>
        </w:rPr>
        <w:t xml:space="preserve">2.2.3.6. </w:t>
      </w:r>
      <w:r>
        <w:rPr>
          <w:lang w:val="el-GR"/>
        </w:rPr>
        <w:t>Ο οικονομικός φορέας αποκλείεται σε οποιοδήποτε χρονικό σημείο κατά τη διάρκεια της διαδικασίας σύναψης της παρούσας σύμβασης, όταν αποδεικνύεται ότι βρίσκεται, λόγω πράξεων ή παραλείψεών του, είτε πριν είτε κατά τη διαδικασία, σε μία από τις ως άνω περιπτώσεις.</w:t>
      </w:r>
    </w:p>
    <w:p>
      <w:pPr>
        <w:pStyle w:val="Normal"/>
        <w:rPr>
          <w:lang w:val="el-GR"/>
        </w:rPr>
      </w:pPr>
      <w:r>
        <w:rPr>
          <w:b/>
          <w:bCs/>
          <w:lang w:val="el-GR"/>
        </w:rPr>
        <w:t>2.2.3.7.</w:t>
      </w:r>
      <w:r>
        <w:rPr>
          <w:lang w:val="el-GR"/>
        </w:rPr>
        <w:t xml:space="preserve"> Οικονομικός φορέας που εμπίπτει σε μια από τις καταστάσεις που αναφέρονται στις παραγράφους 2.2.3.1 και 2.2.3.4, εκτός από την περ. β αυτής, μπορεί να προσκομίζει στοιχεία</w:t>
      </w:r>
      <w:r>
        <w:rPr>
          <w:rStyle w:val="Style19"/>
          <w:lang w:val="el-GR"/>
        </w:rPr>
        <w:footnoteReference w:id="61"/>
      </w:r>
      <w:r>
        <w:rPr>
          <w:lang w:val="el-GR"/>
        </w:rPr>
        <w:t>, προκειμένου να αποδείξει ότι τα μέτρα που έλαβε επαρκούν για να αποδείξουν την αξιοπιστία του, παρότι συντρέχει ο σχετικός λόγος αποκλεισμού (αυτ</w:t>
      </w:r>
      <w:r>
        <w:rPr/>
        <w:t>o</w:t>
      </w:r>
      <w:r>
        <w:rPr>
          <w:lang w:val="el-GR"/>
        </w:rPr>
        <w:t xml:space="preserve">κάθαρση). Για τον σκοπό αυτόν, ο οικονομικός φορέας αποδεικνύει ότι έχει καταβάλει ή έχει δεσμευθεί να καταβάλει αποζημίωση για ζημίες που προκλήθηκαν από το ποινικό αδίκημα ή το παράπτωμα, ότι έχει διευκρινίσει τα γεγονότα και τις περιστάσεις με ολοκληρωμένο τρόπο, μέσω ενεργού συνεργασίας με τις ερευνητικές αρχές, και έχει λάβει συγκεκριμένα τεχνικά και οργανωτικά μέτρα, καθώς και μέτρα σε επίπεδο προσωπικού κατάλληλα για την αποφυγή περαιτέρω ποινικών αδικημάτων ή παραπτωμάτων. Τα μέτρα που λαμβάνονται από τους οικονομικούς φορείς αξιολογούνται σε συνάρτηση με τη σοβαρότητα και τις ιδιαίτερες περιστάσεις του ποινικού αδικήματος ή του παραπτώματος. Εάν τα στοιχεία κριθούν επαρκή, ο εν λόγω οικονομικός φορέας δεν αποκλείεται από τη διαδικασία σύναψης σύμβασης. Αν τα μέτρα κριθούν ανεπαρκή, γνωστοποιείται στον οικονομικό φορέα το σκεπτικό της απόφασης αυτής. Οικονομικός φορέας που έχει αποκλειστεί, σύμφωνα με τις κείμενες διατάξεις, με τελεσίδικη απόφαση, σε εθνικό επίπεδο, από τη συμμετοχή σε διαδικασίες σύναψης σύμβασης ή ανάθεσης παραχώρησης δεν μπορεί να κάνει χρήση της ανωτέρω δυνατότητας κατά την περίοδο του αποκλεισμού που ορίζεται στην εν λόγω απόφαση </w:t>
      </w:r>
      <w:r>
        <w:rPr>
          <w:rStyle w:val="Style19"/>
          <w:szCs w:val="22"/>
        </w:rPr>
        <w:footnoteReference w:id="62"/>
      </w:r>
      <w:r>
        <w:rPr>
          <w:lang w:val="el-GR"/>
        </w:rPr>
        <w:t>.</w:t>
      </w:r>
    </w:p>
    <w:p>
      <w:pPr>
        <w:pStyle w:val="Normal"/>
        <w:rPr>
          <w:i/>
          <w:i/>
          <w:color w:val="5B9BD5"/>
          <w:lang w:val="el-GR"/>
        </w:rPr>
      </w:pPr>
      <w:r>
        <w:rPr>
          <w:i/>
          <w:color w:val="5B9BD5"/>
          <w:lang w:val="el-GR"/>
        </w:rPr>
      </w:r>
    </w:p>
    <w:p>
      <w:pPr>
        <w:pStyle w:val="Normal"/>
        <w:rPr>
          <w:lang w:val="el-GR"/>
        </w:rPr>
      </w:pPr>
      <w:r>
        <w:rPr>
          <w:lang w:val="el-GR"/>
        </w:rPr>
        <w:t>Η εξέταση των, κατά τα ανωτέρω, προσκομισθέντων από τον οικονομικό φορέα στοιχείων, για τη διαπίστωση της επάρκειας η μη των επανορθωτικών μέτρων που έλαβε και επικαλείται, θα πραγματοποιηθεί κατά το στάδιο της εξέτασης των δικαιολογητικών κατακύρωσης.</w:t>
      </w:r>
    </w:p>
    <w:p>
      <w:pPr>
        <w:pStyle w:val="Normal"/>
        <w:suppressAutoHyphens w:val="false"/>
        <w:spacing w:before="0" w:after="0"/>
        <w:rPr>
          <w:lang w:val="el-GR"/>
        </w:rPr>
      </w:pPr>
      <w:r>
        <w:rPr>
          <w:b/>
          <w:bCs/>
          <w:lang w:val="el-GR"/>
        </w:rPr>
        <w:t>2.2.3.8.</w:t>
      </w:r>
      <w:r>
        <w:rPr>
          <w:lang w:val="el-GR"/>
        </w:rPr>
        <w:t xml:space="preserve"> Η απόφαση για τη διαπίστωση της επάρκειας ή μη των επανορθωτικών μέτρων κατά την προηγούμενη παράγραφο, εκδίδεται σύμφωνα με τα οριζόμενα στις παρ. 8 και 9 του άρθρου 73 του ν. 4412/2016</w:t>
      </w:r>
      <w:r>
        <w:rPr>
          <w:rStyle w:val="Style19"/>
        </w:rPr>
        <w:footnoteReference w:id="63"/>
      </w:r>
      <w:r>
        <w:rPr>
          <w:lang w:val="el-GR"/>
        </w:rPr>
        <w:t xml:space="preserve">, καθώς και στην υπ’ αριθμ. 102080/24-10-2022 (Β΄5623/02.11.2022) απόφαση του Υπουργού Ανάπτυξης και Επενδύσεων με θέμα: </w:t>
      </w:r>
      <w:r>
        <w:rPr>
          <w:i/>
          <w:lang w:val="el-GR"/>
        </w:rPr>
        <w:t>«Ρύθμιση θεμάτων σχετικά με την εξέταση επανορθωτικών μέτρων από την Επιτροπή της παρ.  9 του άρθρου 73 του ν. 4412/2016».</w:t>
      </w:r>
    </w:p>
    <w:p>
      <w:pPr>
        <w:pStyle w:val="Normal"/>
        <w:suppressAutoHyphens w:val="false"/>
        <w:spacing w:before="0" w:after="0"/>
        <w:rPr>
          <w:lang w:val="el-GR"/>
        </w:rPr>
      </w:pPr>
      <w:r>
        <w:rPr>
          <w:lang w:val="el-GR"/>
        </w:rPr>
      </w:r>
    </w:p>
    <w:p>
      <w:pPr>
        <w:pStyle w:val="Normal"/>
        <w:suppressAutoHyphens w:val="false"/>
        <w:spacing w:before="0" w:after="0"/>
        <w:rPr>
          <w:lang w:val="el-GR"/>
        </w:rPr>
      </w:pPr>
      <w:r>
        <w:rPr>
          <w:lang w:val="el-GR"/>
        </w:rPr>
        <w:t xml:space="preserve">Η αναθέτουσα αρχή αποστέλλει στην Επιτροπή εξέτασης επανορθωτικών μέτρων της παρ. 9 του άρθρου 73 του ν. 4412/2016 το σχέδιο της απόφασής της περί της διαπίστωσης της επάρκειας ή μη των ληφθέντων από τον οικονομικό φορέα επανορθωτικών μέτρων, συνοδευόμενο από πλήρη φάκελο που περιλαμβάνει όλα τα σχετικά με την υπόθεση στοιχεία. Το σχέδιο της απόφασης της αναθέτουσας αρχής, μαζί με όλα τα σχετικά με την υπόθεση στοιχεία αποστέλλονται, ηλεκτρονικά στη διεύθυνση ηλεκτρονικού ταχυδρομείου </w:t>
      </w:r>
      <w:hyperlink r:id="rId6">
        <w:r>
          <w:rPr/>
          <w:t>epanorthotika</w:t>
        </w:r>
        <w:r>
          <w:rPr>
            <w:lang w:val="el-GR"/>
          </w:rPr>
          <w:t>@</w:t>
        </w:r>
        <w:r>
          <w:rPr/>
          <w:t>eaadhsy</w:t>
        </w:r>
        <w:r>
          <w:rPr>
            <w:lang w:val="el-GR"/>
          </w:rPr>
          <w:t>.</w:t>
        </w:r>
        <w:r>
          <w:rPr/>
          <w:t>gr</w:t>
        </w:r>
      </w:hyperlink>
      <w:r>
        <w:rPr>
          <w:lang w:val="el-GR"/>
        </w:rPr>
        <w:t xml:space="preserve">  </w:t>
      </w:r>
    </w:p>
    <w:p>
      <w:pPr>
        <w:pStyle w:val="Normal"/>
        <w:suppressAutoHyphens w:val="false"/>
        <w:spacing w:before="0" w:after="0"/>
        <w:rPr>
          <w:lang w:val="el-GR"/>
        </w:rPr>
      </w:pPr>
      <w:r>
        <w:rPr>
          <w:lang w:val="el-GR"/>
        </w:rPr>
      </w:r>
    </w:p>
    <w:p>
      <w:pPr>
        <w:pStyle w:val="Normal"/>
        <w:suppressAutoHyphens w:val="false"/>
        <w:spacing w:before="0" w:after="0"/>
        <w:rPr>
          <w:lang w:val="el-GR"/>
        </w:rPr>
      </w:pPr>
      <w:r>
        <w:rPr>
          <w:lang w:val="el-GR"/>
        </w:rPr>
        <w:t>Στην περίπτωση που ο οικονομικός φορέας δεν έχει προσκομίσει, με δική του πρωτοβουλία, τα στοιχεία, με τα οποία αποδεικνύονται τα επικαλούμενα μέτρα αυτοκάθαρσης (εκδοθείσες αποφάσεις διοίκησης, αποδεικτικά εξόφλησης προστίμων, αλληλογραφία με αρμόδιες ελεγκτικές αρχές κ.λπ.), η αναθέτουσα αρχή, πριν από τη σύνταξη και αποστολή του σχεδίου απόφασης στην Επιτροπή, υποχρεούται να ζητήσει από τον οικονομικό φορέα την προσκόμισή τους, εντός προθεσμίας που δεν υπερβαίνει τις δέκα (10) ημέρες. Με την παρέλευση της ανωτέρω προθεσμίας, θεωρείται ότι τα αιτούμενα στοιχεία δεν προσκομίστηκαν. Στην περίπτωση που ο οικονομικός φορέας υποβάλει αίτημα για παράταση της ως άνω προθεσμίας, συνοδευόμενο από έγγραφα, με τα οποία αποδεικνύεται ότι έχει αιτηθεί τη χορήγηση των στοιχείων, η αναθέτουσα αρχή παρατείνει την προθεσμία υποβολής, για όσο χρόνο απαιτηθεί για τη χορήγησή τους από τις αρμόδιες δημόσιες αρχές.</w:t>
      </w:r>
    </w:p>
    <w:p>
      <w:pPr>
        <w:pStyle w:val="Normal"/>
        <w:suppressAutoHyphens w:val="false"/>
        <w:spacing w:before="0" w:after="0"/>
        <w:rPr>
          <w:lang w:val="el-GR"/>
        </w:rPr>
      </w:pPr>
      <w:r>
        <w:rPr>
          <w:lang w:val="el-GR"/>
        </w:rPr>
      </w:r>
    </w:p>
    <w:p>
      <w:pPr>
        <w:pStyle w:val="Normal"/>
        <w:suppressAutoHyphens w:val="false"/>
        <w:spacing w:before="0" w:after="0"/>
        <w:rPr>
          <w:lang w:val="el-GR"/>
        </w:rPr>
      </w:pPr>
      <w:r>
        <w:rPr>
          <w:lang w:val="el-GR"/>
        </w:rPr>
        <w:t xml:space="preserve">Αν η αναθέτουσα αρχή κρίνει ότι τα στοιχεία που προσκόμισε ο οικονομικός φορέας δεν είναι πλήρη ή απαιτούνται διευκρινίσεις, πριν από την αποστολή του σχεδίου της απόφασής της στην Επιτροπή, καλεί τον οικονομικό φορέα για τη συμπλήρωση των σχετικών στοιχείων ή/και την παροχή διευκρινίσεων, εντός προθεσμίας, που δεν υπερβαίνει τις δέκα (10) ημέρες. </w:t>
      </w:r>
    </w:p>
    <w:p>
      <w:pPr>
        <w:pStyle w:val="Normal"/>
        <w:suppressAutoHyphens w:val="false"/>
        <w:spacing w:before="0" w:after="0"/>
        <w:rPr>
          <w:lang w:val="el-GR"/>
        </w:rPr>
      </w:pPr>
      <w:r>
        <w:rPr>
          <w:lang w:val="el-GR"/>
        </w:rPr>
      </w:r>
    </w:p>
    <w:p>
      <w:pPr>
        <w:pStyle w:val="Normal"/>
        <w:suppressAutoHyphens w:val="false"/>
        <w:spacing w:before="0" w:after="0"/>
        <w:rPr>
          <w:lang w:val="el-GR"/>
        </w:rPr>
      </w:pPr>
      <w:r>
        <w:rPr>
          <w:lang w:val="el-GR"/>
        </w:rPr>
        <w:t xml:space="preserve">Αν ο οικονομικός φορέας δεν ανταποκριθεί στην πρόσκληση της αναθέτουσας αρχής, το γεγονός αυτό μνημονεύεται στο σχέδιο της απόφασης. </w:t>
      </w:r>
    </w:p>
    <w:p>
      <w:pPr>
        <w:pStyle w:val="Normal"/>
        <w:suppressAutoHyphens w:val="false"/>
        <w:spacing w:before="0" w:after="0"/>
        <w:rPr>
          <w:lang w:val="el-GR"/>
        </w:rPr>
      </w:pPr>
      <w:r>
        <w:rPr>
          <w:lang w:val="el-GR"/>
        </w:rPr>
      </w:r>
    </w:p>
    <w:p>
      <w:pPr>
        <w:pStyle w:val="Normal"/>
        <w:suppressAutoHyphens w:val="false"/>
        <w:spacing w:before="0" w:after="0"/>
        <w:rPr>
          <w:lang w:val="el-GR"/>
        </w:rPr>
      </w:pPr>
      <w:r>
        <w:rPr>
          <w:lang w:val="el-GR"/>
        </w:rPr>
        <w:t xml:space="preserve">Με την επιφύλαξη της επόμενης παραγράφου, δεν εξετάζονται από την Επιτροπή επανορθωτικά μέτρα που επικαλείται ένας οικονομικός φορέας, προκειμένου να αποδείξει την αξιοπιστία του, εφόσον αυτά έχουν ληφθεί </w:t>
      </w:r>
      <w:r>
        <w:rPr>
          <w:b/>
          <w:lang w:val="el-GR"/>
        </w:rPr>
        <w:t>μετά</w:t>
      </w:r>
      <w:r>
        <w:rPr>
          <w:lang w:val="el-GR"/>
        </w:rPr>
        <w:t xml:space="preserve"> την ημερομηνία λήξης υποβολής των προσφορών. Στην περίπτωση αυτή, η αναθέτουσα αρχή δεν τα λαμβάνει υπόψη και δεν τα μνημονεύει στο σχέδιο της απόφασής της που αποστέλλει στην Επιτροπή. </w:t>
      </w:r>
    </w:p>
    <w:p>
      <w:pPr>
        <w:pStyle w:val="Normal"/>
        <w:suppressAutoHyphens w:val="false"/>
        <w:spacing w:before="240" w:after="0"/>
        <w:rPr>
          <w:lang w:val="el-GR"/>
        </w:rPr>
      </w:pPr>
      <w:r>
        <w:rPr>
          <w:lang w:val="el-GR"/>
        </w:rPr>
        <w:t>Στην περίπτωση που, κατά την υποβολή του ΕΕΕΣ, από τον οικονομικό φορέα, δεν συνέτρεχε στο πρόσωπο του κάποιος από τους λόγους αποκλεισμού της παρ.</w:t>
      </w:r>
      <w:r>
        <w:rPr/>
        <w:t> </w:t>
      </w:r>
      <w:r>
        <w:rPr>
          <w:lang w:val="el-GR"/>
        </w:rPr>
        <w:t>1 και της παρ.</w:t>
      </w:r>
      <w:r>
        <w:rPr/>
        <w:t> </w:t>
      </w:r>
      <w:r>
        <w:rPr>
          <w:lang w:val="el-GR"/>
        </w:rPr>
        <w:t>4, εκτός από την περ.</w:t>
      </w:r>
      <w:r>
        <w:rPr/>
        <w:t> </w:t>
      </w:r>
      <w:r>
        <w:rPr>
          <w:lang w:val="el-GR"/>
        </w:rPr>
        <w:t>β’ αυτής, του άρθρου</w:t>
      </w:r>
      <w:r>
        <w:rPr/>
        <w:t> </w:t>
      </w:r>
      <w:r>
        <w:rPr>
          <w:lang w:val="el-GR"/>
        </w:rPr>
        <w:t>73 του ν.</w:t>
      </w:r>
      <w:r>
        <w:rPr/>
        <w:t> </w:t>
      </w:r>
      <w:r>
        <w:rPr>
          <w:lang w:val="el-GR"/>
        </w:rPr>
        <w:t>4412/2016, αλλά η συνδρομή του προέκυψε, κατά τη διάρκεια της παρούσας διαδικασίας (οψιγενής μεταβολή), τα μέτρα αυτοκάθαρσης που επικαλείται, λαμβάνονται υπόψη από την αναθέτουσα αρχή, κατά τη σύνταξη του σχεδίου απόφασής της και εξετάζονται από την Επιτροπή.</w:t>
      </w:r>
    </w:p>
    <w:p>
      <w:pPr>
        <w:pStyle w:val="Normal"/>
        <w:rPr>
          <w:lang w:val="el-GR"/>
        </w:rPr>
      </w:pPr>
      <w:r>
        <w:rPr>
          <w:lang w:val="el-GR"/>
        </w:rPr>
        <w:t>Οι διαδικαστικές λεπτομέρειες εξέτασης και επανεξέτασης των επανορθωτικών μέτρων ρυθμίζονται αναλυτικά στην ως άνω υπουργική απόφαση.</w:t>
      </w:r>
    </w:p>
    <w:p>
      <w:pPr>
        <w:pStyle w:val="Normal"/>
        <w:suppressAutoHyphens w:val="false"/>
        <w:spacing w:before="0" w:after="0"/>
        <w:rPr>
          <w:lang w:val="el-GR"/>
        </w:rPr>
      </w:pPr>
      <w:r>
        <w:rPr>
          <w:lang w:val="el-GR"/>
        </w:rPr>
      </w:r>
    </w:p>
    <w:p>
      <w:pPr>
        <w:pStyle w:val="Normal"/>
        <w:rPr>
          <w:b/>
          <w:b/>
          <w:bCs/>
          <w:sz w:val="26"/>
          <w:szCs w:val="26"/>
          <w:lang w:val="el-GR"/>
        </w:rPr>
      </w:pPr>
      <w:r>
        <w:rPr>
          <w:b/>
          <w:bCs/>
          <w:color w:val="000000"/>
          <w:lang w:val="el-GR"/>
        </w:rPr>
        <w:t xml:space="preserve">2.2.3.9. </w:t>
      </w:r>
      <w:r>
        <w:rPr>
          <w:color w:val="000000"/>
          <w:lang w:val="el-GR"/>
        </w:rPr>
        <w:t>Οικονομικός φορέας, σε βάρος του οποίου έχει επιβληθεί η κύρωση του οριζόντιου αποκλεισμού σύμφωνα με τις κείμενες διατάξεις και για το χρονικό διάστημα που αυτή ορίζει, αποκλείεται από την παρούσα διαδικασία σύναψης της σύμβασης.</w:t>
      </w:r>
    </w:p>
    <w:p>
      <w:pPr>
        <w:pStyle w:val="Normal"/>
        <w:rPr>
          <w:sz w:val="12"/>
          <w:szCs w:val="12"/>
        </w:rPr>
      </w:pPr>
      <w:r>
        <w:rPr>
          <w:sz w:val="12"/>
          <w:szCs w:val="12"/>
        </w:rPr>
      </w:r>
    </w:p>
    <w:p>
      <w:pPr>
        <w:pStyle w:val="Normal"/>
        <w:spacing w:lineRule="auto" w:line="360"/>
        <w:jc w:val="left"/>
        <w:rPr>
          <w:lang w:val="el-GR"/>
        </w:rPr>
      </w:pPr>
      <w:r>
        <w:rPr>
          <w:b/>
          <w:bCs/>
          <w:sz w:val="26"/>
          <w:szCs w:val="26"/>
          <w:lang w:val="el-GR"/>
        </w:rPr>
        <w:t>Κριτήρια Επιλογής</w:t>
      </w:r>
      <w:r>
        <w:rPr>
          <w:rStyle w:val="Style19"/>
          <w:b/>
          <w:bCs/>
          <w:lang w:val="el-GR"/>
        </w:rPr>
        <w:footnoteReference w:id="64"/>
      </w:r>
      <w:r>
        <w:rPr>
          <w:rStyle w:val="FootnoteReference2"/>
          <w:b/>
          <w:bCs/>
          <w:szCs w:val="22"/>
          <w:lang w:val="el-GR"/>
        </w:rPr>
        <w:t xml:space="preserve"> </w:t>
      </w:r>
    </w:p>
    <w:p>
      <w:pPr>
        <w:pStyle w:val="3"/>
        <w:rPr>
          <w:rFonts w:eastAsia="Calibri"/>
          <w:color w:val="000000"/>
          <w:lang w:val="el-GR"/>
        </w:rPr>
      </w:pPr>
      <w:bookmarkStart w:id="22" w:name="_Toc129004412"/>
      <w:r>
        <w:rPr>
          <w:lang w:val="el-GR"/>
        </w:rPr>
        <w:t>2.2.4</w:t>
        <w:tab/>
        <w:t>Καταλληλότητα άσκησης επαγγελματικής δραστηριότητας</w:t>
      </w:r>
      <w:r>
        <w:rPr>
          <w:rStyle w:val="Style19"/>
          <w:lang w:val="el-GR"/>
        </w:rPr>
        <w:footnoteReference w:id="65"/>
      </w:r>
      <w:bookmarkEnd w:id="22"/>
      <w:r>
        <w:rPr>
          <w:lang w:val="el-GR"/>
        </w:rPr>
        <w:t xml:space="preserve"> </w:t>
      </w:r>
    </w:p>
    <w:p>
      <w:pPr>
        <w:pStyle w:val="Normal"/>
        <w:rPr>
          <w:rFonts w:eastAsia="Calibri"/>
          <w:bCs/>
          <w:color w:val="000000"/>
          <w:lang w:val="el-GR"/>
        </w:rPr>
      </w:pPr>
      <w:r>
        <w:rPr>
          <w:rFonts w:eastAsia="Calibri"/>
          <w:bCs/>
          <w:color w:val="000000"/>
          <w:lang w:val="el-GR"/>
        </w:rPr>
        <w:t xml:space="preserve">Οι οικονομικοί φορείς που συμμετέχουν στη διαδικασία σύναψης της παρούσας σύμβασης απαιτείται να ασκούν εμπορική ή βιομηχανική ή βιοτεχνική δραστηριότητα συναφή με το αντικείμενο της προμήθειας. </w:t>
      </w:r>
    </w:p>
    <w:p>
      <w:pPr>
        <w:pStyle w:val="Normal"/>
        <w:rPr>
          <w:rFonts w:eastAsia="Calibri"/>
          <w:bCs/>
          <w:color w:val="000000"/>
          <w:lang w:val="el-GR"/>
        </w:rPr>
      </w:pPr>
      <w:r>
        <w:rPr>
          <w:rFonts w:eastAsia="Calibri"/>
          <w:bCs/>
          <w:color w:val="000000"/>
          <w:lang w:val="el-GR"/>
        </w:rPr>
        <w:t xml:space="preserve">Οι οικονομικοί φορείς που είναι εγκατεστημένοι σε κράτος μέλος της Ευρωπαϊκής Ένωσης απαιτείται να είναι εγγεγραμμένοι σε ένα από τα επαγγελματικά ή εμπορικά μητρώα που τηρούνται στο κράτος εγκατάστασής τους ή να ικανοποιούν οποιαδήποτε άλλη απαίτηση ορίζεται στο Παράρτημα XI του Προσαρτήματος Α΄ του ν. 4412/2016. </w:t>
      </w:r>
    </w:p>
    <w:p>
      <w:pPr>
        <w:pStyle w:val="Normal"/>
        <w:rPr>
          <w:rFonts w:eastAsia="Calibri"/>
          <w:bCs/>
          <w:color w:val="000000"/>
          <w:lang w:val="el-GR"/>
        </w:rPr>
      </w:pPr>
      <w:r>
        <w:rPr>
          <w:rFonts w:eastAsia="Calibri"/>
          <w:bCs/>
          <w:color w:val="000000"/>
          <w:lang w:val="el-GR"/>
        </w:rPr>
        <w:t xml:space="preserve">Στην περίπτωση οικονομικών φορέων εγκατεστημένων σε κράτος μέλους του Ευρωπαϊκού Οικονομικού Χώρου (Ε.Ο.Χ) ή σε τρίτες χώρες που έχουν προσχωρήσει στη ΣΔΣ, ή σε τρίτες χώρες που δεν εμπίπτουν στην προηγούμενη περίπτωση και έχουν συνάψει διμερείς ή πολυμερείς συμφωνίες με την Ένωση σε θέματα διαδικασιών ανάθεσης δημοσίων συμβάσεων, απαιτείται να είναι εγγεγραμμένοι σε αντίστοιχα επαγγελματικά ή εμπορικά μητρώα. </w:t>
      </w:r>
    </w:p>
    <w:p>
      <w:pPr>
        <w:pStyle w:val="Normal"/>
        <w:rPr>
          <w:rFonts w:eastAsia="Calibri"/>
          <w:bCs/>
          <w:i/>
          <w:i/>
          <w:color w:val="5B9BD5"/>
          <w:lang w:val="el-GR" w:eastAsia="zh-CN"/>
        </w:rPr>
      </w:pPr>
      <w:r>
        <w:rPr>
          <w:rFonts w:eastAsia="Calibri"/>
          <w:bCs/>
          <w:color w:val="000000"/>
          <w:lang w:val="el-GR"/>
        </w:rPr>
        <w:t>Οι εγκατεστημένοι στην Ελλάδα οικονομικοί φορείς απαιτείται να είναι εγγεγραμμένοι στο Βιοτεχνικό ή Εμπορικό ή Βιομηχανικό Επιμελητήριο ή στο Μητρώο Κατασκευαστών Αμυντικού Υλικού</w:t>
      </w:r>
      <w:r>
        <w:rPr>
          <w:rStyle w:val="Style19"/>
          <w:rFonts w:eastAsia="Calibri"/>
          <w:bCs/>
          <w:color w:val="000000"/>
          <w:lang w:val="el-GR"/>
        </w:rPr>
        <w:footnoteReference w:id="66"/>
      </w:r>
    </w:p>
    <w:p>
      <w:pPr>
        <w:pStyle w:val="3"/>
        <w:rPr>
          <w:szCs w:val="22"/>
          <w:lang w:val="el-GR"/>
        </w:rPr>
      </w:pPr>
      <w:bookmarkStart w:id="23" w:name="_Toc129004413"/>
      <w:r>
        <w:rPr>
          <w:lang w:val="el-GR"/>
        </w:rPr>
        <w:t>2.2.5</w:t>
        <w:tab/>
        <w:t>Οικονομική και χρηματοοικονομική επάρκεια</w:t>
      </w:r>
      <w:r>
        <w:rPr>
          <w:rStyle w:val="Style19"/>
          <w:lang w:val="el-GR"/>
        </w:rPr>
        <w:footnoteReference w:id="67"/>
      </w:r>
      <w:bookmarkEnd w:id="23"/>
      <w:r>
        <w:rPr>
          <w:lang w:val="el-GR"/>
        </w:rPr>
        <w:t xml:space="preserve"> </w:t>
      </w:r>
    </w:p>
    <w:p>
      <w:pPr>
        <w:pStyle w:val="Normal"/>
        <w:rPr>
          <w:i/>
          <w:i/>
          <w:color w:val="5B9BD5"/>
          <w:szCs w:val="22"/>
          <w:lang w:val="el-GR"/>
        </w:rPr>
      </w:pPr>
      <w:r>
        <w:rPr>
          <w:szCs w:val="22"/>
          <w:lang w:val="el-GR"/>
        </w:rPr>
        <w:t>Όσον αφορά την οικονομική και χρηματοοικονομική επάρκεια για την παρούσα διαδικασία σύναψης σύμβαση</w:t>
      </w:r>
      <w:r>
        <w:rPr>
          <w:color w:val="auto"/>
          <w:szCs w:val="22"/>
          <w:lang w:val="el-GR"/>
        </w:rPr>
        <w:t xml:space="preserve">ς, </w:t>
      </w:r>
      <w:r>
        <w:rPr>
          <w:i/>
          <w:color w:val="auto"/>
          <w:szCs w:val="22"/>
          <w:lang w:val="el-GR"/>
        </w:rPr>
        <w:t>δεν απαιτείται</w:t>
      </w:r>
    </w:p>
    <w:p>
      <w:pPr>
        <w:pStyle w:val="Normal"/>
        <w:rPr>
          <w:lang w:val="el-GR"/>
        </w:rPr>
      </w:pPr>
      <w:r>
        <w:rPr>
          <w:lang w:val="el-GR"/>
        </w:rPr>
      </w:r>
    </w:p>
    <w:p>
      <w:pPr>
        <w:pStyle w:val="3"/>
        <w:rPr/>
      </w:pPr>
      <w:bookmarkStart w:id="24" w:name="_Toc129004414"/>
      <w:r>
        <w:rPr>
          <w:lang w:val="el-GR"/>
        </w:rPr>
        <w:t>2.2.6</w:t>
        <w:tab/>
        <w:t>Τεχνική και επαγγελματική ικανότητα</w:t>
      </w:r>
      <w:r>
        <w:rPr>
          <w:rStyle w:val="Style19"/>
          <w:lang w:val="el-GR"/>
        </w:rPr>
        <w:footnoteReference w:id="68"/>
      </w:r>
      <w:bookmarkEnd w:id="24"/>
      <w:r>
        <w:rPr>
          <w:lang w:val="el-GR"/>
        </w:rPr>
        <w:t xml:space="preserve"> </w:t>
      </w:r>
    </w:p>
    <w:p>
      <w:pPr>
        <w:pStyle w:val="Normal"/>
        <w:rPr/>
      </w:pPr>
      <w:r>
        <w:rPr>
          <w:lang w:val="el-GR"/>
        </w:rPr>
        <w:t xml:space="preserve">Όσον αφορά στην τεχνική και επαγγελματική ικανότητα για την παρούσα διαδικασία σύναψης σύμβασης, </w:t>
      </w:r>
      <w:r>
        <w:rPr>
          <w:szCs w:val="22"/>
          <w:lang w:val="el-GR"/>
        </w:rPr>
        <w:t xml:space="preserve"> </w:t>
      </w:r>
      <w:r>
        <w:rPr>
          <w:i/>
          <w:color w:val="auto"/>
          <w:szCs w:val="22"/>
          <w:lang w:val="el-GR"/>
        </w:rPr>
        <w:t>δεν απαιτείται</w:t>
      </w:r>
    </w:p>
    <w:p>
      <w:pPr>
        <w:pStyle w:val="3"/>
        <w:rPr>
          <w:i/>
          <w:i/>
          <w:color w:val="5B9BD5"/>
          <w:lang w:val="el-GR"/>
        </w:rPr>
      </w:pPr>
      <w:bookmarkStart w:id="25" w:name="_Toc129004415"/>
      <w:r>
        <w:rPr>
          <w:lang w:val="el-GR"/>
        </w:rPr>
        <w:t>2.2.7</w:t>
        <w:tab/>
        <w:t>Πρότυπα διασφάλισης ποιότητας και πρότυπα περιβαλλοντικής διαχείρισης</w:t>
      </w:r>
      <w:r>
        <w:rPr>
          <w:rStyle w:val="Style19"/>
          <w:lang w:val="el-GR"/>
        </w:rPr>
        <w:footnoteReference w:id="69"/>
      </w:r>
      <w:bookmarkEnd w:id="25"/>
      <w:r>
        <w:rPr>
          <w:lang w:val="el-GR"/>
        </w:rPr>
        <w:t xml:space="preserve"> </w:t>
      </w:r>
    </w:p>
    <w:p>
      <w:pPr>
        <w:pStyle w:val="Normal"/>
        <w:rPr>
          <w:b/>
          <w:b/>
          <w:bCs/>
          <w:lang w:val="el-GR"/>
        </w:rPr>
      </w:pPr>
      <w:r>
        <w:rPr>
          <w:lang w:val="el-GR"/>
        </w:rPr>
        <w:t>Οι οικονομικοί φορείς για την παρούσα διαδικασία σύναψης σύμβασης οφείλουν να συμμορφώνονται με:</w:t>
      </w:r>
    </w:p>
    <w:p>
      <w:pPr>
        <w:pStyle w:val="Normal"/>
        <w:rPr>
          <w:b/>
          <w:b/>
          <w:bCs/>
          <w:lang w:val="el-GR"/>
        </w:rPr>
      </w:pPr>
      <w:r>
        <w:rPr>
          <w:b w:val="false"/>
          <w:bCs w:val="false"/>
          <w:szCs w:val="22"/>
          <w:lang w:val="el-GR"/>
        </w:rPr>
        <w:t>Ότι προβλέπεται από την τεχνική μελέτη</w:t>
      </w:r>
      <w:r>
        <w:rPr>
          <w:b/>
          <w:bCs/>
          <w:szCs w:val="22"/>
          <w:lang w:val="el-GR"/>
        </w:rPr>
        <w:t xml:space="preserve"> (ΠΑΡΑΡΤΗΜΑ Ι)</w:t>
      </w:r>
    </w:p>
    <w:p>
      <w:pPr>
        <w:pStyle w:val="Normal"/>
        <w:rPr>
          <w:i/>
          <w:i/>
          <w:lang w:val="el-GR"/>
        </w:rPr>
      </w:pPr>
      <w:r>
        <w:rPr>
          <w:lang w:val="el-GR"/>
        </w:rPr>
        <w:t xml:space="preserve">Η αναθέτουσα αρχή αναγνωρίζει ισοδύναμα πιστοποιητικά που έχουν εκδοθεί από φορείς διαπιστευμένους από ισοδύναμους Οργανισμούς διαπίστευσης, εδρεύοντες και σε άλλα κράτη - μέλη </w:t>
      </w:r>
      <w:r>
        <w:rPr>
          <w:i/>
          <w:lang w:val="el-GR"/>
        </w:rPr>
        <w:t>σύμφωνα με τον Κανονισμό 765/2008</w:t>
      </w:r>
      <w:r>
        <w:rPr>
          <w:rStyle w:val="Style19"/>
          <w:i/>
          <w:lang w:val="el-GR"/>
        </w:rPr>
        <w:footnoteReference w:id="70"/>
      </w:r>
      <w:r>
        <w:rPr>
          <w:i/>
          <w:lang w:val="el-GR"/>
        </w:rPr>
        <w:t xml:space="preserve">.   </w:t>
      </w:r>
      <w:r>
        <w:rPr>
          <w:lang w:val="el-GR"/>
        </w:rPr>
        <w:t xml:space="preserve"> Επίσης, κάνει δεκτά άλλα αποδεικτικά στοιχεία για ισοδύναμα μέτρα διασφάλισης ποιότητας, εφόσον ο ενδιαφερόμενος οικονομικός φορέας δεν είχε τη δυνατότητα να αποκτήσει τα εν λόγω πιστοποιητικά εντός των σχετικών προθεσμιών για λόγους για τους οποίους δεν ευθύνεται ο ίδιος, υπό την προϋπόθεση ότι ο οικονομικός φορέας αποδεικνύει ότι τα προτεινόμενα μέτρα διασφάλισης ποιότητας πληρούν τα απαιτούμενα πρότυπα διασφάλισης ποιότητας.</w:t>
      </w:r>
    </w:p>
    <w:p>
      <w:pPr>
        <w:pStyle w:val="3"/>
        <w:rPr>
          <w:lang w:val="el-GR"/>
        </w:rPr>
      </w:pPr>
      <w:bookmarkStart w:id="26" w:name="_Toc129004416"/>
      <w:r>
        <w:rPr>
          <w:lang w:val="el-GR"/>
        </w:rPr>
        <w:t>2.2.8</w:t>
        <w:tab/>
        <w:t>Στήριξη στην ικανότητα τρίτων – Υπεργολαβία</w:t>
      </w:r>
      <w:bookmarkEnd w:id="26"/>
    </w:p>
    <w:p>
      <w:pPr>
        <w:pStyle w:val="4"/>
        <w:rPr>
          <w:lang w:val="el-GR"/>
        </w:rPr>
      </w:pPr>
      <w:bookmarkStart w:id="27" w:name="_Toc129004417"/>
      <w:r>
        <w:rPr>
          <w:lang w:val="el-GR"/>
        </w:rPr>
        <w:t>2.2.8.1. Στήριξη στην ικανότητα τρίτων</w:t>
      </w:r>
      <w:r>
        <w:rPr>
          <w:rStyle w:val="Style19"/>
          <w:b w:val="false"/>
          <w:bCs w:val="false"/>
          <w:lang w:val="el-GR"/>
        </w:rPr>
        <w:footnoteReference w:id="71"/>
      </w:r>
      <w:bookmarkEnd w:id="27"/>
    </w:p>
    <w:p>
      <w:pPr>
        <w:pStyle w:val="Normal"/>
        <w:rPr>
          <w:lang w:val="el-GR"/>
        </w:rPr>
      </w:pPr>
      <w:r>
        <w:rPr>
          <w:lang w:val="el-GR"/>
        </w:rPr>
        <w:t>Οι οικονομικοί φορείς μπορούν, όσον αφορά στα κριτήρια της οικονομικής και χρηματοοικονομικής επάρκειας (της παραγράφου 2.2.5) και τα σχετικά με την τεχνική και επαγγελματική ικανότητα (της παραγράφου 2.2.6), να στηρίζονται στις ικανότητες άλλων φορέων, ασχέτως της νομικής φύσης των δεσμών τους με αυτούς</w:t>
      </w:r>
      <w:r>
        <w:rPr>
          <w:rStyle w:val="Style19"/>
          <w:szCs w:val="22"/>
        </w:rPr>
        <w:footnoteReference w:id="72"/>
      </w:r>
      <w:r>
        <w:rPr>
          <w:lang w:val="el-GR"/>
        </w:rPr>
        <w:t xml:space="preserve">. Στην περίπτωση αυτή, αποδεικνύουν ότι θα έχουν στη διάθεσή τους τους αναγκαίους πόρους, με την προσκόμιση της σχετικής δέσμευσης των φορέων στην ικανότητα των οποίων στηρίζονται.  </w:t>
      </w:r>
    </w:p>
    <w:p>
      <w:pPr>
        <w:pStyle w:val="Normal"/>
        <w:rPr>
          <w:szCs w:val="22"/>
          <w:lang w:val="el-GR"/>
        </w:rPr>
      </w:pPr>
      <w:r>
        <w:rPr>
          <w:szCs w:val="22"/>
          <w:lang w:val="el-GR"/>
        </w:rPr>
        <w:t xml:space="preserve"> </w:t>
      </w:r>
      <w:r>
        <w:rPr>
          <w:szCs w:val="22"/>
          <w:lang w:val="el-GR"/>
        </w:rPr>
        <w:t>Όταν οι οικονομικοί φορείς στηρίζονται στις ικανότητες άλλων φορέων όσον αφορά τα κριτήρια που σχετίζονται με την απαιτούμενη με τη διακήρυξη οικονομική και χρηματοοικονομική επάρκεια, οι εν λόγω οικονομικοί φορείς και αυτοί στους οποίους στηρίζονται είναι από κοινού υπεύθυνοι για την εκτέλεση της σύμβασης.</w:t>
      </w:r>
    </w:p>
    <w:p>
      <w:pPr>
        <w:pStyle w:val="Normal"/>
        <w:rPr>
          <w:lang w:val="el-GR"/>
        </w:rPr>
      </w:pPr>
      <w:r>
        <w:rPr>
          <w:szCs w:val="22"/>
          <w:lang w:val="el-GR"/>
        </w:rPr>
        <w:t>Υπό τους ίδιους όρους οι ενώσεις οικονομικών φορέων μπορούν να στηρίζονται στις ικανότητες των συμμετεχόντων στην ένωση ή άλλων φορέων.</w:t>
      </w:r>
    </w:p>
    <w:p>
      <w:pPr>
        <w:pStyle w:val="Normal"/>
        <w:rPr>
          <w:bCs/>
          <w:lang w:val="el-GR"/>
        </w:rPr>
      </w:pPr>
      <w:r>
        <w:rPr>
          <w:bCs/>
          <w:lang w:val="el-GR"/>
        </w:rPr>
        <w:t>Η αναθέτουσα αρχή ελέγχει αν οι φoρείς, στις ικανότητες των οποίων προτίθεται να στηριχθεί ο οικονομικός φορέας, πληρούν κατά περίπτωση τα σχετικά κριτήρια επιλογής και εάν συντρέχουν λόγοι αποκλεισμού της παραγράφου 2.2.3.. Ο οικονομικός φορέας υποχρεούται να αντικαταστήσει έναν φορέα στην ικανότητα του οποίου στηρίζεται, εφόσον ο τελευταίος δεν πληροί το σχετικό κριτήριο επιλογής ή για τον οποίο συντρέχουν λόγοι αποκλεισμού, εντός προθεσμίας τριάντα (30) ημερών από την</w:t>
      </w:r>
      <w:r>
        <w:rPr>
          <w:bCs/>
          <w:color w:val="000000"/>
          <w:lang w:val="el-GR"/>
        </w:rPr>
        <w:t xml:space="preserve"> </w:t>
      </w:r>
      <w:r>
        <w:rPr>
          <w:bCs/>
          <w:lang w:val="el-GR"/>
        </w:rPr>
        <w:t>σχετική  πρόσκληση της αναθέτουσας αρχής, η οποία απευθύνεται στον οικονομικό φορέα μέσω της λειτουργικότητας «Επικοινωνία» του ΕΣΗΔΗΣ. Ο φορέας που αντικαθιστά φορέα του προηγούμενου εδαφίου δεν επιτρέπεται να αντικατασταθεί εκ νέου.</w:t>
      </w:r>
    </w:p>
    <w:p>
      <w:pPr>
        <w:pStyle w:val="Normal"/>
        <w:rPr>
          <w:bCs/>
          <w:lang w:val="el-GR"/>
        </w:rPr>
      </w:pPr>
      <w:r>
        <w:rPr>
          <w:bCs/>
          <w:lang w:val="el-GR"/>
        </w:rPr>
      </w:r>
    </w:p>
    <w:p>
      <w:pPr>
        <w:pStyle w:val="4"/>
        <w:rPr>
          <w:lang w:val="el-GR"/>
        </w:rPr>
      </w:pPr>
      <w:bookmarkStart w:id="28" w:name="_Toc129004418"/>
      <w:r>
        <w:rPr>
          <w:lang w:val="el-GR"/>
        </w:rPr>
        <w:t>2.2.8.2. Υπεργολαβία</w:t>
      </w:r>
      <w:bookmarkEnd w:id="28"/>
    </w:p>
    <w:p>
      <w:pPr>
        <w:pStyle w:val="Normal"/>
        <w:rPr>
          <w:bCs/>
          <w:shd w:fill="FFFF00" w:val="clear"/>
          <w:lang w:val="el-GR"/>
        </w:rPr>
      </w:pPr>
      <w:r>
        <w:rPr>
          <w:bCs/>
          <w:lang w:val="el-GR"/>
        </w:rPr>
        <w:t xml:space="preserve">Ο οικονομικός φορέας αναφέρει στην προσφορά του το τμήμα της σύμβασης που προτίθεται να αναθέσει υπό μορφή υπεργολαβίας σε τρίτους, καθώς και τους υπεργολάβους που προτείνει. Στην περίπτωση που </w:t>
      </w:r>
      <w:r>
        <w:rPr>
          <w:bCs/>
          <w:lang w:val="en-US"/>
        </w:rPr>
        <w:t>o</w:t>
      </w:r>
      <w:r>
        <w:rPr>
          <w:bCs/>
          <w:lang w:val="el-GR"/>
        </w:rPr>
        <w:t xml:space="preserve"> προσφέρων αναφέρει στην προσφορά του ότι προτίθεται να αναθέσει τμήμα(τα) της σύμβασης υπό μορφή υπεργολαβίας σε τρίτους σε ποσοστό που υπερβαίνει το τριάντα τοις εκατό (30%) της συνολικής αξίας της σύμβασης, η αναθέτουσα αρχή ελέγχει ότι δεν συντρέχουν οι λόγοι αποκλεισμού της παραγράφου 2.2.3 της παρούσας</w:t>
      </w:r>
      <w:r>
        <w:rPr>
          <w:rStyle w:val="Style19"/>
          <w:bCs/>
          <w:lang w:val="el-GR"/>
        </w:rPr>
        <w:footnoteReference w:id="73"/>
      </w:r>
      <w:r>
        <w:rPr>
          <w:bCs/>
          <w:lang w:val="el-GR"/>
        </w:rPr>
        <w:t xml:space="preserve">. Ο οικονομικός φορέας υποχρεούται να αντικαταστήσει έναν υπεργολάβο, εφόσον συντρέχουν στο πρόσωπό του λόγοι αποκλεισμού της ως άνω παραγράφου 2.2.3. </w:t>
      </w:r>
    </w:p>
    <w:p>
      <w:pPr>
        <w:pStyle w:val="3"/>
        <w:rPr>
          <w:lang w:val="el-GR"/>
        </w:rPr>
      </w:pPr>
      <w:bookmarkStart w:id="29" w:name="_Toc129004419"/>
      <w:r>
        <w:rPr>
          <w:lang w:val="el-GR"/>
        </w:rPr>
        <w:t>2.2.9</w:t>
        <w:tab/>
        <w:t>Κανόνες απόδειξης ποιοτικής επιλογής</w:t>
      </w:r>
      <w:bookmarkEnd w:id="29"/>
    </w:p>
    <w:p>
      <w:pPr>
        <w:pStyle w:val="Normal"/>
        <w:rPr>
          <w:bCs/>
          <w:lang w:val="el-GR"/>
        </w:rPr>
      </w:pPr>
      <w:r>
        <w:rPr>
          <w:bCs/>
          <w:lang w:val="el-GR"/>
        </w:rPr>
        <w:t xml:space="preserve">Το δικαίωμα συμμετοχής των οικονομικών φορέων και οι όροι και προϋποθέσεις συμμετοχής τους, όπως ορίζονται στις παραγράφους 2.2.1 έως 2.2.8, κρίνονται, κατά την υποβολή της προσφοράς με το ΕΕΕΣ, σύμφωνα με τα οριζόμενα στην παράγραφο 2.2.9.1, κατά την υποβολή των δικαιολογητικών της παραγράφου 2.2.9.2 και κατά τη σύναψη της σύμβασης, με  την υπεύθυνη δήλωση της περ. δ΄ της παρ. 3 του άρθρου 105 του ν. 4412/2016. </w:t>
      </w:r>
    </w:p>
    <w:p>
      <w:pPr>
        <w:pStyle w:val="Normal"/>
        <w:rPr>
          <w:bCs/>
          <w:lang w:val="el-GR"/>
        </w:rPr>
      </w:pPr>
      <w:r>
        <w:rPr>
          <w:bCs/>
          <w:lang w:val="el-GR"/>
        </w:rPr>
        <w:t xml:space="preserve">Στην περίπτωση που ο οικονομικός φορέας στηρίζεται στις ικανότητες άλλων φορέων, σύμφωνα με </w:t>
      </w:r>
      <w:r>
        <w:rPr>
          <w:lang w:val="el-GR"/>
        </w:rPr>
        <w:t xml:space="preserve">την παράγραφο </w:t>
      </w:r>
      <w:r>
        <w:rPr>
          <w:bCs/>
          <w:lang w:val="el-GR"/>
        </w:rPr>
        <w:t xml:space="preserve">2.2.8. της παρούσας, οι φορείς στην ικανότητα των οποίων στηρίζεται υποχρεούνται να  αποδεικνύουν, κατά τα οριζόμενα στις παραγράφους 2.2.9.1 και 2.2.9.2, ότι δεν συντρέχουν οι λόγοι αποκλεισμού </w:t>
      </w:r>
      <w:r>
        <w:rPr>
          <w:lang w:val="el-GR"/>
        </w:rPr>
        <w:t xml:space="preserve">της παραγράφου </w:t>
      </w:r>
      <w:r>
        <w:rPr>
          <w:bCs/>
          <w:lang w:val="el-GR"/>
        </w:rPr>
        <w:t>2.2.3 της παρούσας και ότι πληρούν τα σχετικά κριτήρια επιλογής κατά περίπτωση</w:t>
      </w:r>
      <w:r>
        <w:rPr>
          <w:rStyle w:val="Style19"/>
          <w:bCs/>
          <w:lang w:val="el-GR"/>
        </w:rPr>
        <w:footnoteReference w:id="74"/>
      </w:r>
      <w:r>
        <w:rPr>
          <w:bCs/>
          <w:lang w:val="el-GR"/>
        </w:rPr>
        <w:t>.</w:t>
      </w:r>
    </w:p>
    <w:p>
      <w:pPr>
        <w:pStyle w:val="Normal"/>
        <w:rPr>
          <w:bCs/>
          <w:lang w:val="el-GR"/>
        </w:rPr>
      </w:pPr>
      <w:r>
        <w:rPr>
          <w:bCs/>
          <w:lang w:val="el-GR"/>
        </w:rPr>
        <w:t xml:space="preserve">Στην περίπτωση που </w:t>
      </w:r>
      <w:r>
        <w:rPr>
          <w:bCs/>
          <w:lang w:val="en-US"/>
        </w:rPr>
        <w:t>o</w:t>
      </w:r>
      <w:r>
        <w:rPr>
          <w:bCs/>
          <w:lang w:val="el-GR"/>
        </w:rPr>
        <w:t xml:space="preserve"> οικονομικός φορέας αναφέρει στην προσφορά του ότι προτίθεται να αναθέσει τμήμα(τα) της σύμβασης υπό μορφή υπεργολαβίας σε τρίτους σε ποσοστό που υπερβαίνει το τριάντα τοις εκατό (30%) της συνολικής αξίας της σύμβασης, οι υπεργολάβοι υποχρεούνται να αποδεικνύουν, κατά τα οριζόμενα στις παραγράφους 2.2.9.1 και 2.2.9.2, ότι δεν συντρέχουν οι λόγοι αποκλεισμού της παραγράφου 2.2.3 της παρούσας</w:t>
      </w:r>
      <w:r>
        <w:rPr>
          <w:rStyle w:val="Style19"/>
          <w:bCs/>
          <w:lang w:val="el-GR"/>
        </w:rPr>
        <w:footnoteReference w:id="75"/>
      </w:r>
      <w:r>
        <w:rPr>
          <w:bCs/>
          <w:lang w:val="el-GR"/>
        </w:rPr>
        <w:t xml:space="preserve">. </w:t>
      </w:r>
    </w:p>
    <w:p>
      <w:pPr>
        <w:pStyle w:val="Normal"/>
        <w:suppressAutoHyphens w:val="false"/>
        <w:spacing w:lineRule="auto" w:line="259" w:before="0" w:after="160"/>
        <w:rPr>
          <w:rFonts w:eastAsia="Calibri" w:cs="Times New Roman"/>
          <w:szCs w:val="22"/>
          <w:lang w:val="el-GR" w:eastAsia="en-US"/>
        </w:rPr>
      </w:pPr>
      <w:r>
        <w:rPr>
          <w:rFonts w:eastAsia="Calibri" w:cs="Times New Roman"/>
          <w:szCs w:val="22"/>
          <w:lang w:val="el-GR" w:eastAsia="en-US"/>
        </w:rPr>
        <w:t>Αν μετά τη συμπλήρωση του ΕΕΕΣ και μέχρι τη ημέρα της έγγραφης πρόσκλησης για τη σύναψη του συμφωνητικού επέλθουν μεταβολές στις προϋποθέσεις, τις οποίες οι προσφέροντες είχαν δηλώσει  ότι πληρούν,  οι προσφέροντες οφείλουν να ενημερώσουν αμελλητί την αναθέτουσα αρχή</w:t>
      </w:r>
      <w:r>
        <w:rPr>
          <w:rStyle w:val="Style19"/>
          <w:rFonts w:eastAsia="Calibri" w:cs="Times New Roman"/>
          <w:szCs w:val="22"/>
          <w:vertAlign w:val="superscript"/>
          <w:lang w:val="el-GR" w:eastAsia="en-US"/>
        </w:rPr>
        <w:footnoteReference w:id="76"/>
      </w:r>
      <w:r>
        <w:rPr>
          <w:rFonts w:eastAsia="Calibri" w:cs="Times New Roman"/>
          <w:szCs w:val="22"/>
          <w:lang w:val="el-GR" w:eastAsia="en-US"/>
        </w:rPr>
        <w:t xml:space="preserve">. </w:t>
      </w:r>
    </w:p>
    <w:p>
      <w:pPr>
        <w:pStyle w:val="4"/>
        <w:ind w:left="567" w:hanging="567"/>
        <w:rPr>
          <w:i/>
          <w:i/>
          <w:color w:val="5B9BD5"/>
          <w:lang w:val="el-GR"/>
        </w:rPr>
      </w:pPr>
      <w:bookmarkStart w:id="30" w:name="_Toc129004420"/>
      <w:r>
        <w:rPr>
          <w:lang w:val="el-GR"/>
        </w:rPr>
        <w:t>2.2.9.1</w:t>
        <w:tab/>
        <w:t>Προκαταρκτική απόδειξη κατά την υποβολή προσφορών</w:t>
      </w:r>
      <w:bookmarkEnd w:id="30"/>
      <w:r>
        <w:rPr>
          <w:lang w:val="el-GR"/>
        </w:rPr>
        <w:t xml:space="preserve"> </w:t>
      </w:r>
    </w:p>
    <w:p>
      <w:pPr>
        <w:pStyle w:val="Normal"/>
        <w:rPr>
          <w:i/>
          <w:i/>
          <w:color w:val="5B9BD5"/>
          <w:lang w:val="el-GR"/>
        </w:rPr>
      </w:pPr>
      <w:r>
        <w:rPr>
          <w:lang w:val="el-GR"/>
        </w:rPr>
        <w:t>Προς προκαταρκτική απόδειξη ότι οι προσφέροντες οικονομικοί φορείς: α) δεν βρίσκονται σε μία από τις καταστάσεις της παραγράφου 2.2.3 και β) πληρούν τα σχετικά κριτήρια επιλογής των παραγράφων 2.2.4, 2.2.5, 2.2.6 και 2.2.7 της παρούσας,</w:t>
      </w:r>
      <w:r>
        <w:rPr>
          <w:rFonts w:eastAsia="SimSun"/>
          <w:sz w:val="20"/>
          <w:szCs w:val="20"/>
          <w:lang w:val="el-GR"/>
        </w:rPr>
        <w:t xml:space="preserve"> </w:t>
      </w:r>
      <w:r>
        <w:rPr>
          <w:lang w:val="el-GR"/>
        </w:rPr>
        <w:t xml:space="preserve">προσκομίζουν κατά την υποβολή της προσφοράς τους, </w:t>
      </w:r>
      <w:r>
        <w:rPr>
          <w:u w:val="single"/>
          <w:lang w:val="el-GR"/>
        </w:rPr>
        <w:t>ως δικαιολογητικό συμμετοχής,</w:t>
      </w:r>
      <w:r>
        <w:rPr>
          <w:lang w:val="el-GR"/>
        </w:rPr>
        <w:t xml:space="preserve"> το προβλεπόμενο από το άρθρο 79 παρ. 1 και 3 του ν. 4412/2016 Ευρωπαϊκό Ενιαίο Έγγραφο Σύμβασης (ΕΕΕΣ), σύμφωνα με το επισυναπτόμενο στην παρούσα Παράρτημα…  το οποίο ισοδυναμεί με ενημερωμένη υπεύθυνη δήλωση, με τις συνέπειες του ν. 1599/1986. Το ΕΕΕΣ</w:t>
      </w:r>
      <w:r>
        <w:rPr>
          <w:rStyle w:val="Style19"/>
          <w:lang w:val="el-GR"/>
        </w:rPr>
        <w:footnoteReference w:id="77"/>
      </w:r>
      <w:r>
        <w:rPr>
          <w:lang w:val="el-GR"/>
        </w:rPr>
        <w:t xml:space="preserve"> καταρτίζεται βάσει του τυποποιημένου εντύπου του Παραρτήματος 2 του Κανονισμού (ΕΕ) 2016/7 και συμπληρώνεται από τους προσφέροντες οικονομικούς φορείς σύμφωνα με τις οδηγίες  του Παραρτήματος 1.</w:t>
      </w:r>
      <w:r>
        <w:rPr>
          <w:rStyle w:val="Style19"/>
          <w:lang w:val="el-GR"/>
        </w:rPr>
        <w:footnoteReference w:id="78"/>
      </w:r>
      <w:r>
        <w:rPr>
          <w:lang w:val="el-GR"/>
        </w:rPr>
        <w:t xml:space="preserve"> </w:t>
      </w:r>
    </w:p>
    <w:p>
      <w:pPr>
        <w:pStyle w:val="Normal"/>
        <w:rPr>
          <w:lang w:val="el-GR"/>
        </w:rPr>
      </w:pPr>
      <w:r>
        <w:rPr>
          <w:lang w:val="el-GR"/>
        </w:rPr>
        <w:t>Το ΕΕΕΣ φέρει υπογραφή με ημερομηνία εντός του χρονικού διαστήματος κατά το οποίο μπορούν να υποβάλλονται προσφορές. Αν στο διάστημα που μεσολαβεί μεταξύ της ημερομηνίας υπογραφής του ΕΕΕΣ και της καταληκτικής ημερομηνίας υποβολής προσφορών έχουν επέλθει μεταβολές στα δηλωθέντα στοιχεία, εκ μέρους του, στο ΕΕΕΣ, ο οικονομικός φορέας αποσύρει την προσφορά του, χωρίς να απαιτείται απόφαση της αναθέτουσας αρχής. Στη συνέχεια μπορεί να την υποβάλει εκ νέου με επίκαιρο ΕΕΕΣ.</w:t>
      </w:r>
      <w:r>
        <w:rPr>
          <w:rStyle w:val="Style19"/>
          <w:lang w:val="el-GR"/>
        </w:rPr>
        <w:footnoteReference w:id="79"/>
      </w:r>
    </w:p>
    <w:p>
      <w:pPr>
        <w:pStyle w:val="Normal"/>
        <w:rPr>
          <w:bCs/>
          <w:iCs/>
          <w:lang w:val="el-GR"/>
        </w:rPr>
      </w:pPr>
      <w:r>
        <w:rPr>
          <w:bCs/>
          <w:iCs/>
          <w:lang w:val="el-GR"/>
        </w:rPr>
        <w:t>Ο οικονομικός φορέας δύναται να διευκρινίζει τις δηλώσεις και πληροφορίες που παρέχει στο ΕΕΕΣ με συνοδευτική υπεύθυνη δήλωση, την οποία υποβάλλει μαζί με αυτό.</w:t>
      </w:r>
      <w:r>
        <w:rPr>
          <w:rStyle w:val="Style19"/>
          <w:bCs/>
          <w:iCs/>
          <w:lang w:val="el-GR"/>
        </w:rPr>
        <w:footnoteReference w:id="80"/>
      </w:r>
    </w:p>
    <w:p>
      <w:pPr>
        <w:pStyle w:val="Normal"/>
        <w:rPr>
          <w:lang w:val="el-GR"/>
        </w:rPr>
      </w:pPr>
      <w:r>
        <w:rPr>
          <w:lang w:val="el-GR"/>
        </w:rPr>
        <w:t xml:space="preserve">Κατά την υποβολή του ΕΕΕΣ, καθώς και της συνοδευτικής υπεύθυνης δήλωσης, είναι δυνατή, με μόνη την υπογραφή του κατά περίπτωση εκπροσώπου του οικονομικού φορέα, η προκαταρκτική απόδειξη των λόγων αποκλεισμού που αναφέρονται στην παράγραφο 2.2.3 της παρούσας, για το σύνολο των φυσικών προσώπων που είναι μέλη του διοικητικού, διευθυντικού ή εποπτικού οργάνου του ή έχουν εξουσία εκπροσώπησης, λήψης αποφάσεων ή ελέγχου σε αυτόν. </w:t>
      </w:r>
    </w:p>
    <w:p>
      <w:pPr>
        <w:pStyle w:val="Normal"/>
        <w:rPr>
          <w:lang w:val="el-GR"/>
        </w:rPr>
      </w:pPr>
      <w:r>
        <w:rPr>
          <w:lang w:val="el-GR"/>
        </w:rPr>
        <w:t>Ως εκπρόσωπος του οικονομικού φορέα νοείται ο νόμιμος εκπρόσωπος αυτού, όπως προκύπτει από το ισχύον καταστατικό ή το πρακτικό εκπροσώπησής του κατά τον χρόνο υποβολής της προσφοράς ή το αρμοδίως εξουσιοδοτημένο φυσικό πρόσωπο να εκπροσωπεί τον οικονομικό φορέα για διαδικασίες σύναψης συμβάσεων ή για συγκεκριμένη διαδικασία σύναψης σύμβασης.</w:t>
      </w:r>
    </w:p>
    <w:p>
      <w:pPr>
        <w:pStyle w:val="Normal"/>
        <w:rPr>
          <w:lang w:val="el-GR"/>
        </w:rPr>
      </w:pPr>
      <w:r>
        <w:rPr>
          <w:lang w:val="el-GR"/>
        </w:rPr>
        <w:t xml:space="preserve">Στην περίπτωση υποβολής προσφοράς από ένωση οικονομικών φορέων το ΕΕΕΣ υποβάλλεται χωριστά από κάθε μέλος της ένωσης. </w:t>
      </w:r>
    </w:p>
    <w:p>
      <w:pPr>
        <w:pStyle w:val="Normal"/>
        <w:suppressAutoHyphens w:val="false"/>
        <w:spacing w:lineRule="auto" w:line="259" w:before="0" w:after="160"/>
        <w:rPr>
          <w:rFonts w:eastAsia="Calibri" w:cs="Times New Roman"/>
          <w:szCs w:val="22"/>
          <w:lang w:val="el-GR" w:eastAsia="en-US"/>
        </w:rPr>
      </w:pPr>
      <w:r>
        <w:rPr>
          <w:rFonts w:eastAsia="Calibri" w:cs="Times New Roman"/>
          <w:szCs w:val="22"/>
          <w:lang w:val="el-GR" w:eastAsia="en-US"/>
        </w:rPr>
        <w:t>Ο οικονομικός φορέας φέρει την ειδική υποχρέωση να δηλώσει, μέσω του ΕΕΕΣ,</w:t>
      </w:r>
      <w:r>
        <w:rPr>
          <w:rStyle w:val="Style19"/>
          <w:rFonts w:eastAsia="Calibri" w:cs="Times New Roman"/>
          <w:szCs w:val="22"/>
          <w:vertAlign w:val="superscript"/>
          <w:lang w:val="el-GR" w:eastAsia="en-US"/>
        </w:rPr>
        <w:footnoteReference w:id="81"/>
      </w:r>
      <w:r>
        <w:rPr>
          <w:rFonts w:eastAsia="Calibri" w:cs="Times New Roman"/>
          <w:szCs w:val="22"/>
          <w:lang w:val="el-GR" w:eastAsia="en-US"/>
        </w:rPr>
        <w:t xml:space="preserve"> την κατάστασή του σε σχέση με τους λόγους που προβλέπονται στο άρθρο 73 του ν. 4412/2016 και την παράγραφο 2.2.3 της παρούσας</w:t>
      </w:r>
      <w:r>
        <w:rPr>
          <w:rStyle w:val="Style19"/>
          <w:rFonts w:eastAsia="Calibri" w:cs="Times New Roman"/>
          <w:szCs w:val="22"/>
          <w:vertAlign w:val="superscript"/>
          <w:lang w:val="el-GR" w:eastAsia="en-US"/>
        </w:rPr>
        <w:footnoteReference w:id="82"/>
      </w:r>
      <w:r>
        <w:rPr>
          <w:rFonts w:eastAsia="Calibri" w:cs="Times New Roman"/>
          <w:szCs w:val="22"/>
          <w:lang w:val="el-GR" w:eastAsia="en-US"/>
        </w:rPr>
        <w:t xml:space="preserve"> και ταυτόχρονα να επικαλεσθεί και τυχόν ληφθέντα μέτρα προς αποκατάσταση της αξιοπιστίας του.</w:t>
      </w:r>
    </w:p>
    <w:p>
      <w:pPr>
        <w:pStyle w:val="Normal"/>
        <w:suppressAutoHyphens w:val="false"/>
        <w:spacing w:lineRule="auto" w:line="259" w:before="0" w:after="160"/>
        <w:rPr>
          <w:rFonts w:eastAsia="Calibri" w:cs="Times New Roman"/>
          <w:szCs w:val="22"/>
          <w:lang w:val="el-GR" w:eastAsia="en-US"/>
        </w:rPr>
      </w:pPr>
      <w:r>
        <w:rPr>
          <w:rFonts w:eastAsia="Calibri" w:cs="Times New Roman"/>
          <w:szCs w:val="22"/>
          <w:lang w:val="el-GR" w:eastAsia="en-US"/>
        </w:rPr>
        <w:t>Ιδίως επισημαίνεται ότι κατά την απάντηση οικονομικού φορέα στο σχετικό πεδίο του ΕΕΕΣ για τυχόν σύναψη συμφωνιών με άλλους οικονομικούς φορείς με στόχο τη στρέβλωση του ανταγωνισμού, η συνδρομή περιστάσεων, όπως η πάροδος της τριετούς περιόδου της ισχύος του λόγου αποκλεισμού (παραγράφου 10 του άρθρου 73) ή η εφαρμογή της διάταξης της παραγράφου 3β του άρθρου 44 του ν. 3959/2011, σύμφωνα με την περ. γ της παραγράφου 2.2.3.4 της παρούσας, αναλύεται στο σχετικό πεδίο που προβάλλει κατόπιν θετικής απάντησης</w:t>
      </w:r>
      <w:r>
        <w:rPr>
          <w:rStyle w:val="Style19"/>
          <w:rFonts w:eastAsia="Calibri" w:cs="Times New Roman"/>
          <w:szCs w:val="22"/>
          <w:vertAlign w:val="superscript"/>
          <w:lang w:val="el-GR" w:eastAsia="en-US"/>
        </w:rPr>
        <w:footnoteReference w:id="83"/>
      </w:r>
      <w:r>
        <w:rPr>
          <w:rFonts w:eastAsia="Calibri" w:cs="Times New Roman"/>
          <w:szCs w:val="22"/>
          <w:lang w:val="el-GR" w:eastAsia="en-US"/>
        </w:rPr>
        <w:t>.</w:t>
      </w:r>
    </w:p>
    <w:p>
      <w:pPr>
        <w:pStyle w:val="Normal"/>
        <w:suppressAutoHyphens w:val="false"/>
        <w:spacing w:lineRule="auto" w:line="259" w:before="0" w:after="160"/>
        <w:rPr>
          <w:rFonts w:eastAsia="Calibri" w:cs="Times New Roman"/>
          <w:szCs w:val="22"/>
          <w:lang w:val="el-GR" w:eastAsia="en-US"/>
        </w:rPr>
      </w:pPr>
      <w:r>
        <w:rPr>
          <w:rFonts w:eastAsia="Calibri" w:cs="Times New Roman"/>
          <w:szCs w:val="22"/>
          <w:lang w:val="el-GR" w:eastAsia="en-US"/>
        </w:rPr>
        <w:t>Όσον αφορά στις υποχρεώσεις του, ως προς την καταβολή φόρων ή εισφορών κοινωνικής ασφάλισης (περ. α’ και β’ της παρ. 2 του άρθρου 73 του ν. 4412/2016), αυτές θεωρείται ότι δεν έχουν αθετηθεί, εφόσον δεν έχουν καταστεί ληξιπρόθεσμες ή εφόσον έχουν υπαχθεί σε δεσμευτικό διακανονισμό που τηρείται. Στην περίπτωση αυτή, ο οικονομικός φορέας δεν υποχρεούται να απαντήσει καταφατικά στο σχετικό πεδίο του ΕΕΕΣ με το οποίο ερωτάται εάν ο οικονομικός φορέας έχει ανεκπλήρωτες υποχρεώσεις όσον αφορά στην καταβολή φόρων ή εισφορών κοινωνικής ασφάλισης ή, κατά περίπτωση, εάν έχει αθετήσει τις παραπάνω υποχρεώσεις του</w:t>
      </w:r>
      <w:r>
        <w:rPr>
          <w:rStyle w:val="Style19"/>
          <w:rFonts w:eastAsia="Calibri" w:cs="Times New Roman"/>
          <w:szCs w:val="22"/>
          <w:vertAlign w:val="superscript"/>
          <w:lang w:val="el-GR" w:eastAsia="en-US"/>
        </w:rPr>
        <w:footnoteReference w:id="84"/>
      </w:r>
      <w:r>
        <w:rPr>
          <w:rFonts w:eastAsia="Calibri" w:cs="Times New Roman"/>
          <w:szCs w:val="22"/>
          <w:lang w:val="el-GR" w:eastAsia="en-US"/>
        </w:rPr>
        <w:t>.</w:t>
      </w:r>
    </w:p>
    <w:p>
      <w:pPr>
        <w:pStyle w:val="Normal"/>
        <w:suppressAutoHyphens w:val="false"/>
        <w:spacing w:lineRule="auto" w:line="259" w:before="0" w:after="0"/>
        <w:rPr>
          <w:rFonts w:eastAsia="Calibri" w:cs="Times New Roman"/>
          <w:szCs w:val="22"/>
          <w:lang w:val="el-GR" w:eastAsia="en-US"/>
        </w:rPr>
      </w:pPr>
      <w:r>
        <w:rPr>
          <w:rFonts w:eastAsia="Calibri" w:cs="Times New Roman"/>
          <w:szCs w:val="22"/>
          <w:lang w:val="el-GR" w:eastAsia="en-US"/>
        </w:rPr>
        <w:t>Στην περίπτωση που ένας οικονομικός φορέας, δηλώνει ότι εμπίπτει σε μία από τις καταστάσεις της παρ. 2.2.3.1 και 2.2.3.4, εκτός από την περ. β’ αυτής, για τις οποίες συντρέχει ο σχετικός λόγος αποκλεισμού, υποχρεούται, εφόσον επικαλεστεί μέτρα αυτοκάθαρσης για να αποδείξει την αξιοπιστία του, στο σχετικό πεδίο του ΕΕΕΣ, που εμφανίζεται κατόπιν της θετικής απάντησης που έδωσε περί συνδρομής κάποιου από τους ανωτέρω λόγους αποκλεισμού, να δηλώσει</w:t>
      </w:r>
      <w:r>
        <w:rPr>
          <w:rStyle w:val="Style19"/>
          <w:rFonts w:eastAsia="Calibri" w:cs="Times New Roman"/>
          <w:szCs w:val="22"/>
          <w:lang w:val="el-GR" w:eastAsia="en-US"/>
        </w:rPr>
        <w:footnoteReference w:id="85"/>
      </w:r>
      <w:r>
        <w:rPr>
          <w:rFonts w:eastAsia="Calibri" w:cs="Times New Roman"/>
          <w:szCs w:val="22"/>
          <w:lang w:val="el-GR" w:eastAsia="en-US"/>
        </w:rPr>
        <w:t>:</w:t>
      </w:r>
    </w:p>
    <w:p>
      <w:pPr>
        <w:pStyle w:val="Normal"/>
        <w:suppressAutoHyphens w:val="false"/>
        <w:spacing w:lineRule="auto" w:line="259" w:before="0" w:after="0"/>
        <w:rPr>
          <w:rFonts w:eastAsia="Calibri" w:cs="Times New Roman"/>
          <w:szCs w:val="22"/>
          <w:lang w:val="el-GR" w:eastAsia="en-US"/>
        </w:rPr>
      </w:pPr>
      <w:r>
        <w:rPr>
          <w:rFonts w:eastAsia="Calibri" w:cs="Times New Roman"/>
          <w:szCs w:val="22"/>
          <w:lang w:val="el-GR" w:eastAsia="en-US"/>
        </w:rPr>
      </w:r>
    </w:p>
    <w:p>
      <w:pPr>
        <w:pStyle w:val="Normal"/>
        <w:suppressAutoHyphens w:val="false"/>
        <w:spacing w:lineRule="auto" w:line="259" w:before="0" w:after="0"/>
        <w:rPr>
          <w:rFonts w:eastAsia="Calibri" w:cs="Times New Roman"/>
          <w:szCs w:val="22"/>
          <w:lang w:val="el-GR" w:eastAsia="en-US"/>
        </w:rPr>
      </w:pPr>
      <w:r>
        <w:rPr>
          <w:rFonts w:eastAsia="Calibri" w:cs="Times New Roman"/>
          <w:szCs w:val="22"/>
          <w:lang w:val="el-GR" w:eastAsia="en-US"/>
        </w:rPr>
        <w:t xml:space="preserve">α. εάν τα μέτρα αυτοκάθαρσης, τα οποία έλαβε για τον συγκεκριμένο λόγο αποκλεισμού που έχει δηλώσει στο ΕΕΕΣ, έχουν ήδη κριθεί σε προγενέστερη διαδικασία στην οποία συμμετείχε, βάσει απόφασης που εκδόθηκε από την ίδια ή άλλη αναθέτουσα αρχή, κατόπιν γνωμοδότησης της Επιτροπής εξέτασης επανορθωτικών μέτρων. </w:t>
      </w:r>
    </w:p>
    <w:p>
      <w:pPr>
        <w:pStyle w:val="Normal"/>
        <w:suppressAutoHyphens w:val="false"/>
        <w:spacing w:lineRule="auto" w:line="259" w:before="0" w:after="0"/>
        <w:rPr>
          <w:rFonts w:eastAsia="Calibri" w:cs="Times New Roman"/>
          <w:szCs w:val="22"/>
          <w:lang w:val="el-GR" w:eastAsia="en-US"/>
        </w:rPr>
      </w:pPr>
      <w:r>
        <w:rPr>
          <w:rFonts w:eastAsia="Calibri" w:cs="Times New Roman"/>
          <w:szCs w:val="22"/>
          <w:lang w:val="el-GR" w:eastAsia="en-US"/>
        </w:rPr>
      </w:r>
    </w:p>
    <w:p>
      <w:pPr>
        <w:pStyle w:val="Normal"/>
        <w:suppressAutoHyphens w:val="false"/>
        <w:spacing w:lineRule="auto" w:line="259" w:before="0" w:after="0"/>
        <w:rPr>
          <w:rFonts w:eastAsia="Calibri" w:cs="Times New Roman"/>
          <w:szCs w:val="22"/>
          <w:lang w:val="el-GR" w:eastAsia="en-US"/>
        </w:rPr>
      </w:pPr>
      <w:r>
        <w:rPr>
          <w:rFonts w:eastAsia="Calibri" w:cs="Times New Roman"/>
          <w:szCs w:val="22"/>
          <w:lang w:val="el-GR" w:eastAsia="en-US"/>
        </w:rPr>
        <w:t>β. εάν τα μέτρα κρίθηκαν ως επαρκή ή μη επαρκή, επισυνάπτοντας την απόφαση της περ. α με βάση την</w:t>
      </w:r>
    </w:p>
    <w:p>
      <w:pPr>
        <w:pStyle w:val="Normal"/>
        <w:suppressAutoHyphens w:val="false"/>
        <w:spacing w:lineRule="auto" w:line="259" w:before="0" w:after="0"/>
        <w:rPr>
          <w:rFonts w:eastAsia="Calibri" w:cs="Times New Roman"/>
          <w:szCs w:val="22"/>
          <w:lang w:val="el-GR" w:eastAsia="en-US"/>
        </w:rPr>
      </w:pPr>
      <w:r>
        <w:rPr>
          <w:rFonts w:eastAsia="Calibri" w:cs="Times New Roman"/>
          <w:szCs w:val="22"/>
          <w:lang w:val="el-GR" w:eastAsia="en-US"/>
        </w:rPr>
        <w:t xml:space="preserve">οποία έχουν κριθεί τα συγκεκριμένα μέτρα αυτοκάθαρσης. Περαιτέρω, δηλώνεται εάν η ως άνω απόφαση έχει καταστεί «δεσμευτική», με την έννοια ότι, είτε δεν έχουν ασκηθεί τα προβλεπόμενα μέσα έννομης προστασίας είτε ασκήθηκαν και έχει εκδοθεί σχετική απόφαση. </w:t>
      </w:r>
    </w:p>
    <w:p>
      <w:pPr>
        <w:pStyle w:val="Normal"/>
        <w:suppressAutoHyphens w:val="false"/>
        <w:spacing w:lineRule="auto" w:line="259" w:before="0" w:after="0"/>
        <w:rPr>
          <w:rFonts w:eastAsia="Calibri" w:cs="Times New Roman"/>
          <w:szCs w:val="22"/>
          <w:lang w:val="el-GR" w:eastAsia="en-US"/>
        </w:rPr>
      </w:pPr>
      <w:r>
        <w:rPr>
          <w:rFonts w:eastAsia="Calibri" w:cs="Times New Roman"/>
          <w:szCs w:val="22"/>
          <w:lang w:val="el-GR" w:eastAsia="en-US"/>
        </w:rPr>
      </w:r>
    </w:p>
    <w:p>
      <w:pPr>
        <w:pStyle w:val="Normal"/>
        <w:suppressAutoHyphens w:val="false"/>
        <w:spacing w:lineRule="auto" w:line="259" w:before="0" w:after="0"/>
        <w:rPr>
          <w:rFonts w:eastAsia="Calibri" w:cs="Times New Roman"/>
          <w:szCs w:val="22"/>
          <w:lang w:val="el-GR" w:eastAsia="en-US"/>
        </w:rPr>
      </w:pPr>
      <w:r>
        <w:rPr>
          <w:rFonts w:eastAsia="Calibri" w:cs="Times New Roman"/>
          <w:szCs w:val="22"/>
          <w:lang w:val="el-GR" w:eastAsia="en-US"/>
        </w:rPr>
        <w:t>γ. στην περίπτωση που τα μέτρα έχουν κριθεί ως μη επαρκή, εάν έχει λάβει πρόσθετα μέτρα αυτοκάθαρσης μετά την ημερομηνία που εκδόθηκε η απόφαση της περ. α και σε περίπτωση που ισχύει το ανωτέρω να προβεί σε ανάλυσή τους, αναγράφοντας υποχρεωτικά και την ημερομηνία κατά την οποία αυτά ελήφθησαν.</w:t>
      </w:r>
    </w:p>
    <w:p>
      <w:pPr>
        <w:pStyle w:val="Normal"/>
        <w:suppressAutoHyphens w:val="false"/>
        <w:spacing w:lineRule="auto" w:line="259" w:before="0" w:after="0"/>
        <w:rPr>
          <w:rFonts w:eastAsia="Calibri" w:cs="Times New Roman"/>
          <w:szCs w:val="22"/>
          <w:lang w:val="el-GR" w:eastAsia="en-US"/>
        </w:rPr>
      </w:pPr>
      <w:r>
        <w:rPr>
          <w:rFonts w:eastAsia="Calibri" w:cs="Times New Roman"/>
          <w:szCs w:val="22"/>
          <w:lang w:val="el-GR" w:eastAsia="en-US"/>
        </w:rPr>
      </w:r>
    </w:p>
    <w:p>
      <w:pPr>
        <w:pStyle w:val="Normal"/>
        <w:suppressAutoHyphens w:val="false"/>
        <w:spacing w:lineRule="auto" w:line="259" w:before="0" w:after="0"/>
        <w:rPr>
          <w:rFonts w:eastAsia="Calibri" w:cs="Times New Roman"/>
          <w:szCs w:val="22"/>
          <w:lang w:val="el-GR" w:eastAsia="en-US"/>
        </w:rPr>
      </w:pPr>
      <w:r>
        <w:rPr>
          <w:rFonts w:eastAsia="Calibri" w:cs="Times New Roman"/>
          <w:szCs w:val="22"/>
          <w:lang w:val="el-GR" w:eastAsia="en-US"/>
        </w:rPr>
        <w:t xml:space="preserve">Ειδικά στην περίπτωση που έχουν συμπεριληφθεί στα έγγραφα της σύμβασης δυνητικοί λόγοι αποκλεισμού, για τους οποίους δεν έχουν προβλεφθεί πεδία δήλωσης πληροφοριών στο Ευρωπαϊκό Ενιαίο Έγγραφο Σύμβασης (ΕΕΕΣ), σχετικά με την λήψη, εκ μέρους των οικονομικών φορέων, επανορθωτικών μέτρων, αυτά θα δηλώνονται (αναφέρονται) στην συμπληρωματική υπεύθυνη δήλωση της </w:t>
      </w:r>
      <w:r>
        <w:rPr>
          <w:lang w:val="el-GR"/>
        </w:rPr>
        <w:t>παρ. 9,</w:t>
      </w:r>
      <w:r>
        <w:rPr>
          <w:rFonts w:eastAsia="Calibri" w:cs="Times New Roman"/>
          <w:szCs w:val="22"/>
          <w:lang w:val="el-GR" w:eastAsia="en-US"/>
        </w:rPr>
        <w:t xml:space="preserve"> του ά</w:t>
      </w:r>
      <w:r>
        <w:rPr>
          <w:lang w:val="el-GR"/>
        </w:rPr>
        <w:t>ρθρου 79 του ν. 4412/2016.</w:t>
      </w:r>
    </w:p>
    <w:p>
      <w:pPr>
        <w:pStyle w:val="4"/>
        <w:ind w:left="567" w:hanging="567"/>
        <w:rPr>
          <w:lang w:val="el-GR"/>
        </w:rPr>
      </w:pPr>
      <w:bookmarkStart w:id="31" w:name="_Toc129004421"/>
      <w:r>
        <w:rPr>
          <w:lang w:val="el-GR"/>
        </w:rPr>
        <w:t>2.2.9.2</w:t>
        <w:tab/>
        <w:t>Αποδεικτικά μέσα</w:t>
      </w:r>
      <w:r>
        <w:rPr>
          <w:rStyle w:val="Style19"/>
          <w:rFonts w:eastAsia="Calibri" w:ascii="Calibri" w:hAnsi="Calibri"/>
          <w:b w:val="false"/>
          <w:bCs w:val="false"/>
          <w:szCs w:val="22"/>
          <w:vertAlign w:val="superscript"/>
          <w:lang w:val="el-GR" w:eastAsia="en-US"/>
        </w:rPr>
        <w:footnoteReference w:id="86"/>
      </w:r>
      <w:bookmarkEnd w:id="31"/>
      <w:r>
        <w:rPr>
          <w:lang w:val="el-GR"/>
        </w:rPr>
        <w:t xml:space="preserve"> </w:t>
      </w:r>
    </w:p>
    <w:p>
      <w:pPr>
        <w:pStyle w:val="Normal"/>
        <w:rPr>
          <w:bCs/>
          <w:lang w:val="el-GR"/>
        </w:rPr>
      </w:pPr>
      <w:r>
        <w:rPr>
          <w:b/>
          <w:bCs/>
          <w:lang w:val="el-GR"/>
        </w:rPr>
        <w:t>Α.</w:t>
      </w:r>
      <w:r>
        <w:rPr>
          <w:bCs/>
          <w:lang w:val="el-GR"/>
        </w:rPr>
        <w:t xml:space="preserve"> Για την απόδειξη της μη συνδρομής λόγων αποκλεισμού κατ’ άρθρο 2.2.3 και της πλήρωσης των κριτηρίων ποιοτικής επιλογής κατά τις παραγράφους 2.2.4, 2.2.5, 2.2.6 και 2.2.7, οι οικονομικοί φορείς προσκομίζουν τα δικαιολογητικά του παρόντος. Η προσκόμιση των εν λόγω δικαιολογητικών γίνεται κατά τα οριζόμενα στο άρθρο 3.2 από τον προσωρινό ανάδοχο.</w:t>
      </w:r>
      <w:r>
        <w:rPr>
          <w:lang w:val="el-GR"/>
        </w:rPr>
        <w:t xml:space="preserve"> </w:t>
      </w:r>
      <w:r>
        <w:rPr>
          <w:bCs/>
          <w:lang w:val="el-GR"/>
        </w:rPr>
        <w:t>Η αναθέτουσα αρχή μπορεί να ζητεί από προσφέροντες, σε οποιοδήποτε χρονικό σημείο κατά τη διάρκεια της διαδικασίας, να υποβάλουν όλα ή ορισμένα δικαιολογητικά, όταν αυτό απαιτείται για την ορθή διεξαγωγή της διαδικασίας.</w:t>
      </w:r>
    </w:p>
    <w:p>
      <w:pPr>
        <w:pStyle w:val="Normal"/>
        <w:rPr>
          <w:bCs/>
          <w:lang w:val="el-GR"/>
        </w:rPr>
      </w:pPr>
      <w:r>
        <w:rPr>
          <w:bCs/>
          <w:lang w:val="el-GR"/>
        </w:rPr>
        <w:t xml:space="preserve">Οι οικονομικοί φορείς δεν υποχρεούνται να υποβάλλουν δικαιολογητικά ή άλλα αποδεικτικά στοιχεία, αν και στο μέτρο που η αναθέτουσα αρχή έχει τη δυνατότητα να λαμβάνει τα πιστοποιητικά ή τις συναφείς πληροφορίες απευθείας μέσω πρόσβασης σε εθνική βάση δεδομένων σε οποιοδήποτε κράτος - μέλος της Ένωσης, η οποία διατίθεται δωρεάν, όπως εθνικό μητρώο συμβάσεων, εικονικό φάκελο επιχείρησης, ηλεκτρονικό σύστημα αποθήκευσης εγγράφων ή σύστημα προεπιλογής. Η δήλωση για την πρόσβαση σε εθνική βάση δεδομένων εμπεριέχεται  στο Ευρωπαϊκό Ενιαίο Έγγραφο Σύμβασης (ΕΕΕΣ), στο οποίο περιέχονται επίσης οι πληροφορίες που απαιτούνται για τον συγκεκριμένο σκοπό, όπως η ηλεκτρονική διεύθυνση της βάσης δεδομένων, τυχόν δεδομένα αναγνώρισης και, κατά περίπτωση, η απαραίτητη δήλωση συναίνεσης. </w:t>
      </w:r>
    </w:p>
    <w:p>
      <w:pPr>
        <w:pStyle w:val="Normal"/>
        <w:rPr>
          <w:bCs/>
          <w:lang w:val="el-GR"/>
        </w:rPr>
      </w:pPr>
      <w:r>
        <w:rPr>
          <w:bCs/>
          <w:lang w:val="el-GR"/>
        </w:rPr>
        <w:t>Οι οικονομικοί φορείς δεν υποχρεούνται να υποβάλουν δικαιολογητικά, όταν η αναθέτουσα αρχή που έχει αναθέσει τη σύμβαση διαθέτει ήδη τα ως άνω δικαιολογητικά και αυτά εξακολουθούν να ισχύουν</w:t>
      </w:r>
      <w:r>
        <w:rPr>
          <w:rStyle w:val="Style19"/>
          <w:bCs/>
          <w:lang w:val="el-GR"/>
        </w:rPr>
        <w:footnoteReference w:id="87"/>
      </w:r>
      <w:r>
        <w:rPr>
          <w:bCs/>
          <w:lang w:val="el-GR"/>
        </w:rPr>
        <w:t>.</w:t>
      </w:r>
    </w:p>
    <w:p>
      <w:pPr>
        <w:pStyle w:val="Normal"/>
        <w:rPr>
          <w:bCs/>
          <w:lang w:val="el-GR"/>
        </w:rPr>
      </w:pPr>
      <w:r>
        <w:rPr>
          <w:bCs/>
          <w:lang w:val="el-GR"/>
        </w:rPr>
        <w:t>Τα δικαιολογητικά του παρόντος υποβάλλονται και γίνονται αποδεκτά σύμφωνα με την παράγραφο 2.4.2.5. και 3.2 της παρούσας.</w:t>
      </w:r>
    </w:p>
    <w:p>
      <w:pPr>
        <w:pStyle w:val="Normal"/>
        <w:rPr>
          <w:lang w:val="el-GR"/>
        </w:rPr>
      </w:pPr>
      <w:r>
        <w:rPr>
          <w:lang w:val="el-GR"/>
        </w:rPr>
        <w:t xml:space="preserve">Τα αποδεικτικά έγγραφα συντάσσονται στην ελληνική γλώσσα ή συνοδεύονται από επίσημη μετάφρασή τους στην ελληνική γλώσσα σύμφωνα με την παράγραφο 2.1.4. </w:t>
      </w:r>
    </w:p>
    <w:p>
      <w:pPr>
        <w:pStyle w:val="Normal"/>
        <w:rPr>
          <w:color w:val="000000"/>
          <w:lang w:val="el-GR"/>
        </w:rPr>
      </w:pPr>
      <w:r>
        <w:rPr>
          <w:b/>
          <w:bCs/>
          <w:lang w:val="el-GR"/>
        </w:rPr>
        <w:t>Β.</w:t>
      </w:r>
      <w:r>
        <w:rPr>
          <w:lang w:val="el-GR"/>
        </w:rPr>
        <w:t xml:space="preserve"> </w:t>
      </w:r>
      <w:r>
        <w:rPr>
          <w:b/>
          <w:lang w:val="el-GR"/>
        </w:rPr>
        <w:t>1.</w:t>
      </w:r>
      <w:r>
        <w:rPr>
          <w:lang w:val="el-GR"/>
        </w:rPr>
        <w:t xml:space="preserve"> Για την απόδειξη της μη συνδρομής των λόγων αποκλεισμού της παραγράφου 2.2.3 οι προσφέροντες οικονομικοί φορείς προσκομίζουν αντίστοιχα τα  δικαιολογητικά που αναφέρονται  παρακάτω</w:t>
      </w:r>
      <w:r>
        <w:rPr>
          <w:rStyle w:val="Style19"/>
          <w:lang w:val="el-GR"/>
        </w:rPr>
        <w:footnoteReference w:id="88"/>
      </w:r>
      <w:r>
        <w:rPr>
          <w:lang w:val="el-GR"/>
        </w:rPr>
        <w:t>.  Οι οικονομικοί φορείς μεριμνούν να διαθέτουν πιστοποιητικά, τα οποία να καλύπτουν και τον χρόνο υποβολής της προσφοράς, προκειμένου να τα υποβάλουν, εφόσον αναδειχθούν προσωρινοί ανάδοχοι. Τα εν λόγω πιστοποιητικά υποβάλλονται μαζί με τα υπόλοιπα αποδεικτικά μέσα της παραγράφου 3.2 της παρούσας, από τον προσωρινό ανάδοχο, μέσω του υποσυστήματος, στον φάκελο «δικαιολογητικά προσωρινού αναδόχου.</w:t>
      </w:r>
    </w:p>
    <w:p>
      <w:pPr>
        <w:pStyle w:val="Normal"/>
        <w:rPr>
          <w:color w:val="000000"/>
          <w:lang w:val="el-GR"/>
        </w:rPr>
      </w:pPr>
      <w:r>
        <w:rPr>
          <w:color w:val="000000"/>
          <w:lang w:val="el-GR"/>
        </w:rPr>
        <w:t>Αν το αρμόδιο για την έκδοση των ανωτέρω κράτος-μέλος ή χώρα δεν εκδίδει τέτοιου είδους έγγραφα ή πιστοποιητικά ή όπου το έγγραφα ή τα πιστοποιητικά αυτά δεν καλύπτουν όλες τις περιπτώσεις που αναφέρονται στις παραγράφους 2.2.3.1 και 2.2.3.2 περ. α’ και β’, καθώς και στην περ. β΄ της παραγράφου 2.2.3.4, τα έγγραφα ή τα πιστοποιητικά μπορεί να αντικαθίστανται από ένορκη βεβαίωση ή, στα κράτη - μέλη ή στις χώρες όπου δεν προβλέπεται ένορκη βεβαίωση, από υπεύθυνη δήλωση του ενδιαφερομένου ενώπιον αρμόδιας δικαστικής ή διοικητικής αρχής, συμβολαιογράφου ή αρμόδιου επαγγελματικού ή εμπορικού οργανισμού του κράτους - μέλους ή της χώρας καταγωγής ή της χώρας όπου είναι εγκατεστημένος ο οικονομικός φορέας. Οι αρμόδιες δημόσιες αρχές παρέχουν, όπου κρίνεται αναγκαίο, επίσημη δήλωση στην οποία αναφέρεται ότι δεν εκδίδονται τα έγγραφα ή τα πιστοποιητικά της παρούσας παραγράφου ή ότι τα έγγραφα αυτά δεν καλύπτουν όλες τις περιπτώσεις που αναφέρονται στις παραγράφους 2.2.3.1 και 2.2.3.2 περ. α’ και β’, καθώς και στην περ. β΄ της παραγράφου 2.2.3.4. Οι επίσημες δηλώσεις καθίστανται διαθέσιμες μέσω του επιγραμμικού αποθετηρίου πιστοποιητικών (</w:t>
      </w:r>
      <w:r>
        <w:rPr>
          <w:color w:val="000000"/>
          <w:lang w:val="en-US"/>
        </w:rPr>
        <w:t>e</w:t>
      </w:r>
      <w:r>
        <w:rPr>
          <w:color w:val="000000"/>
          <w:lang w:val="el-GR"/>
        </w:rPr>
        <w:t>-</w:t>
      </w:r>
      <w:r>
        <w:rPr>
          <w:color w:val="000000"/>
          <w:lang w:val="en-US"/>
        </w:rPr>
        <w:t>Certis</w:t>
      </w:r>
      <w:r>
        <w:rPr>
          <w:color w:val="000000"/>
          <w:lang w:val="el-GR"/>
        </w:rPr>
        <w:t>) του άρθρου 81 του ν. 4412/2016.</w:t>
      </w:r>
    </w:p>
    <w:p>
      <w:pPr>
        <w:pStyle w:val="Normal"/>
        <w:rPr>
          <w:lang w:val="el-GR"/>
        </w:rPr>
      </w:pPr>
      <w:r>
        <w:rPr>
          <w:color w:val="000000"/>
          <w:lang w:val="el-GR"/>
        </w:rPr>
        <w:t>Ειδικότερα οι οικονομικοί φορείς προσκομίζουν:</w:t>
      </w:r>
    </w:p>
    <w:p>
      <w:pPr>
        <w:pStyle w:val="Normal"/>
        <w:rPr>
          <w:lang w:val="el-GR"/>
        </w:rPr>
      </w:pPr>
      <w:r>
        <w:rPr>
          <w:b/>
          <w:bCs/>
          <w:lang w:val="el-GR"/>
        </w:rPr>
        <w:t>α)</w:t>
      </w:r>
      <w:r>
        <w:rPr>
          <w:lang w:val="el-GR"/>
        </w:rPr>
        <w:t xml:space="preserve"> για την παράγραφο 2.2.3.1 απόσπασμα του σχετικού μητρώου, όπως του ποινικού μητρώου ή, ελλείψει αυτού, ισοδύναμο έγγραφο που εκδίδεται από αρμόδια δικαστική ή διοικητική αρχή του κράτους-μέλους ή της χώρας καταγωγής ή της χώρας όπου είναι εγκατεστημένος ο οικονομικός φορέας, από το οποίο προκύπτει ότι πληρούνται αυτές οι προϋποθέσεις, που έχει εκδοθεί έως τρεις (3) μήνες πριν από την υποβολή του.</w:t>
      </w:r>
    </w:p>
    <w:p>
      <w:pPr>
        <w:pStyle w:val="Normal"/>
        <w:rPr>
          <w:b/>
          <w:b/>
          <w:bCs/>
          <w:lang w:val="el-GR"/>
        </w:rPr>
      </w:pPr>
      <w:r>
        <w:rPr>
          <w:lang w:val="el-GR"/>
        </w:rPr>
        <w:t>Η υποχρέωση προσκόμισης του ως άνω αποσπάσματος αφορά και στα μέλη του διοικητικού, διευθυντικού ή εποπτικού οργάνου του εν λόγω οικονομικού φορέα ή στα πρόσωπα που έχουν εξουσία εκπροσώπησης, λήψης αποφάσεων ή ελέγχου σε αυτό κατά τα ειδικότερα αναφερόμενα στην ως άνω παράγραφο 2.2.3.1,</w:t>
      </w:r>
    </w:p>
    <w:p>
      <w:pPr>
        <w:pStyle w:val="Normal"/>
        <w:rPr>
          <w:lang w:val="el-GR"/>
        </w:rPr>
      </w:pPr>
      <w:r>
        <w:rPr>
          <w:b/>
          <w:bCs/>
          <w:lang w:val="el-GR"/>
        </w:rPr>
        <w:t>β)</w:t>
      </w:r>
      <w:r>
        <w:rPr>
          <w:lang w:val="el-GR"/>
        </w:rPr>
        <w:t xml:space="preserve"> για την παράγραφο  2.2.3.2 πιστοποιητικό που εκδίδεται από την αρμόδια αρχή του οικείου κράτους - μέλους ή χώρας, που  είναι εν ισχύ κατά τον χρόνο υποβολής του, άλλως, στην περίπτωση που δεν αναφέρεται σε αυτό χρόνος ισχύος, που  έχει εκδοθεί έως τρεις (3) μήνες πριν από την υποβολή του</w:t>
      </w:r>
      <w:r>
        <w:rPr>
          <w:rStyle w:val="WW1"/>
          <w:lang w:val="el-GR"/>
        </w:rPr>
        <w:t>.</w:t>
      </w:r>
    </w:p>
    <w:p>
      <w:pPr>
        <w:pStyle w:val="Normal"/>
        <w:rPr>
          <w:b/>
          <w:b/>
          <w:bCs/>
          <w:color w:val="000000"/>
          <w:lang w:val="el-GR"/>
        </w:rPr>
      </w:pPr>
      <w:r>
        <w:rPr>
          <w:color w:val="000000"/>
          <w:lang w:val="el-GR"/>
        </w:rPr>
        <w:t>Ιδίως οι οικονομικοί φορείς που είναι εγκατεστημένοι στην Ελλάδα προσκομίζουν:</w:t>
      </w:r>
    </w:p>
    <w:p>
      <w:pPr>
        <w:pStyle w:val="Normal"/>
        <w:rPr>
          <w:color w:val="000000"/>
          <w:lang w:val="el-GR"/>
        </w:rPr>
      </w:pPr>
      <w:r>
        <w:rPr>
          <w:b/>
          <w:bCs/>
          <w:color w:val="000000"/>
          <w:lang w:val="en-US"/>
        </w:rPr>
        <w:t>i</w:t>
      </w:r>
      <w:r>
        <w:rPr>
          <w:b/>
          <w:bCs/>
          <w:color w:val="000000"/>
          <w:lang w:val="el-GR"/>
        </w:rPr>
        <w:t xml:space="preserve">) </w:t>
      </w:r>
      <w:r>
        <w:rPr>
          <w:color w:val="000000"/>
          <w:lang w:val="el-GR"/>
        </w:rPr>
        <w:t xml:space="preserve">Για την απόδειξη της εκπλήρωσης των φορολογικών υποχρεώσεων της παραγράφου 2.2.3.2 περίπτωση (α) αποδεικτικό ενημερότητας εκδιδόμενο από την Α.Α.Δ.Ε.. </w:t>
      </w:r>
    </w:p>
    <w:p>
      <w:pPr>
        <w:pStyle w:val="Normal"/>
        <w:rPr>
          <w:bCs/>
          <w:i/>
          <w:i/>
          <w:color w:val="5B9BD5"/>
          <w:lang w:val="el-GR"/>
        </w:rPr>
      </w:pPr>
      <w:r>
        <w:rPr>
          <w:b/>
          <w:bCs/>
          <w:color w:val="000000"/>
          <w:lang w:val="en-US"/>
        </w:rPr>
        <w:t>ii</w:t>
      </w:r>
      <w:r>
        <w:rPr>
          <w:b/>
          <w:bCs/>
          <w:color w:val="000000"/>
          <w:lang w:val="el-GR"/>
        </w:rPr>
        <w:t xml:space="preserve">) </w:t>
      </w:r>
      <w:r>
        <w:rPr>
          <w:color w:val="000000"/>
          <w:lang w:val="el-GR"/>
        </w:rPr>
        <w:t xml:space="preserve">Για την απόδειξη της εκπλήρωσης των υποχρεώσεων προς τους οργανισμούς κοινωνικής ασφάλισης της παραγράφου 2.2.3.2 περίπτωση α’ πιστοποιητικό εκδιδόμενο από τον </w:t>
      </w:r>
      <w:r>
        <w:rPr>
          <w:color w:val="000000"/>
          <w:lang w:val="en-US"/>
        </w:rPr>
        <w:t>e</w:t>
      </w:r>
      <w:r>
        <w:rPr>
          <w:color w:val="000000"/>
          <w:lang w:val="el-GR"/>
        </w:rPr>
        <w:t xml:space="preserve">-ΕΦΚΑ. </w:t>
      </w:r>
    </w:p>
    <w:p>
      <w:pPr>
        <w:pStyle w:val="Normal"/>
        <w:rPr>
          <w:b/>
          <w:b/>
          <w:bCs/>
          <w:color w:val="000000"/>
          <w:lang w:val="el-GR"/>
        </w:rPr>
      </w:pPr>
      <w:r>
        <w:rPr>
          <w:b/>
          <w:bCs/>
          <w:color w:val="000000"/>
          <w:lang w:val="en-US"/>
        </w:rPr>
        <w:t>iii</w:t>
      </w:r>
      <w:r>
        <w:rPr>
          <w:b/>
          <w:bCs/>
          <w:color w:val="000000"/>
          <w:lang w:val="el-GR"/>
        </w:rPr>
        <w:t xml:space="preserve">) </w:t>
      </w:r>
      <w:r>
        <w:rPr>
          <w:color w:val="000000"/>
          <w:lang w:val="el-GR"/>
        </w:rPr>
        <w:t>Για την παράγραφο 2.2.3.2 περίπτωση α’, πλέον των ως άνω πιστοποιητικών, υπεύθυνη δήλωση ότι δεν έχει εκδοθεί δικαστική ή διοικητική απόφαση με τελεσίδικη και δεσμευτική ισχύ για την αθέτηση των υποχρεώσεών τους όσον αφορά στην καταβολή φόρων ή εισφορών κοινωνικής ασφάλισης.</w:t>
      </w:r>
    </w:p>
    <w:p>
      <w:pPr>
        <w:pStyle w:val="Normal"/>
        <w:rPr>
          <w:color w:val="000000"/>
          <w:lang w:val="el-GR"/>
        </w:rPr>
      </w:pPr>
      <w:r>
        <w:rPr>
          <w:b/>
          <w:bCs/>
          <w:color w:val="000000"/>
          <w:lang w:val="el-GR"/>
        </w:rPr>
        <w:t>γ)</w:t>
      </w:r>
      <w:r>
        <w:rPr>
          <w:color w:val="000000"/>
          <w:lang w:val="el-GR"/>
        </w:rPr>
        <w:t xml:space="preserve"> για την παράγραφο 2.2.3.4</w:t>
      </w:r>
      <w:r>
        <w:rPr>
          <w:rStyle w:val="Style19"/>
          <w:color w:val="000000"/>
          <w:lang w:val="el-GR"/>
        </w:rPr>
        <w:footnoteReference w:id="89"/>
      </w:r>
      <w:r>
        <w:rPr>
          <w:color w:val="000000"/>
          <w:lang w:val="el-GR"/>
        </w:rPr>
        <w:t xml:space="preserve"> περίπτωση β΄ πιστοποιητικό που εκδίδεται από την αρμόδια αρχή του οικείου κράτους - μέλους ή χώρας, το οποίο   έχει εκδοθεί έως τρεις (3) μήνες πριν από την υποβολή του. </w:t>
      </w:r>
    </w:p>
    <w:p>
      <w:pPr>
        <w:pStyle w:val="Normal"/>
        <w:rPr>
          <w:b/>
          <w:b/>
          <w:bCs/>
          <w:color w:val="000000"/>
          <w:lang w:val="el-GR"/>
        </w:rPr>
      </w:pPr>
      <w:r>
        <w:rPr>
          <w:color w:val="000000"/>
          <w:lang w:val="el-GR"/>
        </w:rPr>
        <w:t>Ιδίως οι οικονομικοί φορείς που είναι εγκατεστημένοι στην Ελλάδα προσκομίζουν:</w:t>
      </w:r>
    </w:p>
    <w:p>
      <w:pPr>
        <w:pStyle w:val="Normal"/>
        <w:rPr>
          <w:b/>
          <w:b/>
          <w:lang w:val="el-GR"/>
        </w:rPr>
      </w:pPr>
      <w:bookmarkStart w:id="32" w:name="_Hlk69240569"/>
      <w:r>
        <w:rPr>
          <w:b/>
          <w:bCs/>
          <w:lang w:val="en-US"/>
        </w:rPr>
        <w:t>i</w:t>
      </w:r>
      <w:r>
        <w:rPr>
          <w:b/>
          <w:bCs/>
          <w:lang w:val="el-GR"/>
        </w:rPr>
        <w:t>)</w:t>
      </w:r>
      <w:r>
        <w:rPr>
          <w:bCs/>
          <w:lang w:val="el-GR"/>
        </w:rPr>
        <w:t xml:space="preserve"> Ενιαίο Πιστοποιητικό Δικαστικής Φερεγγυότητας</w:t>
      </w:r>
      <w:bookmarkEnd w:id="32"/>
      <w:r>
        <w:rPr>
          <w:bCs/>
          <w:lang w:val="el-GR"/>
        </w:rPr>
        <w:t xml:space="preserve"> από το αρμόδιο Πρωτοδικείο, από το οποίο προκύπτει ότι δεν τελούν υπό πτώχευση, πτωχευτικό συμβιβασμό ή υπό αναγκαστική διαχείριση ή δικαστική εκκαθάριση ή ότι δεν έχουν υπαχθεί σε διαδικασία εξυγίανσης.  Ειδικά για τη διαδικασία εξυγίανσης προσκομίζεται επιπλέον υπεύθυνη δήλωση του νόμιμου εκπροσώπου του οικονομικού φορέα ότι τηρούνται οι όροι της συμφωνίας εξυγίανσης. Για τις ΙΚΕ προσκομίζεται επιπλέον και πιστοποιητικό του Γ.Ε.Μ.Η. περί μη έκδοσης απόφασης λύσης ή κατάθεσης αίτησης λύσης του νομικού προσώπου, ενώ για τις ΕΠΕ προσκομίζεται επιπλέον πιστοποιητικό μεταβολών. </w:t>
      </w:r>
    </w:p>
    <w:p>
      <w:pPr>
        <w:pStyle w:val="Normal"/>
        <w:rPr>
          <w:b/>
          <w:b/>
          <w:bCs/>
          <w:color w:val="000000"/>
          <w:lang w:val="el-GR"/>
        </w:rPr>
      </w:pPr>
      <w:r>
        <w:rPr>
          <w:b/>
          <w:lang w:val="en-US"/>
        </w:rPr>
        <w:t>ii</w:t>
      </w:r>
      <w:r>
        <w:rPr>
          <w:b/>
          <w:lang w:val="el-GR"/>
        </w:rPr>
        <w:t xml:space="preserve">) </w:t>
      </w:r>
      <w:r>
        <w:rPr>
          <w:bCs/>
          <w:lang w:val="el-GR"/>
        </w:rPr>
        <w:t>Π</w:t>
      </w:r>
      <w:r>
        <w:rPr>
          <w:lang w:val="el-GR"/>
        </w:rPr>
        <w:t xml:space="preserve">ιστοποιητικό του Γ.Ε.Μ.Η. από το οποίο προκύπτει ότι το νομικό πρόσωπο δεν έχει λυθεί και τεθεί υπό εκκαθάριση με απόφαση των εταίρων. </w:t>
      </w:r>
    </w:p>
    <w:p>
      <w:pPr>
        <w:pStyle w:val="Normal"/>
        <w:rPr>
          <w:bCs/>
          <w:color w:val="000000"/>
          <w:lang w:val="el-GR"/>
        </w:rPr>
      </w:pPr>
      <w:r>
        <w:rPr>
          <w:b/>
          <w:bCs/>
          <w:color w:val="000000"/>
          <w:lang w:val="en-US"/>
        </w:rPr>
        <w:t>iii</w:t>
      </w:r>
      <w:r>
        <w:rPr>
          <w:b/>
          <w:bCs/>
          <w:color w:val="000000"/>
          <w:lang w:val="el-GR"/>
        </w:rPr>
        <w:t xml:space="preserve">) </w:t>
      </w:r>
      <w:r>
        <w:rPr>
          <w:color w:val="000000"/>
          <w:lang w:val="el-GR"/>
        </w:rPr>
        <w:t xml:space="preserve">Εκτύπωση της καρτέλας “Στοιχεία Μητρώου/ Επιχείρησης” </w:t>
      </w:r>
      <w:r>
        <w:rPr>
          <w:bCs/>
          <w:lang w:val="el-GR"/>
        </w:rPr>
        <w:t>από την ηλεκτρονική πλατφόρμα της Ανεξάρτητης Αρχής Δημοσίων Εσόδων</w:t>
      </w:r>
      <w:r>
        <w:rPr>
          <w:color w:val="000000"/>
          <w:lang w:val="el-GR"/>
        </w:rPr>
        <w:t xml:space="preserve">, όπως αυτά εμφανίζονται στο taxisnet, από την οποία να προκύπτει η </w:t>
      </w:r>
      <w:r>
        <w:rPr>
          <w:bCs/>
          <w:color w:val="000000"/>
          <w:lang w:val="el-GR"/>
        </w:rPr>
        <w:t>μη αναστολή της επιχειρηματικής δραστηριότητάς τους.</w:t>
      </w:r>
    </w:p>
    <w:p>
      <w:pPr>
        <w:pStyle w:val="Normal"/>
        <w:rPr>
          <w:b/>
          <w:b/>
          <w:color w:val="000000"/>
          <w:lang w:val="el-GR"/>
        </w:rPr>
      </w:pPr>
      <w:r>
        <w:rPr>
          <w:bCs/>
          <w:color w:val="000000"/>
          <w:lang w:val="el-GR"/>
        </w:rPr>
        <w:t>Προκειμένου για τα σωματεία και τους συνεταιρισμούς, το Ενιαίο Πιστοποιητικό Δικαστικής Φερεγγυότητας εκδίδεται για τα σωματεία από το αρμόδιο Πρωτοδικείο, και για τους συνεταιρισμούς για το χρονικό διάστημα έως τις 31.12.2019 από το Ειρηνοδικείο και μετά την παραπάνω ημερομηνία από το Γ.Ε.Μ.Η.</w:t>
      </w:r>
    </w:p>
    <w:p>
      <w:pPr>
        <w:pStyle w:val="Normal"/>
        <w:rPr>
          <w:b/>
          <w:b/>
          <w:bCs/>
          <w:lang w:val="el-GR"/>
        </w:rPr>
      </w:pPr>
      <w:r>
        <w:rPr>
          <w:b/>
          <w:color w:val="000000"/>
          <w:lang w:val="el-GR"/>
        </w:rPr>
        <w:t>δ)</w:t>
      </w:r>
      <w:r>
        <w:rPr>
          <w:color w:val="000000"/>
          <w:lang w:val="el-GR"/>
        </w:rPr>
        <w:t xml:space="preserve"> για τις λοιπές περιπτώσεις της παραγράφου 2.2.3.4, υπεύθυνη δήλωση του προσφέροντος οικονομικού φορέα ότι δεν συντρέχουν στο πρόσωπό του οι οριζόμενοι στην παράγραφο λόγοι αποκλεισμού</w:t>
      </w:r>
      <w:r>
        <w:rPr>
          <w:rStyle w:val="Style19"/>
          <w:color w:val="000000"/>
          <w:lang w:val="el-GR"/>
        </w:rPr>
        <w:footnoteReference w:id="90"/>
      </w:r>
      <w:r>
        <w:rPr>
          <w:color w:val="000000"/>
          <w:lang w:val="el-GR"/>
        </w:rPr>
        <w:t>.</w:t>
      </w:r>
    </w:p>
    <w:p>
      <w:pPr>
        <w:pStyle w:val="Normal"/>
        <w:rPr>
          <w:b/>
          <w:b/>
          <w:bCs/>
          <w:color w:val="000000"/>
          <w:lang w:val="el-GR"/>
        </w:rPr>
      </w:pPr>
      <w:r>
        <w:rPr>
          <w:b/>
          <w:bCs/>
          <w:lang w:val="el-GR"/>
        </w:rPr>
        <w:t xml:space="preserve">ε) </w:t>
      </w:r>
      <w:r>
        <w:rPr>
          <w:lang w:val="el-GR"/>
        </w:rPr>
        <w:t>για την παράγραφο 2.2.3.9. υπεύθυνη δήλωση του προσφέροντος οικονομικού φορέα περί μη επιβολής σε βάρος του της κύρωσης του οριζόντιου αποκλεισμού, σύμφωνα τις διατάξεις της κείμενης νομοθεσίας.</w:t>
      </w:r>
    </w:p>
    <w:p>
      <w:pPr>
        <w:pStyle w:val="Normal"/>
        <w:rPr>
          <w:rFonts w:eastAsia="Calibri"/>
          <w:lang w:val="el-GR"/>
        </w:rPr>
      </w:pPr>
      <w:r>
        <w:rPr>
          <w:rFonts w:eastAsia="Calibri"/>
          <w:lang w:val="el-GR"/>
        </w:rPr>
      </w:r>
    </w:p>
    <w:p>
      <w:pPr>
        <w:pStyle w:val="Normal"/>
        <w:rPr>
          <w:rFonts w:eastAsia="Calibri"/>
          <w:lang w:val="el-GR"/>
        </w:rPr>
      </w:pPr>
      <w:r>
        <w:rPr>
          <w:b/>
          <w:bCs/>
          <w:lang w:val="en-US"/>
        </w:rPr>
        <w:t>B</w:t>
      </w:r>
      <w:r>
        <w:rPr>
          <w:b/>
          <w:bCs/>
          <w:lang w:val="el-GR"/>
        </w:rPr>
        <w:t>. 2.</w:t>
      </w:r>
      <w:r>
        <w:rPr>
          <w:lang w:val="el-GR"/>
        </w:rPr>
        <w:t xml:space="preserve"> </w:t>
      </w:r>
      <w:r>
        <w:rPr>
          <w:rFonts w:eastAsia="Calibri"/>
          <w:lang w:val="el-GR"/>
        </w:rPr>
        <w:t>Για την απόδειξη της απαίτησης του άρθρου 2.2.4. (απόδειξη καταλληλότητας για την άσκηση επαγγελματικής δραστηριότητας) προσκομίζουν πιστοποιητικό/βεβαίωση του οικείου επαγγελματικού ή εμπορικού μητρώου του κράτους εγκατάστασης. Οι οικονομικοί φορείς που είναι εγκατεστημένοι σε κράτος μέλος της Ευρωπαϊκής Ένωσης προσκομίζουν πιστοποιητικό/βεβαίωση του αντίστοιχου επαγγελματικού ή εμπορικού μητρώου του Παραρτήματος XI του Προσαρτήματος Α΄ του ν. 4412/2016, με το οποίο πιστοποιείται αφενός η εγγραφή τους σε αυτό και αφετέρου το ειδικό επάγγελμά τους. Στην περίπτωση που χώρα δεν τηρεί τέτοιο μητρώο, το έγγραφο ή το πιστοποιητικό μπορεί να αντικαθίσταται από ένορκη βεβαίωση ή, στα κράτη - μέλη ή στις χώρες όπου δεν προβλέπεται ένορκη βεβαίωση, από υπεύθυνη δήλωση του ενδιαφερομένου ενώπιον αρμόδιας δικαστικής ή διοικητικής αρχής, συμβολαιογράφου ή αρμόδιου επαγγελματικού ή εμπορικού οργανισμού της χώρας καταγωγής ή της χώρας όπου είναι εγκατεστημένος ο οικονομικός φορέας ότι δεν τηρείται τέτοιο μητρώο και ότι ασκεί τη δραστηριότητα που απαιτείται για την εκτέλεση του αντικειμένου της υπό ανάθεση σύμβασης.</w:t>
      </w:r>
      <w:r>
        <w:rPr>
          <w:rStyle w:val="Style19"/>
          <w:rFonts w:eastAsia="Calibri"/>
          <w:lang w:val="el-GR"/>
        </w:rPr>
        <w:footnoteReference w:id="91"/>
      </w:r>
    </w:p>
    <w:p>
      <w:pPr>
        <w:pStyle w:val="Normal"/>
        <w:rPr>
          <w:rFonts w:eastAsia="Calibri"/>
          <w:b/>
          <w:b/>
          <w:lang w:val="el-GR"/>
        </w:rPr>
      </w:pPr>
      <w:r>
        <w:rPr>
          <w:rFonts w:eastAsia="Calibri"/>
          <w:lang w:val="el-GR"/>
        </w:rPr>
        <w:t xml:space="preserve">Οι  εγκατεστημένοι στην Ελλάδα οικονομικοί φορείς προσκομίζουν βεβαίωση εγγραφής στο Βιοτεχνικό ή Εμπορικό ή Βιομηχανικό Επιμελητήριο ή στο Μητρώο Κατασκευαστών Αμυντικού Υλικού ή πιστοποιητικό που εκδίδεται από την οικεία υπηρεσία του Γ.Ε.Μ.Η. των ως άνω Επιμελητηρίων. </w:t>
      </w:r>
      <w:r>
        <w:rPr>
          <w:lang w:val="el-GR"/>
        </w:rPr>
        <w:t>Για την απόδειξη άσκησης γεωργικού ή κτηνοτροφικού επαγγέλματος, οι αναθέτουσες αρχές απαιτούν σχετική βεβαίωση άσκησης επαγγέλματος, από αρμόδια διοικητική αρχή ή αρχή Οργανισμού Τοπικής Αυτοδιοίκησης.</w:t>
      </w:r>
    </w:p>
    <w:p>
      <w:pPr>
        <w:pStyle w:val="Normal"/>
        <w:rPr>
          <w:bCs/>
          <w:lang w:val="el-GR"/>
        </w:rPr>
      </w:pPr>
      <w:r>
        <w:rPr>
          <w:rFonts w:eastAsia="Calibri"/>
          <w:lang w:val="el-GR"/>
        </w:rPr>
        <w:t>Επισημαίνεται ότι, τα δικαιολογητικά που αφορούν στην απόδειξη της απαίτησης του άρθρου 2.2.4 (απόδειξη καταλληλότητας για την άσκηση επαγγελματικής δραστηριότητας) γίνονται αποδεκτά, εφόσον έχουν εκδοθεί έως τριάντα (30) εργάσιμες ημέρες πριν από την υποβολή τους,</w:t>
      </w:r>
      <w:r>
        <w:rPr>
          <w:rFonts w:cs="Cambria" w:ascii="Cambria" w:hAnsi="Cambria"/>
          <w:szCs w:val="22"/>
          <w:lang w:val="el-GR"/>
        </w:rPr>
        <w:t xml:space="preserve"> </w:t>
      </w:r>
      <w:r>
        <w:rPr>
          <w:rFonts w:eastAsia="Calibri"/>
          <w:lang w:val="el-GR"/>
        </w:rPr>
        <w:t>εκτός εάν, σύμφωνα με τις ειδικότερες διατάξεις αυτών, φέρουν συγκεκριμένο χρόνο ισχύος.</w:t>
      </w:r>
    </w:p>
    <w:p>
      <w:pPr>
        <w:pStyle w:val="Normal"/>
        <w:rPr>
          <w:bCs/>
          <w:i/>
          <w:i/>
          <w:color w:val="4472C4"/>
          <w:lang w:val="el-GR"/>
        </w:rPr>
      </w:pPr>
      <w:r>
        <w:rPr>
          <w:b/>
          <w:bCs/>
          <w:lang w:val="el-GR"/>
        </w:rPr>
        <w:t>Β.3.</w:t>
      </w:r>
      <w:r>
        <w:rPr>
          <w:lang w:val="el-GR"/>
        </w:rPr>
        <w:t xml:space="preserve"> Για την απόδειξη της οικονομικής και χρηματοοικονομικής επάρκειας της παραγράφου 2.2.5 οι οικονομικοί φορείς προσκομίζουν</w:t>
      </w:r>
      <w:r>
        <w:rPr>
          <w:rStyle w:val="Style19"/>
          <w:szCs w:val="22"/>
        </w:rPr>
        <w:footnoteReference w:id="92"/>
      </w:r>
      <w:r>
        <w:rPr>
          <w:lang w:val="el-GR"/>
        </w:rPr>
        <w:t xml:space="preserve"> </w:t>
      </w:r>
    </w:p>
    <w:p>
      <w:pPr>
        <w:pStyle w:val="Normal"/>
        <w:rPr>
          <w:rFonts w:eastAsia="Calibri"/>
          <w:lang w:val="el-GR"/>
        </w:rPr>
      </w:pPr>
      <w:r>
        <w:rPr>
          <w:rFonts w:eastAsia="Calibri"/>
          <w:lang w:val="el-GR"/>
        </w:rPr>
        <w:t>Εάν ο οικονομικός φορέας, για βάσιμο λόγο, δεν είναι σε θέση να προσκομίσει τα ανωτέρω δικαιολογητικά, μπορεί να αποδεικνύει την οικονομική και χρηματοοικονομική του επάρκεια με οποιοδήποτε άλλο κατάλληλο έγγραφο.</w:t>
      </w:r>
      <w:r>
        <w:rPr>
          <w:rStyle w:val="Style19"/>
          <w:rFonts w:eastAsia="Calibri"/>
          <w:vertAlign w:val="superscript"/>
          <w:lang w:val="el-GR"/>
        </w:rPr>
        <w:footnoteReference w:id="93"/>
      </w:r>
    </w:p>
    <w:p>
      <w:pPr>
        <w:pStyle w:val="Normal"/>
        <w:rPr>
          <w:i/>
          <w:i/>
          <w:color w:val="4472C4"/>
          <w:lang w:val="el-GR"/>
        </w:rPr>
      </w:pPr>
      <w:r>
        <w:rPr>
          <w:color w:val="4472C4"/>
          <w:lang w:val="el-GR"/>
        </w:rPr>
        <w:t xml:space="preserve"> </w:t>
      </w:r>
      <w:r>
        <w:rPr>
          <w:b/>
          <w:bCs/>
          <w:lang w:val="el-GR"/>
        </w:rPr>
        <w:t xml:space="preserve">Β.4. </w:t>
      </w:r>
      <w:r>
        <w:rPr>
          <w:lang w:val="el-GR"/>
        </w:rPr>
        <w:t>Για την απόδειξη της τεχνικής ικανότητας της παραγράφου 2.2.6 οι οικονομικοί φορείς προσκομίζουν:</w:t>
      </w:r>
      <w:r>
        <w:rPr>
          <w:rStyle w:val="Style19"/>
          <w:szCs w:val="22"/>
        </w:rPr>
        <w:footnoteReference w:id="94"/>
      </w:r>
      <w:r>
        <w:rPr>
          <w:lang w:val="el-GR"/>
        </w:rPr>
        <w:t xml:space="preserve"> </w:t>
      </w:r>
    </w:p>
    <w:p>
      <w:pPr>
        <w:pStyle w:val="Normal"/>
        <w:rPr>
          <w:i/>
          <w:i/>
          <w:color w:val="4472C4"/>
          <w:lang w:val="el-GR"/>
        </w:rPr>
      </w:pPr>
      <w:r>
        <w:rPr>
          <w:i/>
          <w:color w:val="4472C4"/>
          <w:lang w:val="el-GR"/>
        </w:rPr>
        <w:t xml:space="preserve"> </w:t>
      </w:r>
      <w:r>
        <w:rPr>
          <w:b/>
          <w:bCs/>
          <w:lang w:val="el-GR"/>
        </w:rPr>
        <w:t xml:space="preserve">Β.5. </w:t>
      </w:r>
      <w:r>
        <w:rPr>
          <w:lang w:val="el-GR"/>
        </w:rPr>
        <w:t xml:space="preserve">Για την απόδειξη της συμμόρφωσής τους με </w:t>
      </w:r>
      <w:r>
        <w:rPr>
          <w:color w:val="000000"/>
          <w:lang w:val="el-GR"/>
        </w:rPr>
        <w:t>πρότυπα διασφάλισης ποιότητας και πρότυπα περιβαλλοντικής διαχείρισης</w:t>
      </w:r>
      <w:r>
        <w:rPr>
          <w:lang w:val="el-GR"/>
        </w:rPr>
        <w:t xml:space="preserve"> της παραγράφου 2.2.7 οι οικονομικοί φορείς προσκομίζουν τα κάτωθι πιστοποιητικά</w:t>
      </w:r>
      <w:r>
        <w:rPr>
          <w:rStyle w:val="Style19"/>
          <w:color w:val="auto"/>
          <w:lang w:val="el-GR"/>
        </w:rPr>
        <w:footnoteReference w:id="95"/>
      </w:r>
      <w:r>
        <w:rPr>
          <w:color w:val="auto"/>
          <w:lang w:val="el-GR"/>
        </w:rPr>
        <w:t>:</w:t>
      </w:r>
      <w:r>
        <w:rPr>
          <w:i/>
          <w:color w:val="auto"/>
          <w:lang w:val="el-GR"/>
        </w:rPr>
        <w:t xml:space="preserve"> Ότι προβλέπεται στο Παράρτημα Ι</w:t>
      </w:r>
    </w:p>
    <w:p>
      <w:pPr>
        <w:pStyle w:val="Normal"/>
        <w:rPr>
          <w:lang w:val="el-GR"/>
        </w:rPr>
      </w:pPr>
      <w:r>
        <w:rPr>
          <w:b/>
          <w:bCs/>
          <w:lang w:val="el-GR"/>
        </w:rPr>
        <w:t>Β.6.</w:t>
      </w:r>
      <w:r>
        <w:rPr>
          <w:lang w:val="el-GR"/>
        </w:rPr>
        <w:t xml:space="preserve"> Για την απόδειξη της νόμιμης εκπροσώπησης, στις περιπτώσεις που ο οικονομικός φορέας είναι νομικό πρόσωπο και εγγράφεται υποχρεωτικά ή προαιρετικά, κατά την κείμενη νομοθεσία, και δηλώνει την εκπροσώπηση και τις μεταβολές της σε αρμόδια αρχή (πχ ΓΕΜΗ), προσκομίζει σχετικό πιστοποιητικό ισχύουσας εκπροσώπησης, το οποίο πρέπει να έχει εκδοθεί έως τριάντα (30) εργάσιμες ημέρες πριν από την υποβολή του,  εκτός αν αυτό φέρει συγκεκριμένο χρόνο ισχύος.</w:t>
      </w:r>
    </w:p>
    <w:p>
      <w:pPr>
        <w:pStyle w:val="Normal"/>
        <w:rPr>
          <w:lang w:val="el-GR"/>
        </w:rPr>
      </w:pPr>
      <w:r>
        <w:rPr>
          <w:lang w:val="el-GR"/>
        </w:rPr>
        <w:t>Ειδικότερα για τους ημεδαπούς οικονομικούς φορείς προσκομίζονται:</w:t>
      </w:r>
    </w:p>
    <w:p>
      <w:pPr>
        <w:pStyle w:val="Normal"/>
        <w:rPr>
          <w:lang w:val="el-GR"/>
        </w:rPr>
      </w:pPr>
      <w:r>
        <w:rPr>
          <w:lang w:val="el-GR"/>
        </w:rPr>
        <w:t xml:space="preserve">i) </w:t>
      </w:r>
      <w:r>
        <w:rPr>
          <w:b/>
          <w:lang w:val="el-GR"/>
        </w:rPr>
        <w:t>για την απόδειξη της νόμιμης εκπροσώπησης</w:t>
      </w:r>
      <w:r>
        <w:rPr>
          <w:lang w:val="el-GR"/>
        </w:rPr>
        <w:t>, στις περιπτώσεις που ο οικονομικός φορέας είναι νομικό πρόσωπο και υποχρεούται, κατά την κείμενη νομοθεσία, να δηλώνει την εκπροσώπηση και τις μεταβολές</w:t>
      </w:r>
    </w:p>
    <w:p>
      <w:pPr>
        <w:pStyle w:val="Normal"/>
        <w:rPr>
          <w:lang w:val="el-GR"/>
        </w:rPr>
      </w:pPr>
      <w:r>
        <w:rPr>
          <w:lang w:val="el-GR"/>
        </w:rPr>
        <w:t xml:space="preserve"> </w:t>
      </w:r>
      <w:r>
        <w:rPr>
          <w:lang w:val="el-GR"/>
        </w:rPr>
        <w:t>της στο ΓΕΜΗ</w:t>
      </w:r>
      <w:r>
        <w:rPr>
          <w:rStyle w:val="Style19"/>
          <w:lang w:val="el-GR"/>
        </w:rPr>
        <w:footnoteReference w:id="96"/>
      </w:r>
      <w:r>
        <w:rPr>
          <w:lang w:val="el-GR"/>
        </w:rPr>
        <w:t>, προσκομίζει σχετικό πιστοποιητικό ισχύουσας εκπροσώπησης</w:t>
      </w:r>
      <w:r>
        <w:rPr>
          <w:rStyle w:val="Style19"/>
          <w:lang w:val="el-GR"/>
        </w:rPr>
        <w:footnoteReference w:id="97"/>
      </w:r>
      <w:r>
        <w:rPr>
          <w:lang w:val="el-GR"/>
        </w:rPr>
        <w:t xml:space="preserve">, το οποίο πρέπει να έχει εκδοθεί έως τριάντα (30) εργάσιμες ημέρες πριν από την υποβολή του.  </w:t>
      </w:r>
    </w:p>
    <w:p>
      <w:pPr>
        <w:pStyle w:val="Normal"/>
        <w:rPr>
          <w:lang w:val="el-GR"/>
        </w:rPr>
      </w:pPr>
      <w:r>
        <w:rPr>
          <w:lang w:val="el-GR"/>
        </w:rPr>
        <w:t xml:space="preserve"> </w:t>
      </w:r>
      <w:r>
        <w:rPr>
          <w:lang w:val="el-GR"/>
        </w:rPr>
        <w:t xml:space="preserve">ii) Για την </w:t>
      </w:r>
      <w:r>
        <w:rPr>
          <w:b/>
          <w:lang w:val="el-GR"/>
        </w:rPr>
        <w:t>απόδειξη της νόμιμης σύστασης και των μεταβολών</w:t>
      </w:r>
      <w:r>
        <w:rPr>
          <w:lang w:val="el-GR"/>
        </w:rPr>
        <w:t xml:space="preserve"> του νομικού προσώπου γενικό πιστοποιητικό μεταβολών του ΓΕΜΗ, εφόσον έχει εκδοθεί έως τρεις (3) μήνες πριν από την υποβολή του.</w:t>
      </w:r>
    </w:p>
    <w:p>
      <w:pPr>
        <w:pStyle w:val="Normal"/>
        <w:rPr>
          <w:color w:val="000000"/>
          <w:lang w:val="el-GR"/>
        </w:rPr>
      </w:pPr>
      <w:r>
        <w:rPr>
          <w:lang w:val="el-GR"/>
        </w:rPr>
        <w:t xml:space="preserve"> </w:t>
      </w:r>
      <w:r>
        <w:rPr>
          <w:lang w:val="el-GR"/>
        </w:rPr>
        <w:t>Στις λοιπές περιπτώσεις τα κατά περίπτωση νομιμοποιητικά έγγραφα σύστασης και νόμιμης εκπροσώπησης (όπως καταστατικά, πιστοποιητικά μεταβολών, αντίστοιχα ΦΕΚ, αποφάσεις συγκρότησης οργάνων διοίκησης σε σώμα, κλπ., ανάλογα με τη νομική μορφή του οικονομικού φορέα), συνοδευόμενα από υπεύθυνη δήλωση του νόμιμου εκπροσώπου ότι εξακολουθούν να ισχύουν κατά την υποβολή τους.</w:t>
      </w:r>
    </w:p>
    <w:p>
      <w:pPr>
        <w:pStyle w:val="Normal"/>
        <w:rPr>
          <w:lang w:val="el-GR"/>
        </w:rPr>
      </w:pPr>
      <w:r>
        <w:rPr>
          <w:color w:val="000000"/>
          <w:lang w:val="el-GR"/>
        </w:rPr>
        <w:t>Σε περίπτωση που για τη διενέργεια της παρούσας διαδικασίας ανάθεσης έχουν χορηγηθεί εξουσίες σε πρόσωπο πλέον αυτών που αναφέρονται στα παραπάνω έγγραφα, προσκομίζεται επιπλέον απόφαση- πρακτικό του αρμόδιου καταστατικού οργάνου διοίκησης του νομικού προσώπου με την οποία χορηγήθηκαν οι σχετικές εξουσίες. Όσον αφορά τα φυσικά πρόσωπα, εφόσον έχουν χορηγηθεί εξουσίες σε τρίτα πρόσωπα, προσκομίζεται εξουσιοδότηση του οικονομικού φορέα.</w:t>
      </w:r>
    </w:p>
    <w:p>
      <w:pPr>
        <w:pStyle w:val="Normal"/>
        <w:rPr>
          <w:bCs/>
          <w:lang w:val="el-GR"/>
        </w:rPr>
      </w:pPr>
      <w:r>
        <w:rPr>
          <w:bCs/>
          <w:lang w:val="el-GR"/>
        </w:rPr>
        <w:t>Οι αλλοδαποί οικονομικοί φορείς προσκομίζουν τα προβλεπόμενα, κατά τη νομοθεσία της χώρας εγκατάστασης, αποδεικτικά έγγραφα και εφόσον δεν προβλέπονται, υπεύθυνη δήλωση του νόμιμου εκπροσώπου, από την οποία αποδεικνύονται τα ανωτέρω ως προς τη νόμιμη σύσταση, μεταβολές και εκπροσώπηση του οικονομικού φορέα.</w:t>
      </w:r>
    </w:p>
    <w:p>
      <w:pPr>
        <w:pStyle w:val="Normal"/>
        <w:rPr>
          <w:lang w:val="el-GR"/>
        </w:rPr>
      </w:pPr>
      <w:r>
        <w:rPr>
          <w:bCs/>
          <w:lang w:val="el-GR"/>
        </w:rPr>
        <w:t>Οι ως άνω υπεύθυνες δηλώσεις γίνονται αποδεκτές, εφόσον έχουν συνταχθεί μετά την κοινοποίηση της πρόσκλησης για την υποβολή των δικαιολογητικών.</w:t>
      </w:r>
    </w:p>
    <w:p>
      <w:pPr>
        <w:pStyle w:val="Normal"/>
        <w:rPr>
          <w:b/>
          <w:b/>
          <w:bCs/>
          <w:lang w:val="el-GR"/>
        </w:rPr>
      </w:pPr>
      <w:r>
        <w:rPr>
          <w:lang w:val="el-GR"/>
        </w:rPr>
        <w:t>Από τα ανωτέρω έγγραφα πρέπει να προκύπτουν η νόμιμη σύσταση  του οικονομικού φορέα, όλες οι σχετικές τροποποιήσεις των καταστατικών, το/τα πρόσωπο/α που δεσμεύει/ουν νόμιμα την εταιρεία κατά την ημερομηνία διενέργειας του διαγωνισμού (νόμιμος εκπρόσωπος, δικαίωμα υπογραφής κλπ.), τυχόν τρίτοι, στους οποίους έχει χορηγηθεί εξουσία εκπροσώπησης, καθώς και η θητεία του/των ή/και των μελών του οργάνου διοίκησης/ νόμιμου εκπροσώπου.</w:t>
      </w:r>
    </w:p>
    <w:p>
      <w:pPr>
        <w:pStyle w:val="Normal"/>
        <w:rPr>
          <w:lang w:val="el-GR"/>
        </w:rPr>
      </w:pPr>
      <w:r>
        <w:rPr>
          <w:b/>
          <w:bCs/>
          <w:lang w:val="el-GR"/>
        </w:rPr>
        <w:t>Β.7.</w:t>
      </w:r>
      <w:r>
        <w:rPr>
          <w:lang w:val="el-GR"/>
        </w:rPr>
        <w:t xml:space="preserve"> Οι οικονομικοί φορείς που είναι εγγεγραμμένοι σε επίσημους καταλόγους</w:t>
      </w:r>
      <w:r>
        <w:rPr>
          <w:rStyle w:val="Style19"/>
          <w:szCs w:val="22"/>
        </w:rPr>
        <w:footnoteReference w:id="98"/>
      </w:r>
      <w:r>
        <w:rPr>
          <w:lang w:val="el-GR"/>
        </w:rPr>
        <w:t xml:space="preserve"> που προβλέπονται από τις εκάστοτε ισχύουσες εθνικές διατάξεις ή διαθέτουν πιστοποίηση από οργανισμούς πιστοποίησης που συμμορφώνονται με τα ευρωπαϊκά πρότυπα πιστοποίησης, κατά την έννοια του Παραρτήματος </w:t>
      </w:r>
      <w:r>
        <w:rPr/>
        <w:t>VII</w:t>
      </w:r>
      <w:r>
        <w:rPr>
          <w:lang w:val="el-GR"/>
        </w:rPr>
        <w:t xml:space="preserve"> του Προσαρτήματος Α΄ του ν. 4412/2016, μπορούν να προσκομίζουν στις αναθέτουσες αρχές πιστοποιητικό εγγραφής εκδιδόμενο από την αρμόδια αρχή ή το πιστοποιητικό που εκδίδεται από τον αρμόδιο οργανισμό πιστοποίησης. </w:t>
      </w:r>
    </w:p>
    <w:p>
      <w:pPr>
        <w:pStyle w:val="Normal"/>
        <w:rPr>
          <w:lang w:val="el-GR"/>
        </w:rPr>
      </w:pPr>
      <w:r>
        <w:rPr>
          <w:lang w:val="el-GR"/>
        </w:rPr>
        <w:t xml:space="preserve">Στα πιστοποιητικά αυτά αναφέρονται τα δικαιολογητικά βάσει των οποίων έγινε η εγγραφή των εν λόγω οικονομικών φορέων στον επίσημο κατάλογο ή η πιστοποίηση και η κατάταξη στον εν λόγω κατάλογο. </w:t>
      </w:r>
    </w:p>
    <w:p>
      <w:pPr>
        <w:pStyle w:val="Normal"/>
        <w:rPr>
          <w:lang w:val="el-GR"/>
        </w:rPr>
      </w:pPr>
      <w:r>
        <w:rPr>
          <w:lang w:val="el-GR"/>
        </w:rPr>
        <w:t xml:space="preserve">Η πιστοποιούμενη εγγραφή στους επίσημους καταλόγους από τους αρμόδιους οργανισμούς ή το πιστοποιητικό, που εκδίδεται από τον οργανισμό πιστοποίησης, συνιστά τεκμήριο καταλληλότητας όσον αφορά τις απαιτήσεις ποιοτικής επιλογής, τις οποίες καλύπτει ο επίσημος κατάλογος ή το πιστοποιητικό. </w:t>
      </w:r>
    </w:p>
    <w:p>
      <w:pPr>
        <w:pStyle w:val="Normal"/>
        <w:rPr>
          <w:b/>
          <w:b/>
          <w:bCs/>
          <w:lang w:val="el-GR"/>
        </w:rPr>
      </w:pPr>
      <w:r>
        <w:rPr>
          <w:lang w:val="el-GR"/>
        </w:rPr>
        <w:t xml:space="preserve">Οι οικονομικοί φορείς που είναι εγγεγραμμένοι σε επίσημους καταλόγους απαλλάσσονται από την υποχρέωση υποβολής των δικαιολογητικών που αναφέρονται στο πιστοποιητικό εγγραφής τους. </w:t>
      </w:r>
      <w:r>
        <w:rPr>
          <w:color w:val="000000"/>
          <w:lang w:val="el-GR"/>
        </w:rPr>
        <w:t xml:space="preserve">Ειδικώς, όσον αφορά την καταβολή των εισφορών κοινωνικής ασφάλισης και των φόρων και τελών, προσκομίζονται πέραν της βεβαίωσης εγγραφής στον επίσημο κατάλογο και πιστοποιητικά, κατά τα οριζόμενα ανωτέρω στην περίπτωση Β.1, υποπερ. </w:t>
      </w:r>
      <w:r>
        <w:rPr>
          <w:color w:val="000000"/>
          <w:lang w:val="en-US"/>
        </w:rPr>
        <w:t>i</w:t>
      </w:r>
      <w:r>
        <w:rPr>
          <w:color w:val="000000"/>
          <w:lang w:val="el-GR"/>
        </w:rPr>
        <w:t xml:space="preserve">, </w:t>
      </w:r>
      <w:r>
        <w:rPr>
          <w:color w:val="000000"/>
          <w:lang w:val="en-US"/>
        </w:rPr>
        <w:t>ii</w:t>
      </w:r>
      <w:r>
        <w:rPr>
          <w:color w:val="000000"/>
          <w:lang w:val="el-GR"/>
        </w:rPr>
        <w:t xml:space="preserve"> και </w:t>
      </w:r>
      <w:r>
        <w:rPr>
          <w:color w:val="000000"/>
          <w:lang w:val="en-US"/>
        </w:rPr>
        <w:t>iii</w:t>
      </w:r>
      <w:r>
        <w:rPr>
          <w:color w:val="000000"/>
          <w:lang w:val="el-GR"/>
        </w:rPr>
        <w:t xml:space="preserve"> της περ. β.</w:t>
      </w:r>
    </w:p>
    <w:p>
      <w:pPr>
        <w:pStyle w:val="Normal"/>
        <w:rPr>
          <w:b/>
          <w:b/>
          <w:bCs/>
          <w:lang w:val="el-GR"/>
        </w:rPr>
      </w:pPr>
      <w:r>
        <w:rPr>
          <w:b/>
          <w:bCs/>
          <w:lang w:val="el-GR"/>
        </w:rPr>
        <w:t>Β.8.</w:t>
      </w:r>
      <w:r>
        <w:rPr>
          <w:lang w:val="el-GR"/>
        </w:rPr>
        <w:t xml:space="preserve"> Οι ενώσεις οικονομικών φορέων που υποβάλλουν κοινή προσφορά, υποβάλλουν τα παραπάνω, κατά περίπτωση δικαιολογητικά, για κάθε οικονομικό φορέα που συμμετέχει στην ένωση, σύμφωνα με τα ειδικότερα προβλεπόμενα στο άρθρο 19 παρ. 2 του ν. 4412/2016.</w:t>
      </w:r>
      <w:r>
        <w:rPr>
          <w:b/>
          <w:bCs/>
          <w:lang w:val="el-GR"/>
        </w:rPr>
        <w:t xml:space="preserve"> </w:t>
      </w:r>
    </w:p>
    <w:p>
      <w:pPr>
        <w:pStyle w:val="Normal"/>
        <w:rPr>
          <w:color w:val="000000"/>
          <w:lang w:val="el-GR"/>
        </w:rPr>
      </w:pPr>
      <w:r>
        <w:rPr>
          <w:b/>
          <w:bCs/>
          <w:lang w:val="el-GR"/>
        </w:rPr>
        <w:t>Β.9.</w:t>
      </w:r>
      <w:r>
        <w:rPr>
          <w:lang w:val="el-GR"/>
        </w:rPr>
        <w:t xml:space="preserve"> </w:t>
      </w:r>
      <w:r>
        <w:rPr>
          <w:color w:val="000000"/>
          <w:lang w:val="el-GR"/>
        </w:rPr>
        <w:t xml:space="preserve">Στην περίπτωση που οικονομικός φορέας επιθυμεί να στηριχθεί στις ικανότητες άλλων φορέων, σύμφωνα με </w:t>
      </w:r>
      <w:r>
        <w:rPr>
          <w:lang w:val="el-GR"/>
        </w:rPr>
        <w:t xml:space="preserve">την παράγραφο </w:t>
      </w:r>
      <w:r>
        <w:rPr>
          <w:color w:val="000000"/>
          <w:lang w:val="el-GR"/>
        </w:rPr>
        <w:t>2.2.8 για την απόδειξη ότι θα έχει στη διάθεσή του τους αναγκαίους πόρους, προσκομίζει, ιδίως, σχετική έγγραφη δέσμευση των φορέων αυτών για τον σκοπό αυτό.</w:t>
      </w:r>
      <w:r>
        <w:rPr>
          <w:rStyle w:val="FootnoteReference2"/>
          <w:color w:val="000000"/>
          <w:szCs w:val="22"/>
          <w:lang w:val="el-GR"/>
        </w:rPr>
        <w:t xml:space="preserve"> </w:t>
      </w:r>
      <w:r>
        <w:rPr>
          <w:color w:val="000000"/>
          <w:lang w:val="el-GR"/>
        </w:rPr>
        <w:t xml:space="preserve">Ειδικότερα, προσκομίζεται έγγραφο (συμφωνητικό ή σε περίπτωση νομικού προσώπου απόφαση του αρμόδιου οργάνου διοίκησης αυτού ή σε περίπτωση φυσικού προσώπου υπεύθυνη δήλωση), δυνάμει του οποίου αμφότεροι, διαγωνιζόμενος  οικονομικός φορέας και τρίτος φορέας, εγκρίνουν τη μεταξύ τους συνεργασία για την κατά περίπτωση παροχή προς τον διαγωνιζόμενο της χρηματοοικονομικής ή/και τεχνικής ή/και επαγγελματικής ικανότητας του φορέα, ώστε αυτή να είναι στη διάθεση του διαγωνιζομένου  για την εκτέλεση της Σύμβασης. Η σχετική αναφορά πρέπει να είναι λεπτομερής και να αναφέρει κατ’ ελάχιστον τους συγκεκριμένους πόρους που θα είναι διαθέσιμοι για την εκτέλεση της σύμβασης και τον τρόπο με  τον οποίο θα χρησιμοποιηθούν αυτοί για την εκτέλεση της σύμβασης. Ο τρίτος θα δεσμεύεται ρητά ότι θα διαθέσει στον διαγωνιζόμενο τους συγκεκριμένους πόρους κατά τη διάρκεια της σύμβασης και ο διαγωνιζόμενος  ότι θα κάνει χρήση αυτών σε περίπτωση που του ανατεθεί η σύμβαση. </w:t>
      </w:r>
    </w:p>
    <w:p>
      <w:pPr>
        <w:pStyle w:val="Normal"/>
        <w:rPr>
          <w:color w:val="000000"/>
          <w:lang w:val="el-GR"/>
        </w:rPr>
      </w:pPr>
      <w:r>
        <w:rPr>
          <w:color w:val="000000"/>
          <w:lang w:val="el-GR"/>
        </w:rPr>
        <w:t xml:space="preserve"> </w:t>
      </w:r>
      <w:r>
        <w:rPr>
          <w:color w:val="000000"/>
          <w:lang w:val="el-GR"/>
        </w:rPr>
        <w:t xml:space="preserve">Σε περίπτωση που ο τρίτος διαθέτει χρηματοοικονομική επάρκεια, θα δηλώνει επίσης ότι καθίσταται από κοινού με τον διαγωνιζόμενο υπεύθυνος για την εκτέλεση της σύμβασης. </w:t>
      </w:r>
    </w:p>
    <w:p>
      <w:pPr>
        <w:pStyle w:val="Normal"/>
        <w:rPr>
          <w:sz w:val="16"/>
          <w:szCs w:val="16"/>
          <w:lang w:val="el-GR"/>
        </w:rPr>
      </w:pPr>
      <w:r>
        <w:rPr>
          <w:sz w:val="16"/>
          <w:szCs w:val="16"/>
          <w:lang w:val="el-GR"/>
        </w:rPr>
      </w:r>
    </w:p>
    <w:p>
      <w:pPr>
        <w:pStyle w:val="Normal"/>
        <w:rPr>
          <w:lang w:val="el-GR"/>
        </w:rPr>
      </w:pPr>
      <w:r>
        <w:rPr>
          <w:b/>
          <w:bCs/>
          <w:lang w:val="el-GR"/>
        </w:rPr>
        <w:t xml:space="preserve">Β.10. </w:t>
      </w:r>
      <w:r>
        <w:rPr>
          <w:lang w:val="el-GR"/>
        </w:rPr>
        <w:t xml:space="preserve">Στην περίπτωση που ο οικονομικός φορέας δηλώνει στην προσφορά του ότι θα κάνει χρήση υπεργολάβων, στις ικανότητες των οποίων δεν στηρίζεται, προσκομίζεται υπεύθυνη δήλωση του προσφέροντος με αναφορά του τμήματος της σύμβασης το οποίο προτίθεται να αναθέσει σε τρίτους υπό μορφή υπεργολαβίας και υπεύθυνη δήλωση των υπεργολάβων ότι αποδέχονται την εκτέλεση των εργασιών. </w:t>
      </w:r>
    </w:p>
    <w:p>
      <w:pPr>
        <w:pStyle w:val="Normal"/>
        <w:rPr>
          <w:bCs/>
          <w:sz w:val="16"/>
          <w:szCs w:val="16"/>
          <w:lang w:val="el-GR"/>
        </w:rPr>
      </w:pPr>
      <w:r>
        <w:rPr>
          <w:bCs/>
          <w:sz w:val="16"/>
          <w:szCs w:val="16"/>
          <w:lang w:val="el-GR"/>
        </w:rPr>
      </w:r>
    </w:p>
    <w:p>
      <w:pPr>
        <w:pStyle w:val="Normal"/>
        <w:rPr>
          <w:bCs/>
          <w:lang w:val="el-GR"/>
        </w:rPr>
      </w:pPr>
      <w:r>
        <w:rPr>
          <w:b/>
          <w:bCs/>
          <w:lang w:val="el-GR"/>
        </w:rPr>
        <w:t>Β.11.</w:t>
      </w:r>
      <w:r>
        <w:rPr>
          <w:bCs/>
          <w:lang w:val="el-GR"/>
        </w:rPr>
        <w:t xml:space="preserve"> Επισημαίνεται ότι γίνονται αποδεκτές:</w:t>
      </w:r>
    </w:p>
    <w:p>
      <w:pPr>
        <w:pStyle w:val="Normal"/>
        <w:numPr>
          <w:ilvl w:val="0"/>
          <w:numId w:val="6"/>
        </w:numPr>
        <w:rPr>
          <w:bCs/>
          <w:lang w:val="el-GR"/>
        </w:rPr>
      </w:pPr>
      <w:r>
        <w:rPr>
          <w:bCs/>
          <w:lang w:val="el-GR"/>
        </w:rPr>
        <w:t xml:space="preserve">οι ένορκες βεβαιώσεις που αναφέρονται στην παρούσα Διακήρυξη, εφόσον έχουν συνταχθεί έως τρεις (3) μήνες πριν από την υποβολή τους, </w:t>
      </w:r>
    </w:p>
    <w:p>
      <w:pPr>
        <w:pStyle w:val="Normal"/>
        <w:numPr>
          <w:ilvl w:val="0"/>
          <w:numId w:val="6"/>
        </w:numPr>
        <w:rPr>
          <w:bCs/>
          <w:lang w:val="el-GR"/>
        </w:rPr>
      </w:pPr>
      <w:r>
        <w:rPr>
          <w:bCs/>
          <w:lang w:val="el-GR"/>
        </w:rPr>
        <w:t>οι υπεύθυνες δηλώσεις, εφόσον έχουν συνταχθεί μετά την κοινοποίηση της πρόσκλησης για την υποβολή των δικαιολογητικών. Σημειώνεται ότι δεν απαιτείται θεώρηση του γνησίου της υπογραφής τους.</w:t>
      </w:r>
    </w:p>
    <w:p>
      <w:pPr>
        <w:pStyle w:val="Normal"/>
        <w:rPr>
          <w:lang w:val="el-GR"/>
        </w:rPr>
      </w:pPr>
      <w:r>
        <w:rPr>
          <w:lang w:val="el-GR"/>
        </w:rPr>
      </w:r>
    </w:p>
    <w:p>
      <w:pPr>
        <w:pStyle w:val="2"/>
        <w:rPr>
          <w:lang w:val="el-GR"/>
        </w:rPr>
      </w:pPr>
      <w:bookmarkStart w:id="33" w:name="_Toc129004422"/>
      <w:r>
        <w:rPr>
          <w:lang w:val="el-GR"/>
        </w:rPr>
        <w:t>2.3</w:t>
        <w:tab/>
        <w:t>Κριτήρια Ανάθεσης</w:t>
      </w:r>
      <w:bookmarkEnd w:id="33"/>
      <w:r>
        <w:rPr>
          <w:lang w:val="el-GR"/>
        </w:rPr>
        <w:t xml:space="preserve">  </w:t>
      </w:r>
    </w:p>
    <w:p>
      <w:pPr>
        <w:pStyle w:val="3"/>
        <w:rPr>
          <w:lang w:val="el-GR"/>
        </w:rPr>
      </w:pPr>
      <w:bookmarkStart w:id="34" w:name="_Toc129004423"/>
      <w:r>
        <w:rPr>
          <w:lang w:val="el-GR"/>
        </w:rPr>
        <w:t>2.3.1</w:t>
        <w:tab/>
        <w:t>Κριτήριο ανάθεσης</w:t>
      </w:r>
      <w:r>
        <w:rPr>
          <w:rStyle w:val="Style19"/>
          <w:lang w:val="el-GR"/>
        </w:rPr>
        <w:footnoteReference w:id="99"/>
      </w:r>
      <w:bookmarkEnd w:id="34"/>
      <w:r>
        <w:rPr>
          <w:lang w:val="el-GR"/>
        </w:rPr>
        <w:t xml:space="preserve"> </w:t>
      </w:r>
    </w:p>
    <w:p>
      <w:pPr>
        <w:pStyle w:val="Normal"/>
        <w:rPr>
          <w:i/>
          <w:i/>
          <w:color w:val="5B9BD5"/>
          <w:lang w:val="el-GR"/>
        </w:rPr>
      </w:pPr>
      <w:r>
        <w:rPr>
          <w:lang w:val="el-GR"/>
        </w:rPr>
        <w:t>Κριτήριο ανάθεσης</w:t>
      </w:r>
      <w:r>
        <w:rPr>
          <w:rStyle w:val="Style19"/>
          <w:lang w:val="el-GR"/>
        </w:rPr>
        <w:footnoteReference w:id="100"/>
      </w:r>
      <w:r>
        <w:rPr>
          <w:lang w:val="el-GR"/>
        </w:rPr>
        <w:t xml:space="preserve"> της Σύμβασης είναι η πλέον συμφέρουσα από οικονομική άποψη προσφορά:</w:t>
      </w:r>
    </w:p>
    <w:p>
      <w:pPr>
        <w:pStyle w:val="Normal"/>
        <w:rPr>
          <w:i/>
          <w:i/>
          <w:color w:val="5B9BD5"/>
          <w:lang w:val="el-GR"/>
        </w:rPr>
      </w:pPr>
      <w:r>
        <w:rPr>
          <w:i/>
          <w:color w:val="5B9BD5"/>
          <w:lang w:val="el-GR"/>
        </w:rPr>
        <w:t xml:space="preserve">     </w:t>
      </w:r>
      <w:r>
        <w:rPr>
          <w:lang w:val="el-GR"/>
        </w:rPr>
        <w:t xml:space="preserve"> </w:t>
      </w:r>
      <w:r>
        <w:rPr>
          <w:lang w:val="el-GR"/>
        </w:rPr>
        <w:t>βάσει τιμής</w:t>
      </w:r>
      <w:r>
        <w:rPr>
          <w:rStyle w:val="Style19"/>
          <w:lang w:val="el-GR"/>
        </w:rPr>
        <w:footnoteReference w:id="101"/>
      </w:r>
      <w:r>
        <w:rPr>
          <w:lang w:val="el-GR"/>
        </w:rPr>
        <w:t xml:space="preserve"> </w:t>
      </w:r>
    </w:p>
    <w:p>
      <w:pPr>
        <w:pStyle w:val="Normal"/>
        <w:rPr>
          <w:i/>
          <w:i/>
          <w:color w:val="5B9BD5"/>
          <w:lang w:val="el-GR"/>
        </w:rPr>
      </w:pPr>
      <w:r>
        <w:rPr>
          <w:i/>
          <w:color w:val="5B9BD5"/>
          <w:lang w:val="el-GR"/>
        </w:rPr>
      </w:r>
    </w:p>
    <w:p>
      <w:pPr>
        <w:pStyle w:val="2"/>
        <w:rPr>
          <w:lang w:val="el-GR"/>
        </w:rPr>
      </w:pPr>
      <w:bookmarkStart w:id="35" w:name="_Toc129004426"/>
      <w:r>
        <w:rPr>
          <w:lang w:val="el-GR"/>
        </w:rPr>
        <w:t>2.4</w:t>
        <w:tab/>
        <w:t>Κατάρτιση - Περιεχόμενο Προσφορών</w:t>
      </w:r>
      <w:bookmarkEnd w:id="35"/>
    </w:p>
    <w:p>
      <w:pPr>
        <w:pStyle w:val="3"/>
        <w:rPr>
          <w:lang w:val="el-GR"/>
        </w:rPr>
      </w:pPr>
      <w:bookmarkStart w:id="36" w:name="_Toc129004427"/>
      <w:r>
        <w:rPr>
          <w:lang w:val="el-GR"/>
        </w:rPr>
        <w:t>2.4.1</w:t>
        <w:tab/>
        <w:t>Γενικοί όροι υποβολής προσφορών</w:t>
      </w:r>
      <w:bookmarkEnd w:id="36"/>
    </w:p>
    <w:p>
      <w:pPr>
        <w:pStyle w:val="Normal"/>
        <w:rPr>
          <w:lang w:val="el-GR"/>
        </w:rPr>
      </w:pPr>
      <w:r>
        <w:rPr>
          <w:lang w:val="el-GR"/>
        </w:rPr>
        <w:t xml:space="preserve">Οι προσφορές υποβάλλονται με βάση τις απαιτήσεις που ορίζονται στο Παράρτημα … της Διακήρυξης , για το σύνολο της προκηρυχθείσας ποσότητας της προμήθειας ανά είδος /τμήμα. </w:t>
      </w:r>
    </w:p>
    <w:p>
      <w:pPr>
        <w:pStyle w:val="Normal"/>
        <w:rPr>
          <w:rFonts w:cs="Helvetica"/>
          <w:color w:val="000000"/>
          <w:szCs w:val="22"/>
          <w:lang w:val="el-GR" w:eastAsia="el-GR"/>
        </w:rPr>
      </w:pPr>
      <w:r>
        <w:rPr>
          <w:lang w:val="el-GR"/>
        </w:rPr>
        <w:t xml:space="preserve">Δεν επιτρέπονται εναλλακτικές προσφορές </w:t>
      </w:r>
      <w:r>
        <w:rPr>
          <w:rStyle w:val="Style19"/>
          <w:lang w:val="el-GR"/>
        </w:rPr>
        <w:footnoteReference w:id="102"/>
      </w:r>
      <w:r>
        <w:rPr>
          <w:b/>
          <w:szCs w:val="22"/>
          <w:lang w:val="el-GR"/>
        </w:rPr>
        <w:t xml:space="preserve"> … </w:t>
      </w:r>
    </w:p>
    <w:p>
      <w:pPr>
        <w:pStyle w:val="Normal"/>
        <w:rPr>
          <w:lang w:val="el-GR"/>
        </w:rPr>
      </w:pPr>
      <w:r>
        <w:rPr>
          <w:rFonts w:cs="Helvetica"/>
          <w:color w:val="000000"/>
          <w:szCs w:val="22"/>
          <w:lang w:val="el-GR" w:eastAsia="el-GR"/>
        </w:rPr>
        <w:t xml:space="preserve">Η ένωση Οικονομικών Φορέων υποβάλλει κοινή προσφορά, η οποία υπογράφεται υποχρεωτικά </w:t>
      </w:r>
      <w:r>
        <w:rPr>
          <w:lang w:val="el-GR"/>
        </w:rPr>
        <w:t xml:space="preserve">ηλεκτρονικά </w:t>
      </w:r>
      <w:r>
        <w:rPr>
          <w:rFonts w:cs="Helvetica"/>
          <w:color w:val="000000"/>
          <w:szCs w:val="22"/>
          <w:lang w:val="el-GR" w:eastAsia="el-GR"/>
        </w:rPr>
        <w:t xml:space="preserve">είτε από όλους τους Οικονομικούς Φορείς που αποτελούν την ένωση, είτε από εκπρόσωπό τους νομίμως εξουσιοδοτημένο. </w:t>
      </w:r>
      <w:r>
        <w:rPr>
          <w:lang w:val="el-GR"/>
        </w:rPr>
        <w:t xml:space="preserve"> Στην προσφορά δηλώνεται η έκταση και το είδος της συμμετοχής του κάθε μέλους της ένωσης, συμπεριλαμβανομένης της κατανομής αμοιβής μεταξύ τους,  καθώς και ο εκπρόσωπος/συντονιστής αυτής. Η εν λόγω δήλωση περιλαμβάνεται είτε στο ΕΕΕΣ (Μέρος ΙΙ. Ενότητα Α) είτε στη συνοδευτική αυτού υπεύθυνη δήλωση που δύναται να υποβάλλουν τα μέλη της ένωσης. Για την υπογραφή της προδικαστικής προσφυγής από τον εκπρόσωπο / συντονιστή της ένωσης απαιτείται ρητή εξουσιοδότηση. Η εν λόγω εξουσιοδότηση μπορεί να περιλαμβάνεται είτε στο ΕΕΕΣ (Μέρος ΙΙ. Ενότητα Α), είτε στη συνοδευτική αυτού υπεύθυνη δήλωση, είτε στα έγγραφα συμφωνίας των οικονομικών φορέων για συμμετοχή στο διαγωνισμό ως ένωση, είτε στα πρακτικά των αρμοδίων οργάνων διοίκησης των μελών της ένωσης</w:t>
      </w:r>
      <w:r>
        <w:rPr>
          <w:rStyle w:val="Style19"/>
          <w:vertAlign w:val="superscript"/>
          <w:lang w:val="el-GR"/>
        </w:rPr>
        <w:footnoteReference w:id="103"/>
      </w:r>
      <w:hyperlink r:id="rId7">
        <w:r>
          <w:rPr>
            <w:lang w:val="el-GR"/>
          </w:rPr>
          <w:t>.</w:t>
        </w:r>
      </w:hyperlink>
    </w:p>
    <w:p>
      <w:pPr>
        <w:pStyle w:val="Normal"/>
        <w:rPr>
          <w:rFonts w:cs="Helvetica"/>
          <w:color w:val="000000"/>
          <w:szCs w:val="22"/>
          <w:lang w:val="el-GR" w:eastAsia="el-GR"/>
        </w:rPr>
      </w:pPr>
      <w:r>
        <w:rPr>
          <w:rFonts w:cs="Helvetica"/>
          <w:color w:val="000000"/>
          <w:szCs w:val="22"/>
          <w:lang w:val="el-GR" w:eastAsia="el-GR"/>
        </w:rPr>
      </w:r>
    </w:p>
    <w:p>
      <w:pPr>
        <w:pStyle w:val="Normal"/>
        <w:rPr>
          <w:lang w:val="el-GR"/>
        </w:rPr>
      </w:pPr>
      <w:r>
        <w:rPr>
          <w:rFonts w:cs="Helvetica"/>
          <w:color w:val="000000"/>
          <w:szCs w:val="22"/>
          <w:lang w:val="el-GR" w:eastAsia="el-GR"/>
        </w:rPr>
        <w:t>Οι οικονομικοί φορείς μπορούν να αποσύρουν την προσφορά τους, πριν την καταληκτική ημερομηνία υποβολής προσφοράς, χωρίς να απαιτείται έγκριση εκ μέρους του αποφαινόμενου οργάνου της αναθέτουσας αρχής, υποβάλλοντας έγγραφη ειδοποίηση προς την αναθέτουσα αρχή μέσω της λειτουργικότητας «Επικοινωνία» του ΕΣΗΔΗΣ.</w:t>
      </w:r>
      <w:r>
        <w:rPr>
          <w:rStyle w:val="Style19"/>
          <w:rFonts w:cs="Helvetica"/>
          <w:color w:val="000000"/>
          <w:szCs w:val="22"/>
          <w:lang w:val="el-GR" w:eastAsia="el-GR"/>
        </w:rPr>
        <w:footnoteReference w:id="104"/>
      </w:r>
    </w:p>
    <w:p>
      <w:pPr>
        <w:pStyle w:val="3"/>
        <w:rPr>
          <w:i/>
          <w:i/>
          <w:iCs/>
          <w:color w:val="5B9BD5"/>
          <w:lang w:val="el-GR"/>
        </w:rPr>
      </w:pPr>
      <w:bookmarkStart w:id="37" w:name="_Toc129004428"/>
      <w:r>
        <w:rPr>
          <w:lang w:val="el-GR"/>
        </w:rPr>
        <w:t>2.4.2</w:t>
        <w:tab/>
        <w:t>Χρόνος και Τρόπος υποβολής προσφορών</w:t>
      </w:r>
      <w:bookmarkEnd w:id="37"/>
      <w:r>
        <w:rPr>
          <w:lang w:val="el-GR"/>
        </w:rPr>
        <w:t xml:space="preserve"> </w:t>
      </w:r>
    </w:p>
    <w:p>
      <w:pPr>
        <w:pStyle w:val="Normal"/>
        <w:rPr>
          <w:rFonts w:cs="Arial"/>
          <w:b/>
          <w:b/>
          <w:bCs/>
          <w:lang w:val="el-GR"/>
        </w:rPr>
      </w:pPr>
      <w:r>
        <w:rPr>
          <w:rFonts w:cs="Arial"/>
          <w:b/>
          <w:bCs/>
          <w:lang w:val="el-GR"/>
        </w:rPr>
      </w:r>
    </w:p>
    <w:p>
      <w:pPr>
        <w:pStyle w:val="Normal"/>
        <w:rPr>
          <w:i/>
          <w:i/>
          <w:iCs/>
          <w:color w:val="5B9BD5"/>
          <w:lang w:val="el-GR"/>
        </w:rPr>
      </w:pPr>
      <w:r>
        <w:rPr>
          <w:rFonts w:cs="Arial"/>
          <w:b/>
          <w:bCs/>
          <w:lang w:val="el-GR"/>
        </w:rPr>
        <w:t>2.4.2.1.</w:t>
      </w:r>
      <w:r>
        <w:rPr>
          <w:b/>
          <w:bCs/>
          <w:lang w:val="el-GR"/>
        </w:rPr>
        <w:t xml:space="preserve"> </w:t>
      </w:r>
      <w:r>
        <w:rPr>
          <w:lang w:val="el-GR"/>
        </w:rPr>
        <w:t>Οι προσφορές υποβάλλονται από τους  ενδιαφερόμενους</w:t>
      </w:r>
      <w:r>
        <w:rPr>
          <w:rFonts w:asciiTheme="minorHAnsi" w:hAnsiTheme="minorHAnsi"/>
          <w:lang w:val="el-GR"/>
        </w:rPr>
        <w:t xml:space="preserve"> </w:t>
      </w:r>
      <w:r>
        <w:rPr>
          <w:lang w:val="el-GR"/>
        </w:rPr>
        <w:t xml:space="preserve">ηλεκτρονικά, μέσω του ΕΣΗΔΗΣ, μέχρι την καταληκτική ημερομηνία και ώρα που ορίζει η παρούσα διακήρυξη, στην Ελληνική Γλώσσα, σε ηλεκτρονικό φάκελο, σύμφωνα με τα αναφερόμενα στον ν.4412/2016, ιδίως στα άρθρα 36 και 37 και στην κατ’ εξουσιοδότηση της παρ. 5 του άρθρου 36 του ν.4412/2016  εκδοθείσα  υπ΄ αριθμ. 64233/08.06.2021 (Β΄2453/ 09.06.2021) Κοινή Απόφαση των Υπουργών Ανάπτυξης και Επενδύσεων και Ψηφιακής Διακυβέρνησης, με θέμα «Ρυθμίσεις τεχνικών ζητημάτων που αφορούν την ανάθεση των Δημοσίων Συμβάσεων Προμηθειών και Υπηρεσιών με χρήση των επιμέρους εργαλείων και διαδικασιών του Εθνικού Συστήματος Ηλεκτρονικών Δημοσίων Συμβάσεων (ΕΣΗΔΗΣ)» (εφεξής Κ.Υ.Α. ΕΣΗΔΗΣ Προμήθειες και Υπηρεσίες). </w:t>
      </w:r>
    </w:p>
    <w:p>
      <w:pPr>
        <w:pStyle w:val="Normal"/>
        <w:suppressAutoHyphens w:val="false"/>
        <w:spacing w:before="0" w:after="0"/>
        <w:rPr>
          <w:lang w:val="el-GR"/>
        </w:rPr>
      </w:pPr>
      <w:r>
        <w:rPr>
          <w:color w:val="000000"/>
          <w:lang w:val="el-GR"/>
        </w:rPr>
        <w:t xml:space="preserve">Για τη συμμετοχή στον διαγωνισμό οι ενδιαφερόμενοι οικονομικοί φορείς απαιτείται να διαθέτουν προηγμένη ηλεκτρονική υπογραφή που υποστηρίζεται τουλάχιστον από αναγνωρισμένο (εγκεκριμένο) πιστοποιητικό, το οποίο χορηγήθηκε από πάροχο υπηρεσιών πιστοποίησης, ο οποίος περιλαμβάνεται στον κατάλογο εμπίστευσης που προβλέπεται στην απόφαση 2009/767/ΕΚ και σύμφωνα με τα οριζόμενα στον Κανονισμό (ΕΕ) 910/2014 και να εγγραφούν στο ΕΣΗΔΗΣ, σύμφωνα με την περ. β της παρ. 2 του άρθρου 37 του ν. 4412/2016 και τις διατάξεις του άρθρου 6 της Κ.Υ.Α. ΕΣΗΔΗΣ Προμήθειες και Υπηρεσίες. </w:t>
      </w:r>
    </w:p>
    <w:p>
      <w:pPr>
        <w:pStyle w:val="Normal"/>
        <w:spacing w:before="0" w:after="0"/>
        <w:rPr>
          <w:b/>
          <w:b/>
          <w:bCs/>
          <w:lang w:val="el-GR"/>
        </w:rPr>
      </w:pPr>
      <w:r>
        <w:rPr>
          <w:b/>
          <w:bCs/>
          <w:lang w:val="el-GR"/>
        </w:rPr>
      </w:r>
    </w:p>
    <w:p>
      <w:pPr>
        <w:pStyle w:val="Normal"/>
        <w:spacing w:before="0" w:after="0"/>
        <w:rPr>
          <w:lang w:val="el-GR"/>
        </w:rPr>
      </w:pPr>
      <w:r>
        <w:rPr>
          <w:b/>
          <w:bCs/>
          <w:lang w:val="el-GR"/>
        </w:rPr>
        <w:t>2.4.2.2.</w:t>
      </w:r>
      <w:r>
        <w:rPr>
          <w:lang w:val="el-GR"/>
        </w:rPr>
        <w:t xml:space="preserve"> </w:t>
      </w:r>
      <w:r>
        <w:rPr>
          <w:rFonts w:cs="Arial"/>
          <w:lang w:val="el-GR"/>
        </w:rPr>
        <w:t>Ο χρόνος υποβολής της προσφοράς μέσω του ΕΣΗΔΗΣ βεβαιώνεται αυτόματα από το ΕΣΗΔΗΣ με υπηρεσίες χρονοσήμανσης, σύμφωνα με τα οριζόμενα στο άρθρο 37 του ν. 4412/2016 και τις διατάξεις του άρθρου 10 της ως άνω κοινής υπουργικής απόφασης.</w:t>
      </w:r>
    </w:p>
    <w:p>
      <w:pPr>
        <w:pStyle w:val="Normal"/>
        <w:spacing w:before="0" w:after="0"/>
        <w:rPr>
          <w:lang w:val="el-GR"/>
        </w:rPr>
      </w:pPr>
      <w:r>
        <w:rPr>
          <w:lang w:val="el-GR"/>
        </w:rPr>
        <w:t xml:space="preserve">Μετά την παρέλευση της καταληκτικής ημερομηνίας και ώρας, δεν υπάρχει η δυνατότητα υποβολής προσφοράς στο ΕΣΗΔΗΣ. </w:t>
      </w:r>
      <w:r>
        <w:rPr>
          <w:rFonts w:cs="Helvetica"/>
          <w:color w:val="000000"/>
          <w:szCs w:val="22"/>
          <w:lang w:val="el-GR"/>
        </w:rPr>
        <w:t>Σε περιπτώσεις τεχνικής αδυναμίας λειτουργίας του ΕΣΗΔΗΣ, η αναθέτουσα αρχή ρυθμίζει τα της συνέχειας του διαγωνισμού με αιτιολογημένη απόφασή της.</w:t>
      </w:r>
      <w:r>
        <w:rPr>
          <w:rStyle w:val="Style19"/>
          <w:rFonts w:cs="Helvetica"/>
          <w:color w:val="000000"/>
          <w:szCs w:val="22"/>
          <w:lang w:val="el-GR"/>
        </w:rPr>
        <w:footnoteReference w:id="105"/>
      </w:r>
    </w:p>
    <w:p>
      <w:pPr>
        <w:pStyle w:val="Normal"/>
        <w:spacing w:before="0" w:after="0"/>
        <w:rPr>
          <w:lang w:val="el-GR"/>
        </w:rPr>
      </w:pPr>
      <w:r>
        <w:rPr>
          <w:b/>
          <w:bCs/>
          <w:lang w:val="el-GR"/>
        </w:rPr>
        <w:t>2.4.2.3.</w:t>
      </w:r>
      <w:r>
        <w:rPr>
          <w:lang w:val="el-GR"/>
        </w:rPr>
        <w:t xml:space="preserve"> Οι οικονομικοί φορείς υποβάλλουν με την προσφορά τους τα ακόλουθα σύμφωνα με τις διατάξεις του άρθρου 13 της Κ.Υ.Α. ΕΣΗΔΗΣ Προμήθειες και Υπηρεσίες: </w:t>
      </w:r>
    </w:p>
    <w:p>
      <w:pPr>
        <w:pStyle w:val="Normal"/>
        <w:rPr>
          <w:lang w:val="el-GR"/>
        </w:rPr>
      </w:pPr>
      <w:r>
        <w:rPr>
          <w:lang w:val="el-GR"/>
        </w:rPr>
        <w:t>(α) έναν ηλεκτρονικό (υπο)φάκελο με την ένδειξη «Δικαιολογητικά Συμμετοχής–Τεχνική Προσφορά», στον οποίο περιλαμβάνεται το σύνολο των κατά περίπτωση απαιτούμενων δικαιολογητικών και η τεχνική προσφορά,  σύμφωνα με τις διατάξεις της κείμενης νομοθεσίας και την παρούσα.</w:t>
      </w:r>
    </w:p>
    <w:p>
      <w:pPr>
        <w:pStyle w:val="Normal"/>
        <w:rPr>
          <w:lang w:val="el-GR"/>
        </w:rPr>
      </w:pPr>
      <w:r>
        <w:rPr>
          <w:lang w:val="el-GR"/>
        </w:rPr>
        <w:t xml:space="preserve">(β) έναν ηλεκτρονικό (υπο)φάκελο με την ένδειξη «Οικονομική Προσφορά», στον οποίο περιλαμβάνεται η οικονομική προσφορά του οικονομικού φορέα και το σύνολο των κατά περίπτωση απαιτούμενων δικαιολογητικών. </w:t>
      </w:r>
    </w:p>
    <w:p>
      <w:pPr>
        <w:pStyle w:val="Normal"/>
        <w:rPr>
          <w:lang w:val="el-GR"/>
        </w:rPr>
      </w:pPr>
      <w:r>
        <w:rPr>
          <w:lang w:val="el-GR"/>
        </w:rPr>
        <w:t>Από τον Οικονομικό Φορέα σημαίνονται, με χρήση της  σχετικής λειτουργικότητας του ΕΣΗΔΗΣ, τα στοιχεία εκείνα της προσφοράς του που έχουν εμπιστευτικό χαρακτήρα, σύμφωνα με τα οριζόμενα στο άρθρο 21 του ν. 4412/2016. Εφόσον ένας οικονομικός φορέας χαρακτηρίζει πληροφορίες ως εμπιστευτικές, λόγω ύπαρξης τεχνικού ή εμπορικού απορρήτου, στη σχετική δήλωσή του αναφέρει ρητά όλες τις σχετικές διατάξεις νόμου ή διοικητικές πράξεις που επιβάλλουν την εμπιστευτικότητα της συγκεκριμένης πληροφορίας.</w:t>
      </w:r>
    </w:p>
    <w:p>
      <w:pPr>
        <w:pStyle w:val="Normal"/>
        <w:rPr>
          <w:b/>
          <w:b/>
          <w:bCs/>
          <w:lang w:val="el-GR"/>
        </w:rPr>
      </w:pPr>
      <w:r>
        <w:rPr>
          <w:lang w:val="el-GR"/>
        </w:rPr>
        <w:t>Δεν χαρακτηρίζονται ως εμπιστευτικές, πληροφορίες σχετικά με τις τιμές μονάδας, τις προσφερόμενες ποσότητες, την οικονομική προσφορά και τα στοιχεία της τεχνικής προσφοράς που χρησιμοποιούνται για την αξιολόγησή της.</w:t>
      </w:r>
    </w:p>
    <w:p>
      <w:pPr>
        <w:pStyle w:val="Normal"/>
        <w:spacing w:before="0" w:after="0"/>
        <w:rPr>
          <w:strike/>
          <w:lang w:val="el-GR"/>
        </w:rPr>
      </w:pPr>
      <w:r>
        <w:rPr>
          <w:b/>
          <w:bCs/>
          <w:lang w:val="el-GR"/>
        </w:rPr>
        <w:t>2.4.2.4.</w:t>
      </w:r>
      <w:r>
        <w:rPr>
          <w:lang w:val="el-GR"/>
        </w:rPr>
        <w:t xml:space="preserve"> Εφόσον οι Οικονομικοί Φορείς καταχωρίσουν τα στοιχεία, με τα δεδομένα και συνημμένα ηλεκτρονικά αρχεία, που αφορούν δικαιολογητικά συμμετοχής-τεχνικής προσφοράς και οικονομικής προσφοράς τους στις αντίστοιχες ειδικές ηλεκτρονικές φόρμες του ΕΣΗΔΗΣ, στη συνέχεια, μέσω σχετικής λειτουργικότητας,  εξάγουν αναφορές (εκτυπώσεις) σε μορφή ηλεκτρονικών αρχείων με μορφότυπο PDF, τα οποία  αποτελούν συνοπτική αποτύπωση των καταχωρισμένων στοιχείων. Τα ηλεκτρονικά αρχεία των εν λόγω αναφορών (εκτυπώσεων) υπογράφονται ψηφιακά, σύμφωνα με τις προβλεπόμενες διατάξεις (περ. β της παρ. 2 του άρθρου 37) και επισυνάπτονται από τον Οικονομικό Φορέα στους αντίστοιχους υποφακέλους. Επισημαίνεται ότι η εξαγωγή και η επισύναψη των προαναφερθεισών αναφορών (εκτυπώσεων) δύναται να πραγματοποιείται για κάθε υποφακέλο  ξεχωριστά, από τη στιγμή που έχει ολοκληρωθεί η καταχώριση των στοιχείων σε αυτόν</w:t>
      </w:r>
      <w:r>
        <w:rPr>
          <w:rStyle w:val="Style19"/>
          <w:lang w:val="el-GR"/>
        </w:rPr>
        <w:footnoteReference w:id="106"/>
      </w:r>
      <w:r>
        <w:rPr>
          <w:lang w:val="el-GR"/>
        </w:rPr>
        <w:t xml:space="preserve">.  </w:t>
      </w:r>
    </w:p>
    <w:p>
      <w:pPr>
        <w:pStyle w:val="Normal"/>
        <w:spacing w:before="0" w:after="0"/>
        <w:rPr>
          <w:strike/>
          <w:lang w:val="el-GR"/>
        </w:rPr>
      </w:pPr>
      <w:r>
        <w:rPr>
          <w:strike/>
          <w:lang w:val="el-GR"/>
        </w:rPr>
      </w:r>
    </w:p>
    <w:p>
      <w:pPr>
        <w:pStyle w:val="Normal"/>
        <w:rPr>
          <w:color w:val="000000"/>
          <w:lang w:val="el-GR"/>
        </w:rPr>
      </w:pPr>
      <w:r>
        <w:rPr>
          <w:b/>
          <w:lang w:val="el-GR"/>
        </w:rPr>
        <w:t>2.4.2.5.</w:t>
      </w:r>
      <w:r>
        <w:rPr>
          <w:lang w:val="el-GR"/>
        </w:rPr>
        <w:t xml:space="preserve"> Ειδικότερα, όσον αφορά τα συνημμένα ηλεκτρονικά αρχεία της προσφοράς, οι Οικονομικοί Φορείς τα καταχωρίζουν στους ανωτέρω (υπο)φακέλους μέσω του Υποσυστήματος, ως εξής :</w:t>
      </w:r>
    </w:p>
    <w:p>
      <w:pPr>
        <w:pStyle w:val="Normal"/>
        <w:rPr>
          <w:color w:val="000000"/>
          <w:lang w:val="el-GR"/>
        </w:rPr>
      </w:pPr>
      <w:bookmarkStart w:id="38" w:name="_Hlk71366084"/>
      <w:r>
        <w:rPr>
          <w:color w:val="000000"/>
          <w:lang w:val="el-GR"/>
        </w:rPr>
        <w:t xml:space="preserve">Τα έγγραφα που καταχωρίζονται στην ηλεκτρονική προσφορά και δεν απαιτείται να προσκομισθούν και σε έντυπη μορφή, γίνονται αποδεκτά κατά περίπτωση, σύμφωνα με τα προβλεπόμενα στις διατάξεις: </w:t>
      </w:r>
    </w:p>
    <w:p>
      <w:pPr>
        <w:pStyle w:val="Normal"/>
        <w:rPr>
          <w:color w:val="000000"/>
          <w:lang w:val="el-GR"/>
        </w:rPr>
      </w:pPr>
      <w:r>
        <w:rPr>
          <w:color w:val="000000"/>
          <w:lang w:val="el-GR"/>
        </w:rPr>
        <w:t xml:space="preserve">α) είτε των άρθρων 13, 14 και 28 του ν. 4727/2020 (Α΄ 184) περί ηλεκτρονικών δημοσίων εγγράφων που φέρουν ηλεκτρονική υπογραφή ή σφραγίδα και, εφόσον πρόκειται για αλλοδαπά δημόσια ηλεκτρονικά έγγραφα, εάν φέρουν επισημείωση </w:t>
      </w:r>
      <w:r>
        <w:rPr>
          <w:color w:val="000000"/>
          <w:lang w:val="en-US"/>
        </w:rPr>
        <w:t>e</w:t>
      </w:r>
      <w:r>
        <w:rPr>
          <w:color w:val="000000"/>
          <w:lang w:val="el-GR"/>
        </w:rPr>
        <w:t>-</w:t>
      </w:r>
      <w:r>
        <w:rPr>
          <w:color w:val="000000"/>
          <w:lang w:val="en-US"/>
        </w:rPr>
        <w:t>Apostille</w:t>
      </w:r>
      <w:r>
        <w:rPr>
          <w:color w:val="000000"/>
          <w:lang w:val="el-GR"/>
        </w:rPr>
        <w:t xml:space="preserve"> </w:t>
      </w:r>
    </w:p>
    <w:p>
      <w:pPr>
        <w:pStyle w:val="Normal"/>
        <w:rPr>
          <w:color w:val="000000"/>
          <w:lang w:val="el-GR"/>
        </w:rPr>
      </w:pPr>
      <w:r>
        <w:rPr>
          <w:color w:val="000000"/>
          <w:lang w:val="el-GR"/>
        </w:rPr>
        <w:t>β) είτε των άρθρων 15 και 27</w:t>
      </w:r>
      <w:r>
        <w:rPr>
          <w:rStyle w:val="Style19"/>
          <w:color w:val="000000"/>
          <w:lang w:val="el-GR"/>
        </w:rPr>
        <w:footnoteReference w:id="107"/>
      </w:r>
      <w:r>
        <w:rPr>
          <w:color w:val="000000"/>
          <w:lang w:val="el-GR"/>
        </w:rPr>
        <w:t xml:space="preserve"> του ν. 4727/2020 (Α΄ 184) περί ηλεκτρονικών ιδιωτικών εγγράφων που φέρουν ηλεκτρονική υπογραφή ή σφραγίδα </w:t>
      </w:r>
    </w:p>
    <w:p>
      <w:pPr>
        <w:pStyle w:val="Normal"/>
        <w:rPr>
          <w:color w:val="000000"/>
          <w:lang w:val="el-GR"/>
        </w:rPr>
      </w:pPr>
      <w:r>
        <w:rPr>
          <w:color w:val="000000"/>
          <w:lang w:val="el-GR"/>
        </w:rPr>
        <w:t>γ) είτε του άρθρου 11 του ν. 2690/1999 (Α΄ 45)</w:t>
      </w:r>
      <w:r>
        <w:rPr>
          <w:rStyle w:val="Style19"/>
          <w:color w:val="000000"/>
          <w:lang w:val="el-GR"/>
        </w:rPr>
        <w:footnoteReference w:id="108"/>
      </w:r>
      <w:r>
        <w:rPr>
          <w:color w:val="000000"/>
          <w:lang w:val="el-GR"/>
        </w:rPr>
        <w:t>,</w:t>
      </w:r>
    </w:p>
    <w:p>
      <w:pPr>
        <w:pStyle w:val="Normal"/>
        <w:rPr>
          <w:color w:val="000000"/>
          <w:lang w:val="el-GR"/>
        </w:rPr>
      </w:pPr>
      <w:r>
        <w:rPr>
          <w:color w:val="000000"/>
          <w:lang w:val="el-GR"/>
        </w:rPr>
        <w:t xml:space="preserve">δ) είτε της παρ. 2 του άρθρου 37 του ν. 4412/2016, περί χρήσης ηλεκτρονικών υπογραφών σε ηλεκτρονικές διαδικασίες δημοσίων συμβάσεων,  </w:t>
      </w:r>
    </w:p>
    <w:p>
      <w:pPr>
        <w:pStyle w:val="Normal"/>
        <w:rPr>
          <w:color w:val="000000"/>
          <w:lang w:val="el-GR"/>
        </w:rPr>
      </w:pPr>
      <w:r>
        <w:rPr>
          <w:color w:val="000000"/>
          <w:lang w:val="el-GR"/>
        </w:rPr>
        <w:t xml:space="preserve">ε) είτε της παρ. 8 του άρθρου 92 του ν. 4412/2016, περί συνυποβολής υπεύθυνης δήλωσης στην περίπτωση απλής φωτοτυπίας ιδιωτικών εγγράφων. </w:t>
      </w:r>
      <w:r>
        <w:rPr>
          <w:rStyle w:val="Style19"/>
          <w:color w:val="000000"/>
          <w:lang w:val="el-GR"/>
        </w:rPr>
        <w:footnoteReference w:id="109"/>
      </w:r>
    </w:p>
    <w:p>
      <w:pPr>
        <w:pStyle w:val="Normal"/>
        <w:rPr>
          <w:color w:val="000000"/>
          <w:lang w:val="el-GR"/>
        </w:rPr>
      </w:pPr>
      <w:r>
        <w:rPr>
          <w:color w:val="000000"/>
          <w:lang w:val="el-GR"/>
        </w:rPr>
        <w:t>Επιπλέον, δεν προσκομίζονται σε έντυπη μορφή τα ΦΕΚ</w:t>
      </w:r>
      <w:r>
        <w:rPr>
          <w:rStyle w:val="Style19"/>
          <w:color w:val="000000"/>
          <w:lang w:val="el-GR"/>
        </w:rPr>
        <w:footnoteReference w:id="110"/>
      </w:r>
      <w:r>
        <w:rPr>
          <w:color w:val="000000"/>
          <w:lang w:val="el-GR"/>
        </w:rPr>
        <w:t xml:space="preserve"> και ενημερωτικά και τεχνικά φυλλάδια και άλλα έντυπα, εταιρικά ή μη, με ειδικό τεχνικό περιεχόμενο, δηλαδή έντυπα με αμιγώς τεχνικά χαρακτηριστικά, όπως αριθμούς, αποδόσεις σε διεθνείς μονάδες, μαθηματικούς τύπους και σχέδια.</w:t>
      </w:r>
    </w:p>
    <w:p>
      <w:pPr>
        <w:pStyle w:val="Normal"/>
        <w:spacing w:before="0" w:after="144"/>
        <w:rPr>
          <w:b/>
          <w:b/>
          <w:strike/>
          <w:color w:val="000000"/>
          <w:lang w:val="el-GR"/>
        </w:rPr>
      </w:pPr>
      <w:r>
        <w:rPr>
          <w:color w:val="000000"/>
          <w:lang w:val="el-GR"/>
        </w:rPr>
        <w:t>Ειδικότερα, τα στοιχεία και δικαιολογητικά για τη συμμετοχή του Οικονομικού Φορέα στη διαδικασία καταχωρίζονται από αυτόν σε μορφή ηλεκτρονικών αρχείων με μορφότυπο PDF</w:t>
      </w:r>
      <w:r>
        <w:rPr>
          <w:b/>
          <w:color w:val="000000"/>
          <w:lang w:val="el-GR"/>
        </w:rPr>
        <w:t xml:space="preserve">. </w:t>
      </w:r>
      <w:bookmarkEnd w:id="38"/>
    </w:p>
    <w:p>
      <w:pPr>
        <w:pStyle w:val="Normal"/>
        <w:rPr>
          <w:lang w:val="el-GR"/>
        </w:rPr>
      </w:pPr>
      <w:r>
        <w:rPr>
          <w:lang w:val="el-GR"/>
        </w:rPr>
        <w:t>Έως την ημέρα και ώρα αποσφράγισης των προσφορών προσκομίζονται με ευθύνη του οικονομικού φορέα στην αναθέτουσα αρχή, σε έντυπη μορφή και σε κλειστό-ούς φάκελο-ους, στον οποίο αναγράφεται ο αποστολέας και ως παραλήπτης η Επιτροπή Διαγωνισμού του παρόντος διαγωνισμού, τα στοιχεία της ηλεκτρονικής προσφοράς του, τα οποία απαιτείται να προσκομισθούν σε πρωτότυπη μορφή.</w:t>
      </w:r>
      <w:r>
        <w:rPr>
          <w:rFonts w:eastAsia="Calibri" w:cs="Times New Roman" w:ascii="Times New Roman" w:hAnsi="Times New Roman"/>
          <w:szCs w:val="22"/>
          <w:lang w:val="el-GR" w:eastAsia="el-GR"/>
        </w:rPr>
        <w:t xml:space="preserve"> </w:t>
      </w:r>
      <w:r>
        <w:rPr>
          <w:lang w:val="el-GR"/>
        </w:rPr>
        <w:t>Τέτοια στοιχεία και δικαιολογητικά ενδεικτικά είναι :</w:t>
      </w:r>
    </w:p>
    <w:p>
      <w:pPr>
        <w:pStyle w:val="Normal"/>
        <w:rPr>
          <w:lang w:val="el-GR"/>
        </w:rPr>
      </w:pPr>
      <w:r>
        <w:rPr>
          <w:lang w:val="el-GR"/>
        </w:rPr>
        <w:t>α) η πρωτότυπη εγγυητική επιστολή συμμετοχής, πλην των περιπτώσεων που αυτή εκδίδεται ηλεκτρονικά, άλλως η προσφορά απορρίπτεται ως απαράδεκτη,</w:t>
      </w:r>
    </w:p>
    <w:p>
      <w:pPr>
        <w:pStyle w:val="Normal"/>
        <w:rPr>
          <w:lang w:val="el-GR"/>
        </w:rPr>
      </w:pPr>
      <w:r>
        <w:rPr>
          <w:lang w:val="el-GR"/>
        </w:rPr>
        <w:t>β) αυτά που δεν υπάγονται στις διατάξεις του άρθρου 11 παρ. 2 του ν. 2690/1999</w:t>
      </w:r>
      <w:r>
        <w:rPr>
          <w:rStyle w:val="Style19"/>
          <w:color w:val="000000"/>
          <w:lang w:val="el-GR"/>
        </w:rPr>
        <w:footnoteReference w:id="111"/>
      </w:r>
      <w:r>
        <w:rPr>
          <w:lang w:val="el-GR"/>
        </w:rPr>
        <w:t xml:space="preserve">, </w:t>
      </w:r>
    </w:p>
    <w:p>
      <w:pPr>
        <w:pStyle w:val="Normal"/>
        <w:rPr>
          <w:lang w:val="el-GR"/>
        </w:rPr>
      </w:pPr>
      <w:r>
        <w:rPr>
          <w:lang w:val="el-GR"/>
        </w:rPr>
        <w:t>γ) ιδιωτικά έγγραφα τα οποία δεν  έχουν επικυρωθεί από δικηγόρο ή δεν φέρουν θεώρηση από υπηρεσίες και φορείς της περίπτωσης α΄ της παρ. 2 του άρθρου 11 του ν. 2690/1999 ή δεν συνοδεύονται από υπεύθυνη δήλωση για την ακρίβειά τους, καθώς και</w:t>
      </w:r>
    </w:p>
    <w:p>
      <w:pPr>
        <w:pStyle w:val="Normal"/>
        <w:rPr>
          <w:lang w:val="el-GR"/>
        </w:rPr>
      </w:pPr>
      <w:r>
        <w:rPr>
          <w:lang w:val="el-GR"/>
        </w:rPr>
        <w:t>δ) τα αλλοδαπά δημόσια έντυπα έγγραφα που φέρουν την επισημείωση της Χάγης (Apostille), ή προξενική θεώρηση και δεν έχουν επικυρωθεί  από δικηγόρο</w:t>
      </w:r>
      <w:r>
        <w:rPr>
          <w:rStyle w:val="Style19"/>
          <w:lang w:val="el-GR"/>
        </w:rPr>
        <w:footnoteReference w:id="112"/>
      </w:r>
      <w:r>
        <w:rPr>
          <w:lang w:val="el-GR"/>
        </w:rPr>
        <w:t xml:space="preserve">. </w:t>
      </w:r>
    </w:p>
    <w:p>
      <w:pPr>
        <w:pStyle w:val="Normal"/>
        <w:rPr>
          <w:lang w:val="el-GR"/>
        </w:rPr>
      </w:pPr>
      <w:r>
        <w:rPr>
          <w:lang w:val="el-GR"/>
        </w:rPr>
        <w:t>Σε περίπτωση μη υποβολής ενός ή περισσότερων από τα ως άνω στοιχεία και δικαιολογητικά που υποβάλλονται σε έντυπη μορφή, πλην της πρωτότυπης εγγύησης συμμετοχής, η αναθέτουσα αρχή δύναται να ζητήσει τη συμπλήρωση και υποβολή τους, σύμφωνα με το άρθρο 102 του ν. 4412/2016.</w:t>
      </w:r>
    </w:p>
    <w:p>
      <w:pPr>
        <w:pStyle w:val="Normal"/>
        <w:rPr>
          <w:lang w:val="el-GR"/>
        </w:rPr>
      </w:pPr>
      <w:r>
        <w:rPr>
          <w:lang w:val="el-GR"/>
        </w:rPr>
        <w:t>Στα αλλοδαπά δημόσια έγγραφα και δικαιολογητικά εφαρμόζεται η Συνθήκη της Χάγης της 5ης.10.1961, που κυρώθηκε με τον  ν. 1497/1984 (Α΄188) , εφόσον συντάσσονται σε κράτη που έχουν προσχωρήσει στην ως άνω Συνθήκη, άλλως φέρουν προξενική θεώρηση. Απαλλάσσονται από την απαίτηση επικύρωσης (με Apostille ή Προξενική Θεώρηση) αλλοδαπά δημόσια έγγραφα όταν καλύπτονται από διμερείς ή πολυμερείς συμφωνίες που έχει συνάψει η Ελλάδα (ενδεικτικά «Σύμβαση νομικής συνεργασίας μεταξύ Ελλάδας και Κύπρου – 05.03.1984» (κυρωτικός ν.1548/1985, «Σύμβαση περί απαλλαγής από την επικύρωση ορισμένων πράξεων και εγγράφων – 15.09.1977» (κυρωτικός ν.4231/2014)). Επίσης, απαλλάσσονται από την απαίτηση επικύρωσης ή παρόμοιας διατύπωσης δημόσια έγγραφα που εκδίδονται από τις αρχές κράτους μέλους που υπάγονται στον Καν ΕΕ 2016/1191 για την απλούστευση των απαιτήσεων για την υποβολή ορισμένων δημοσίων εγγράφων στην ΕΕ, όπως, ενδεικτικά,  το λευκό ποινικό μητρώο, υπό τον όρο ότι τα σχετικά με το γεγονός αυτό δημόσια έγγραφα εκδίδονται για πολίτη της Ένωσης από τις αρχές του κράτους μέλους της ιθαγένειάς του.</w:t>
      </w:r>
    </w:p>
    <w:p>
      <w:pPr>
        <w:pStyle w:val="Normal"/>
        <w:rPr>
          <w:lang w:val="el-GR"/>
        </w:rPr>
      </w:pPr>
      <w:r>
        <w:rPr>
          <w:lang w:val="el-GR"/>
        </w:rPr>
        <w:t>Επίσης, γίνονται υποχρεωτικά αποδεκτά ευκρινή φωτοαντίγραφα εγγράφων που έχουν εκδοθεί από αλλοδαπές αρχές και έχουν επικυρωθεί από δικηγόρο, σύμφωνα με τα προβλεπόμενα στην παρ. 2 περ. β΄ του άρθρου 11 του ν. 2690/1999 “Κώδικας Διοικητικής Διαδικασίας”, όπως αντικαταστάθηκε ως άνω με το άρθρο 1 παρ.2 του ν.4250/2014.</w:t>
      </w:r>
    </w:p>
    <w:p>
      <w:pPr>
        <w:pStyle w:val="Normal"/>
        <w:rPr>
          <w:lang w:val="el-GR"/>
        </w:rPr>
      </w:pPr>
      <w:r>
        <w:rPr>
          <w:lang w:val="el-GR"/>
        </w:rPr>
        <w:t xml:space="preserve">Οι πρωτότυπες εγγυήσεις συμμετοχής, πλην των εγγυήσεων που εκδίδονται ηλεκτρονικά, προσκομίζονται, με ευθύνη του οικονομικού φορέα, σε κλειστό φάκελο, στον οποίο αναγράφεται ο αποστολέας, τα στοιχεία του παρόντος διαγωνισμού και ως παραλήπτης η Επιτροπή Διαγωνισμού, το αργότερο πριν την ημερομηνία και ώρα αποσφράγισης των προσφορών που ορίζεται στην παρ. 3.1 της παρούσας, άλλως η προσφορά απορρίπτεται ως απαράδεκτη, μετά από γνώμη της Επιτροπής Διαγωνισμού.  </w:t>
      </w:r>
    </w:p>
    <w:p>
      <w:pPr>
        <w:pStyle w:val="Normal"/>
        <w:rPr>
          <w:lang w:val="el-GR"/>
        </w:rPr>
      </w:pPr>
      <w:r>
        <w:rPr>
          <w:lang w:val="el-GR"/>
        </w:rPr>
        <w:t>Η προσκόμιση των εγγυήσεων συμμετοχής πραγματοποιείται είτε με κατάθεση του ως άνω φακέλου στην υπηρεσία πρωτοκόλλου της αναθέτουσας αρχής, είτε με την αποστολή του ταχυδρομικώς, επί αποδείξει. Το βάρος απόδειξης της έγκαιρης προσκόμισης το φέρει ο οικονομικός φορέας. Το εμπρόθεσμο αποδεικνύεται με την επίκληση του αριθμού πρωτοκόλλου ή την προσκόμιση του σχετικού αποδεικτικού αποστολής κατά περίπτωση.</w:t>
      </w:r>
    </w:p>
    <w:p>
      <w:pPr>
        <w:pStyle w:val="Normal"/>
        <w:rPr>
          <w:color w:val="00B050"/>
          <w:lang w:val="el-GR"/>
        </w:rPr>
      </w:pPr>
      <w:r>
        <w:rPr>
          <w:lang w:val="el-GR"/>
        </w:rPr>
        <w:t xml:space="preserve"> </w:t>
      </w:r>
      <w:r>
        <w:rPr>
          <w:lang w:val="el-GR"/>
        </w:rPr>
        <w:t>Στην περίπτωση που επιλεγεί η αποστολή του φακέλου της εγγύησης συμμετοχής ταχυδρομικώς,  ο οικονομικός φορέας αναρτά, εφόσον δεν διαθέτει αριθμό έγκαιρης εισαγωγής του φακέλου του στο πρωτόκολλο της αναθέτουσας αρχής, το αργότερο έως την ημερομηνία και ώρα αποσφράγισης των προσφορών, μέσω της λειτουργικότητας «Επικοινωνία», το σχετικό αποδεικτικό στοιχείο προσκόμισης (αποδεικτικό κατάθεσης σε υπηρεσίες ταχυδρομείου- ταχυμεταφορών),  προκειμένου να ενημερώσει την αναθέτουσα αρχή περί της τήρησης της υποχρέωσής του σχετικά με την (εμπρόθεσμη) προσκόμιση της εγγύησης συμμετοχής του στον παρόντα διαγωνισμό.</w:t>
      </w:r>
    </w:p>
    <w:p>
      <w:pPr>
        <w:pStyle w:val="Normal"/>
        <w:rPr>
          <w:lang w:val="el-GR"/>
        </w:rPr>
      </w:pPr>
      <w:r>
        <w:rPr>
          <w:lang w:val="el-GR"/>
        </w:rPr>
      </w:r>
    </w:p>
    <w:p>
      <w:pPr>
        <w:pStyle w:val="3"/>
        <w:rPr>
          <w:i/>
          <w:i/>
          <w:iCs/>
          <w:color w:val="5B9BD5"/>
          <w:shd w:fill="FFFF00" w:val="clear"/>
          <w:lang w:val="el-GR"/>
        </w:rPr>
      </w:pPr>
      <w:bookmarkStart w:id="39" w:name="_Toc129004429"/>
      <w:r>
        <w:rPr>
          <w:lang w:val="el-GR"/>
        </w:rPr>
        <w:t>2.4.3</w:t>
        <w:tab/>
        <w:t>Περιεχόμενα Φακέλου «Δικαιολογητικά Συμμετοχής- Τεχνική Προσφορά»</w:t>
      </w:r>
      <w:bookmarkEnd w:id="39"/>
      <w:r>
        <w:rPr>
          <w:lang w:val="el-GR"/>
        </w:rPr>
        <w:t xml:space="preserve"> </w:t>
      </w:r>
    </w:p>
    <w:p>
      <w:pPr>
        <w:pStyle w:val="4"/>
        <w:rPr>
          <w:lang w:val="el-GR"/>
        </w:rPr>
      </w:pPr>
      <w:bookmarkStart w:id="40" w:name="_Toc129004430"/>
      <w:r>
        <w:rPr>
          <w:lang w:val="el-GR"/>
        </w:rPr>
        <w:t>2.4.3.1 Δικαιολογητικά Συμμετοχής</w:t>
      </w:r>
      <w:bookmarkEnd w:id="40"/>
      <w:r>
        <w:rPr>
          <w:lang w:val="el-GR"/>
        </w:rPr>
        <w:t xml:space="preserve"> </w:t>
      </w:r>
    </w:p>
    <w:p>
      <w:pPr>
        <w:pStyle w:val="Normal"/>
        <w:rPr>
          <w:i/>
          <w:i/>
          <w:iCs/>
          <w:color w:val="5B9BD5"/>
          <w:lang w:val="el-GR"/>
        </w:rPr>
      </w:pPr>
      <w:r>
        <w:rPr>
          <w:lang w:val="el-GR"/>
        </w:rPr>
        <w:t>Τα στοιχεία και δικαιολογητικά για τη συμμετοχή των προσφερόντων στη διαγωνιστική διαδικασία περιλαμβάνουν με ποινή αποκλεισμού</w:t>
      </w:r>
      <w:r>
        <w:rPr>
          <w:rStyle w:val="Style19"/>
          <w:lang w:val="el-GR"/>
        </w:rPr>
        <w:footnoteReference w:id="113"/>
      </w:r>
      <w:r>
        <w:rPr>
          <w:lang w:val="el-GR"/>
        </w:rPr>
        <w:t xml:space="preserve"> τα ακόλουθα υπό α και β στοιχεία: α) το Ευρωπαϊκό Ενιαίο Έγγραφο Σύμβασης (ΕΕΕΣ), όπως προβλέπεται στις παρ. 1 και 3 του άρθρου 79 του ν. 4412/2016 και τη συνοδευτική υπεύθυνη δήλωση, με την οποία ο οικονομικός φορέας </w:t>
      </w:r>
      <w:r>
        <w:rPr>
          <w:u w:val="single"/>
          <w:lang w:val="el-GR"/>
        </w:rPr>
        <w:t>δύναται</w:t>
      </w:r>
      <w:r>
        <w:rPr>
          <w:lang w:val="el-GR"/>
        </w:rPr>
        <w:t xml:space="preserve"> να διευκρινίζει τις πληροφορίες που παρέχει με το ΕΕΕΣ σύμφωνα με την παρ. 9 του ίδιου άρθρου, β) την εγγύηση συμμετοχής, όπως προβλέπεται στο άρθρο 72 του ν.4412/2016 και τις παραγράφους 2.1.5 και 2.2.2 αντίστοιχα της παρούσας διακήρυξης. </w:t>
      </w:r>
      <w:r>
        <w:rPr>
          <w:i/>
          <w:iCs/>
          <w:color w:val="5B9BD5"/>
          <w:lang w:val="el-GR"/>
        </w:rPr>
        <w:t xml:space="preserve"> </w:t>
      </w:r>
    </w:p>
    <w:p>
      <w:pPr>
        <w:pStyle w:val="Normal"/>
        <w:rPr>
          <w:lang w:val="el-GR"/>
        </w:rPr>
      </w:pPr>
      <w:r>
        <w:rPr>
          <w:lang w:val="el-GR"/>
        </w:rPr>
        <w:t xml:space="preserve">Οι προσφέροντες συμπληρώνουν το σχετικό υπόδειγμα ΕΕΕΣ,  το οποίο αποτελεί αναπόσπαστο μέρος της παρούσας διακήρυξης ως Παράρτημα  αυτής. </w:t>
      </w:r>
    </w:p>
    <w:p>
      <w:pPr>
        <w:pStyle w:val="Normal"/>
        <w:rPr>
          <w:lang w:val="el-GR"/>
        </w:rPr>
      </w:pPr>
      <w:r>
        <w:rPr>
          <w:lang w:val="el-GR"/>
        </w:rPr>
        <w:t xml:space="preserve">Η συμπλήρωσή του δύναται να πραγματοποιηθεί με χρήση του υποσυστήματος </w:t>
      </w:r>
      <w:r>
        <w:rPr>
          <w:lang w:val="en-US"/>
        </w:rPr>
        <w:t>Promitheus</w:t>
      </w:r>
      <w:r>
        <w:rPr>
          <w:lang w:val="el-GR"/>
        </w:rPr>
        <w:t xml:space="preserve"> </w:t>
      </w:r>
      <w:r>
        <w:rPr>
          <w:lang w:val="en-US"/>
        </w:rPr>
        <w:t>ESPDint</w:t>
      </w:r>
      <w:r>
        <w:rPr>
          <w:lang w:val="el-GR"/>
        </w:rPr>
        <w:t>, προσβάσιμου μέσω της Διαδικτυακής Πύλης (</w:t>
      </w:r>
      <w:r>
        <w:rPr>
          <w:rStyle w:val="Style9"/>
          <w:lang w:val="el-GR"/>
        </w:rPr>
        <w:t xml:space="preserve"> https://espd.eprocurement.gov.gr/</w:t>
      </w:r>
      <w:r>
        <w:rPr>
          <w:lang w:val="el-GR"/>
        </w:rPr>
        <w:t>) του ΟΠΣ ΕΣΗΔΗΣ, ή άλλης σχετικής συμβατής πλατφόρμας υπηρεσιών διαχείρισης ηλεκτρονικών ΕΕΕΣ. Οι Οικονομικοί Φορείς δύνανται για  τον σκοπό αυτό να αξιοποιήσουν το αντίστοιχο ηλεκτρονικό αρχείο με μορφότυπο XML που αποτελεί επικουρικό στοιχείο των εγγράφων της σύμβασης.</w:t>
      </w:r>
    </w:p>
    <w:p>
      <w:pPr>
        <w:pStyle w:val="Normal"/>
        <w:rPr>
          <w:i/>
          <w:i/>
          <w:iCs/>
          <w:color w:val="5B9BD5"/>
          <w:lang w:val="el-GR"/>
        </w:rPr>
      </w:pPr>
      <w:r>
        <w:rPr>
          <w:lang w:val="el-GR"/>
        </w:rPr>
        <w:t xml:space="preserve">Το συμπληρωμένο από τον Οικονομικό Φορέα ΕΕΕΣ, καθώς και η τυχόν συνοδευτική αυτού υπεύθυνη δήλωση, υποβάλλονται σύμφωνα με την περίπτωση δ΄ της παραγράφου 2.4.2.5 της παρούσας, σε ψηφιακά υπογεγραμμένο ηλεκτρονικό αρχείο με μορφότυπο </w:t>
      </w:r>
      <w:r>
        <w:rPr>
          <w:lang w:val="en-US"/>
        </w:rPr>
        <w:t>PDF</w:t>
      </w:r>
      <w:r>
        <w:rPr>
          <w:lang w:val="el-GR"/>
        </w:rPr>
        <w:t>.</w:t>
      </w:r>
    </w:p>
    <w:p>
      <w:pPr>
        <w:pStyle w:val="Normal"/>
        <w:rPr>
          <w:i/>
          <w:i/>
          <w:iCs/>
          <w:lang w:val="el-GR"/>
        </w:rPr>
      </w:pPr>
      <w:r>
        <w:rPr>
          <w:i/>
          <w:iCs/>
          <w:lang w:val="el-GR"/>
        </w:rPr>
      </w:r>
    </w:p>
    <w:p>
      <w:pPr>
        <w:pStyle w:val="4"/>
        <w:rPr>
          <w:lang w:val="el-GR"/>
        </w:rPr>
      </w:pPr>
      <w:bookmarkStart w:id="41" w:name="_Toc129004431"/>
      <w:r>
        <w:rPr>
          <w:lang w:val="el-GR"/>
        </w:rPr>
        <w:t>2.4.3.2 Τεχνική προσφορά</w:t>
      </w:r>
      <w:bookmarkEnd w:id="41"/>
    </w:p>
    <w:p>
      <w:pPr>
        <w:pStyle w:val="Normal"/>
        <w:rPr>
          <w:lang w:val="el-GR"/>
        </w:rPr>
      </w:pPr>
      <w:r>
        <w:rPr>
          <w:lang w:val="en-US"/>
        </w:rPr>
        <w:t>H</w:t>
      </w:r>
      <w:r>
        <w:rPr>
          <w:lang w:val="el-GR"/>
        </w:rPr>
        <w:t xml:space="preserve"> τεχνική προσφορά καλύπτει όλες τις απαιτήσεις και τις προδιαγραφές που έχουν τεθεί από την αναθέτουσα αρχή με το κεφάλαιο “Απαιτήσεις-Τεχνικές Προδιαγραφές” του </w:t>
      </w:r>
      <w:r>
        <w:rPr>
          <w:b/>
          <w:bCs/>
          <w:lang w:val="el-GR"/>
        </w:rPr>
        <w:t>Παραρτήματος Ι</w:t>
      </w:r>
      <w:r>
        <w:rPr>
          <w:lang w:val="el-GR"/>
        </w:rPr>
        <w:t xml:space="preserve"> . της Διακήρυξης , περιγράφοντας ακριβώς πώς οι συγκεκριμένες απαιτήσεις και προδιαγραφές πληρούνται. Περιλαμβάνει ιδίως τα έγγραφα και δικαιολογητικά, βάσει των οποίων θα αξιολογηθεί η καταλληλότητα των προσφερόμενων ειδών, με βάση το κριτήριο ανάθεσης, σύμφωνα με τα αναλυτικώς αναφερόμενα στο ως άνω Παράρτημα</w:t>
      </w:r>
      <w:r>
        <w:rPr>
          <w:rStyle w:val="Style19"/>
          <w:lang w:val="el-GR"/>
        </w:rPr>
        <w:footnoteReference w:id="114"/>
      </w:r>
      <w:r>
        <w:rPr>
          <w:lang w:val="el-GR"/>
        </w:rPr>
        <w:t xml:space="preserve"> </w:t>
      </w:r>
      <w:r>
        <w:rPr>
          <w:rStyle w:val="Style19"/>
          <w:lang w:val="el-GR"/>
        </w:rPr>
        <w:footnoteReference w:id="115"/>
      </w:r>
      <w:r>
        <w:rPr>
          <w:rStyle w:val="WWFootnoteReference9"/>
          <w:lang w:val="el-GR"/>
        </w:rPr>
        <w:t>.</w:t>
      </w:r>
      <w:r>
        <w:rPr>
          <w:lang w:val="el-GR"/>
        </w:rPr>
        <w:t xml:space="preserve"> </w:t>
      </w:r>
    </w:p>
    <w:p>
      <w:pPr>
        <w:pStyle w:val="Normal"/>
        <w:rPr>
          <w:lang w:val="el-GR"/>
        </w:rPr>
      </w:pPr>
      <w:r>
        <w:rPr>
          <w:lang w:val="el-GR"/>
        </w:rPr>
        <w:t xml:space="preserve">Οι οικονομικοί φορείς αναφέρουν: </w:t>
      </w:r>
    </w:p>
    <w:p>
      <w:pPr>
        <w:pStyle w:val="Normal"/>
        <w:rPr>
          <w:lang w:val="el-GR"/>
        </w:rPr>
      </w:pPr>
      <w:r>
        <w:rPr>
          <w:lang w:val="el-GR"/>
        </w:rPr>
        <w:t>α) το τμήμα της σύμβασης που προτίθενται να αναθέσουν υπό μορφή υπεργολαβίας σε τρίτους, καθώς και τους υπεργολάβους που προτείνουν</w:t>
      </w:r>
      <w:r>
        <w:rPr>
          <w:rStyle w:val="Style19"/>
          <w:lang w:val="el-GR"/>
        </w:rPr>
        <w:footnoteReference w:id="116"/>
      </w:r>
      <w:r>
        <w:rPr>
          <w:lang w:val="el-GR"/>
        </w:rPr>
        <w:t>.</w:t>
      </w:r>
    </w:p>
    <w:p>
      <w:pPr>
        <w:pStyle w:val="Normal"/>
        <w:rPr>
          <w:i/>
          <w:i/>
          <w:iCs/>
          <w:color w:val="5B9BD5"/>
          <w:lang w:val="el-GR"/>
        </w:rPr>
      </w:pPr>
      <w:r>
        <w:rPr>
          <w:lang w:val="el-GR"/>
        </w:rPr>
        <w:t xml:space="preserve">β) τη χώρα παραγωγής του προσφερόμενου προϊόντος και την επιχειρηματική μονάδα στην οποία παράγεται αυτό, καθώς και τον τόπο εγκατάστασής της. </w:t>
      </w:r>
    </w:p>
    <w:p>
      <w:pPr>
        <w:pStyle w:val="3"/>
        <w:rPr>
          <w:lang w:val="el-GR"/>
        </w:rPr>
      </w:pPr>
      <w:bookmarkStart w:id="42" w:name="_Toc129004432"/>
      <w:r>
        <w:rPr>
          <w:lang w:val="el-GR"/>
        </w:rPr>
        <w:t>2.4.4</w:t>
        <w:tab/>
        <w:t>Περιεχόμενα Φακέλου «Οικονομική Προσφορά» / Τρόπος σύνταξης και υποβολής οικονομικών προσφορών</w:t>
      </w:r>
      <w:bookmarkEnd w:id="42"/>
    </w:p>
    <w:p>
      <w:pPr>
        <w:pStyle w:val="Normal"/>
        <w:rPr>
          <w:i/>
          <w:i/>
          <w:color w:val="5B9BD5"/>
          <w:lang w:val="el-GR" w:eastAsia="el-GR"/>
        </w:rPr>
      </w:pPr>
      <w:r>
        <w:rPr>
          <w:lang w:val="el-GR"/>
        </w:rPr>
        <w:t>Η Οικονομική Προσφορά</w:t>
      </w:r>
      <w:r>
        <w:rPr>
          <w:rStyle w:val="Style19"/>
          <w:lang w:val="el-GR"/>
        </w:rPr>
        <w:footnoteReference w:id="117"/>
      </w:r>
      <w:r>
        <w:rPr>
          <w:lang w:val="el-GR"/>
        </w:rPr>
        <w:t xml:space="preserve"> συντάσσεται με βάση το αναγραφόμενο στην παρούσα κριτήριο ανάθεσης   όπως ορίζεται κατωτέρω: </w:t>
      </w:r>
    </w:p>
    <w:p>
      <w:pPr>
        <w:pStyle w:val="Normal"/>
        <w:rPr>
          <w:i/>
          <w:i/>
          <w:lang w:val="el-GR" w:eastAsia="el-GR"/>
        </w:rPr>
      </w:pPr>
      <w:r>
        <w:rPr>
          <w:i/>
          <w:lang w:val="el-GR" w:eastAsia="el-GR"/>
        </w:rPr>
      </w:r>
    </w:p>
    <w:p>
      <w:pPr>
        <w:pStyle w:val="Normal"/>
        <w:rPr>
          <w:lang w:val="el-GR" w:eastAsia="el-GR"/>
        </w:rPr>
      </w:pPr>
      <w:r>
        <w:rPr>
          <w:i/>
          <w:lang w:val="el-GR" w:eastAsia="el-GR"/>
        </w:rPr>
        <w:t>Τιμές</w:t>
      </w:r>
    </w:p>
    <w:p>
      <w:pPr>
        <w:pStyle w:val="Normal"/>
        <w:rPr>
          <w:lang w:val="el-GR"/>
        </w:rPr>
      </w:pPr>
      <w:r>
        <w:rPr>
          <w:lang w:val="el-GR" w:eastAsia="el-GR"/>
        </w:rPr>
        <w:t>Η τιμή του προς προμήθεια αγαθού</w:t>
      </w:r>
      <w:r>
        <w:rPr>
          <w:i/>
          <w:color w:val="5B9BD5"/>
          <w:lang w:val="el-GR" w:eastAsia="el-GR"/>
        </w:rPr>
        <w:t xml:space="preserve"> </w:t>
      </w:r>
      <w:r>
        <w:rPr>
          <w:lang w:val="el-GR" w:eastAsia="el-GR"/>
        </w:rPr>
        <w:t>δίνεται  σε ευρώ ανά μονάδα.</w:t>
      </w:r>
      <w:r>
        <w:rPr>
          <w:rStyle w:val="WWFootnoteReference2"/>
          <w:rFonts w:cs="Helvetica"/>
          <w:color w:val="000000"/>
          <w:szCs w:val="22"/>
          <w:lang w:val="el-GR" w:eastAsia="el-GR"/>
        </w:rPr>
        <w:t xml:space="preserve"> </w:t>
      </w:r>
      <w:r>
        <w:rPr>
          <w:rStyle w:val="Style19"/>
          <w:rFonts w:cs="Helvetica"/>
          <w:color w:val="000000"/>
          <w:szCs w:val="22"/>
          <w:lang w:val="el-GR" w:eastAsia="el-GR"/>
        </w:rPr>
        <w:footnoteReference w:id="118"/>
      </w:r>
    </w:p>
    <w:p>
      <w:pPr>
        <w:pStyle w:val="Normal"/>
        <w:rPr>
          <w:rFonts w:cs="Helvetica"/>
          <w:color w:val="000000"/>
          <w:szCs w:val="22"/>
          <w:lang w:val="el-GR" w:eastAsia="el-GR"/>
        </w:rPr>
      </w:pPr>
      <w:r>
        <w:rPr>
          <w:rFonts w:cs="Helvetica"/>
          <w:color w:val="000000"/>
          <w:szCs w:val="22"/>
          <w:lang w:val="el-GR" w:eastAsia="el-GR"/>
        </w:rPr>
      </w:r>
    </w:p>
    <w:p>
      <w:pPr>
        <w:pStyle w:val="Normal"/>
        <w:rPr>
          <w:lang w:val="el-GR"/>
        </w:rPr>
      </w:pPr>
      <w:r>
        <w:rPr>
          <w:lang w:val="el-GR"/>
        </w:rPr>
        <w:t xml:space="preserve">Στην οικονομική προσφορά δίνεται το προσφερόμενο ποσοστό έκπτωσης στην τιμή των προσφερόμενων ειδών, βάσει των τιμών αναφοράς που εμφανίζονται στον Προϋπολογισμό του </w:t>
      </w:r>
      <w:r>
        <w:rPr>
          <w:b/>
          <w:bCs/>
          <w:lang w:val="el-GR"/>
        </w:rPr>
        <w:t>Παραρτήματος Ι</w:t>
      </w:r>
    </w:p>
    <w:p>
      <w:pPr>
        <w:pStyle w:val="Normal"/>
        <w:rPr>
          <w:lang w:val="el-GR"/>
        </w:rPr>
      </w:pPr>
      <w:r>
        <w:rPr>
          <w:lang w:val="el-GR"/>
        </w:rPr>
        <w:t xml:space="preserve">Εφόσον στην ειδική ηλεκτρονική φόρμα οικονομικής προσφοράς του ΕΣΗΔΗΣ δεν μπορεί να αποτυπωθεί ποσοστό έκπτωσης, για λόγους σύγκρισης των προσφορών από το σύστημα, στην ως άνω ηλεκτρονική φόρμα, οι συμμετέχοντες θα συμπληρώσουν ως τιμή προσφοράς την τιμή, με τρία δεκαδικά ψηφία που προκύπτει μετά την αφαίρεση του ποσοστού της έκπτωσης που προσφέρουν από την ως άνω τιμή αναφοράς </w:t>
      </w:r>
      <w:r>
        <w:rPr>
          <w:i/>
          <w:color w:val="5B9BD5"/>
          <w:lang w:val="el-GR" w:eastAsia="el-GR"/>
        </w:rPr>
        <w:t xml:space="preserve"> </w:t>
      </w:r>
      <w:r>
        <w:rPr>
          <w:lang w:val="el-GR"/>
        </w:rPr>
        <w:t xml:space="preserve">για τα αντίστοιχα προς παράδοση αγαθά. </w:t>
      </w:r>
    </w:p>
    <w:p>
      <w:pPr>
        <w:pStyle w:val="Normal"/>
        <w:rPr>
          <w:lang w:val="el-GR" w:eastAsia="el-GR"/>
        </w:rPr>
      </w:pPr>
      <w:r>
        <w:rPr>
          <w:lang w:val="el-GR" w:eastAsia="el-GR"/>
        </w:rPr>
        <w:t>Καθώς η οικονομική προσφορά, δηλαδή το προσφερόμενο ποσοστό έκπτωσης, έχει αποτυπωθεί έμμεσα στις ειδικές ηλεκτρονικές φόρμες του συστήματος, ο προσφέρων θα επισυνάψει στην ηλεκτρονική οικονομική προσφορά του, σε μορφή pdf, ηλεκτρονικά υπογεγραμμένο και συμπληρωμένο με το  αναγραφόμενο ποσοστό έκπτωσης την οικονομική προσφορά του.</w:t>
      </w:r>
    </w:p>
    <w:p>
      <w:pPr>
        <w:pStyle w:val="Normal"/>
        <w:rPr>
          <w:lang w:val="el-GR"/>
        </w:rPr>
      </w:pPr>
      <w:r>
        <w:rPr>
          <w:lang w:val="el-GR" w:eastAsia="el-GR"/>
        </w:rPr>
        <w:t xml:space="preserve">Στην τιμή περιλαμβάνονται οι υπέρ τρίτων κρατήσεις, καθώς και κάθε άλλη επιβάρυνση, σύμφωνα με την κείμενη νομοθεσία, μη συμπεριλαμβανομένου Φ.Π.Α., </w:t>
      </w:r>
      <w:r>
        <w:rPr>
          <w:color w:val="000000"/>
          <w:lang w:val="el-GR" w:eastAsia="el-GR"/>
        </w:rPr>
        <w:t xml:space="preserve">για την παράδοση του αγαθού </w:t>
      </w:r>
      <w:r>
        <w:rPr>
          <w:lang w:val="el-GR" w:eastAsia="el-GR"/>
        </w:rPr>
        <w:t>στον τόπο και με τον τρόπο που προβλέπεται στα έγγραφα της σύμβασης</w:t>
      </w:r>
      <w:r>
        <w:rPr>
          <w:rStyle w:val="WWFootnoteReference9"/>
          <w:lang w:val="el-GR" w:eastAsia="el-GR"/>
        </w:rPr>
        <w:t>.</w:t>
      </w:r>
    </w:p>
    <w:p>
      <w:pPr>
        <w:pStyle w:val="Normal"/>
        <w:rPr>
          <w:lang w:val="el-GR"/>
        </w:rPr>
      </w:pPr>
      <w:r>
        <w:rPr>
          <w:lang w:val="el-GR"/>
        </w:rPr>
        <w:t>Οι υπέρ τρίτων κρατήσεις υπόκεινται στο εκάστοτε ισχύον αναλογικό τέλος χαρτοσήμου 3% και στην επ’ αυτού εισφορά υπέρ ΟΓΑ 20%.</w:t>
      </w:r>
    </w:p>
    <w:p>
      <w:pPr>
        <w:pStyle w:val="Normal"/>
        <w:rPr>
          <w:lang w:val="el-GR"/>
        </w:rPr>
      </w:pPr>
      <w:r>
        <w:rPr>
          <w:lang w:val="el-GR"/>
        </w:rPr>
        <w:t xml:space="preserve">Οι προσφερόμενες τιμές είναι σταθερές καθ’ όλη τη διάρκεια της σύμβασης και δεν αναπροσαρμόζονται </w:t>
      </w:r>
    </w:p>
    <w:p>
      <w:pPr>
        <w:pStyle w:val="Normal"/>
        <w:rPr>
          <w:lang w:val="el-GR"/>
        </w:rPr>
      </w:pPr>
      <w:r>
        <w:rPr>
          <w:lang w:val="el-GR"/>
        </w:rPr>
        <w:t xml:space="preserve">Ως απαράδεκτες θα απορρίπτονται προσφορές στις οποίες: α) δεν δίνεται τιμή σε ΕΥΡΩ ή καθορίζεται  σχέση ΕΥΡΩ προς ξένο νόμισμα, β) δεν προκύπτει με σαφήνεια η προσφερόμενη τιμή, με την επιφύλαξη  του άρθρου 102 του ν. 4412/2016 και γ) η τιμή υπερβαίνει τον προϋπολογισμό της σύμβασης που καθορίζεται και τεκμηριώνεται από την αναθέτουσα αρχή στο Παράρτημα Ι της παρούσας διακήρυξης. </w:t>
      </w:r>
    </w:p>
    <w:p>
      <w:pPr>
        <w:pStyle w:val="Normal"/>
        <w:rPr>
          <w:lang w:val="el-GR"/>
        </w:rPr>
      </w:pPr>
      <w:r>
        <w:rPr>
          <w:lang w:val="el-GR"/>
        </w:rPr>
        <w:t>Στην οικονομική προσφορά  πρέπει να επιλέγεται με σαφήνεια ένας από τους τρόπους πληρωμής που περιγράφονται στην παρ. (5.1) της παρούσας διακήρυξης.</w:t>
      </w:r>
      <w:r>
        <w:rPr>
          <w:b/>
          <w:bCs/>
          <w:i/>
          <w:iCs/>
          <w:color w:val="5B9BD5"/>
          <w:szCs w:val="22"/>
          <w:lang w:val="el-GR"/>
        </w:rPr>
        <w:t xml:space="preserve"> </w:t>
      </w:r>
    </w:p>
    <w:p>
      <w:pPr>
        <w:pStyle w:val="3"/>
        <w:rPr>
          <w:lang w:val="el-GR" w:eastAsia="el-GR"/>
        </w:rPr>
      </w:pPr>
      <w:bookmarkStart w:id="43" w:name="_Toc129004433"/>
      <w:r>
        <w:rPr>
          <w:lang w:val="el-GR"/>
        </w:rPr>
        <w:t>2.4.5</w:t>
        <w:tab/>
        <w:t>Χρόνος ισχύος των προσφορών</w:t>
      </w:r>
      <w:r>
        <w:rPr>
          <w:rStyle w:val="Style19"/>
          <w:lang w:val="el-GR"/>
        </w:rPr>
        <w:footnoteReference w:id="119"/>
      </w:r>
      <w:bookmarkEnd w:id="43"/>
      <w:r>
        <w:rPr>
          <w:lang w:val="el-GR"/>
        </w:rPr>
        <w:t xml:space="preserve">  </w:t>
      </w:r>
    </w:p>
    <w:p>
      <w:pPr>
        <w:pStyle w:val="Normal"/>
        <w:rPr>
          <w:lang w:val="el-GR" w:eastAsia="el-GR"/>
        </w:rPr>
      </w:pPr>
      <w:r>
        <w:rPr>
          <w:lang w:val="el-GR" w:eastAsia="el-GR"/>
        </w:rPr>
        <w:t xml:space="preserve">Οι υποβαλλόμενες προσφορές ισχύουν και δεσμεύουν τους οικονομικούς φορείς για διάστημα </w:t>
      </w:r>
      <w:r>
        <w:rPr>
          <w:b/>
          <w:bCs/>
          <w:lang w:val="el-GR" w:eastAsia="el-GR"/>
        </w:rPr>
        <w:t>οκτώ</w:t>
      </w:r>
      <w:r>
        <w:rPr>
          <w:lang w:val="el-GR" w:eastAsia="el-GR"/>
        </w:rPr>
        <w:t xml:space="preserve"> (8) μηνών από την επόμενη της καταληκτικής ημερομηνίας υποβολής προσφορών </w:t>
      </w:r>
      <w:r>
        <w:rPr>
          <w:i/>
          <w:color w:val="5B9BD5"/>
          <w:lang w:val="el-GR" w:eastAsia="el-GR"/>
        </w:rPr>
        <w:t>.</w:t>
      </w:r>
    </w:p>
    <w:p>
      <w:pPr>
        <w:pStyle w:val="Normal"/>
        <w:rPr>
          <w:lang w:val="el-GR" w:eastAsia="el-GR"/>
        </w:rPr>
      </w:pPr>
      <w:r>
        <w:rPr>
          <w:lang w:val="el-GR" w:eastAsia="el-GR"/>
        </w:rPr>
        <w:t>Προσφορά η οποία ορίζει χρόνο ισχύος μικρότερο από τον ανωτέρω προβλεπόμενο απορρίπτεται ως μη κανονική.</w:t>
      </w:r>
    </w:p>
    <w:p>
      <w:pPr>
        <w:pStyle w:val="Normal"/>
        <w:rPr>
          <w:lang w:val="el-GR" w:eastAsia="el-GR"/>
        </w:rPr>
      </w:pPr>
      <w:r>
        <w:rPr>
          <w:lang w:val="el-GR" w:eastAsia="el-GR"/>
        </w:rPr>
        <w:t xml:space="preserve">Η ισχύς της προσφοράς μπορεί να παρατείνεται εγγράφως, εφόσον τούτο ζητηθεί από την αναθέτουσα αρχή, πριν από τη λήξη της, με αντίστοιχη παράταση της εγγυητικής επιστολής συμμετοχής σύμφωνα με τα οριζόμενα στο άρθρο 72 παρ. 1 του ν. 4412/2016 και </w:t>
      </w:r>
      <w:r>
        <w:rPr>
          <w:lang w:val="el-GR"/>
        </w:rPr>
        <w:t xml:space="preserve">την παράγραφο </w:t>
      </w:r>
      <w:r>
        <w:rPr>
          <w:lang w:val="el-GR" w:eastAsia="el-GR"/>
        </w:rPr>
        <w:t>2.2.2. της παρούσας, κατ' ανώτατο όριο για χρονικό διάστημα ίσο με την προβλεπόμενη ως άνω αρχική διάρκεια.</w:t>
      </w:r>
      <w:r>
        <w:rPr>
          <w:lang w:val="el-GR"/>
        </w:rPr>
        <w:t xml:space="preserve"> </w:t>
      </w:r>
      <w:r>
        <w:rPr>
          <w:lang w:val="el-GR" w:eastAsia="el-GR"/>
        </w:rPr>
        <w:t>Σε περίπτωση αιτήματος της αναθέτουσας αρχής για παράταση της ισχύος της προσφοράς, οι προσφορές των οικονομικών φορέων  που αποδέχτηκαν την παράταση, πριν τη λήξη ισχύος των προσφορών τους,  ισχύουν και τους δεσμεύουν  για το επιπλέον αυτό χρονικό διάστημα.</w:t>
      </w:r>
    </w:p>
    <w:p>
      <w:pPr>
        <w:pStyle w:val="Normal"/>
        <w:rPr>
          <w:lang w:val="el-GR"/>
        </w:rPr>
      </w:pPr>
      <w:r>
        <w:rPr>
          <w:lang w:val="el-GR" w:eastAsia="el-GR"/>
        </w:rPr>
        <w:t>Μετά τη λήξη και του παραπάνω ανώτατου ορίου χρόνου παράτασης ισχύος της προσφοράς, τα αποτελέσματα της διαδικασίας ανάθεσης ματαιώνονται, εκτός αν η αναθέτουσα αρχή κρίνει, κατά περίπτωση, αιτιολογημένα, ότι η συνέχιση της διαδικασίας εξυπηρετεί το δημόσιο συμφέρον, οπότε οι οικονομικοί φορείς που συμμετέχουν στη διαδικασία μπορούν να επιλέξουν είτε να παρατείνουν την προσφορά και την εγγύηση συμμετοχής τους, εφόσον τους ζητηθεί πριν την πάροδο του ανωτέρω ανώτατου ορίου παράτασης της προσφοράς τους είτε όχι. Στην τελευταία περίπτωση, η διαδικασία συνεχίζεται με όσους παρατείνουν τις προσφορές τους και αποκλείονται οι λοιποί οικονομικοί φορείς.</w:t>
      </w:r>
    </w:p>
    <w:p>
      <w:pPr>
        <w:pStyle w:val="Normal"/>
        <w:rPr>
          <w:lang w:val="el-GR"/>
        </w:rPr>
      </w:pPr>
      <w:r>
        <w:rPr>
          <w:lang w:val="el-GR"/>
        </w:rPr>
        <w:t>Σε περίπτωση που λήξει ο χρόνος ισχύος των προσφορών και δεν ζητηθεί παράταση της προσφοράς, η αναθέτουσα αρχή δύναται με αιτιολογημένη απόφασή της, εφόσον η εκτέλεση της σύμβασης εξυπηρετεί το δημόσιο συμφέρον, να ζητήσει εκ των υστέρων από τους οικονομικούς φορείς που συμμετέχουν στη διαδικασία να παρατείνουν την προσφορά τους.</w:t>
      </w:r>
    </w:p>
    <w:p>
      <w:pPr>
        <w:pStyle w:val="Normal"/>
        <w:rPr>
          <w:lang w:val="el-GR"/>
        </w:rPr>
      </w:pPr>
      <w:r>
        <w:rPr>
          <w:lang w:val="el-GR"/>
        </w:rPr>
      </w:r>
    </w:p>
    <w:p>
      <w:pPr>
        <w:pStyle w:val="3"/>
        <w:rPr>
          <w:lang w:val="el-GR"/>
        </w:rPr>
      </w:pPr>
      <w:bookmarkStart w:id="44" w:name="_Toc129004434"/>
      <w:r>
        <w:rPr>
          <w:lang w:val="el-GR"/>
        </w:rPr>
        <w:t>2.4.6</w:t>
        <w:tab/>
        <w:t>Λόγοι απόρριψης προσφορών</w:t>
      </w:r>
      <w:r>
        <w:rPr>
          <w:rStyle w:val="Style19"/>
          <w:lang w:val="el-GR"/>
        </w:rPr>
        <w:footnoteReference w:id="120"/>
      </w:r>
      <w:bookmarkEnd w:id="44"/>
    </w:p>
    <w:p>
      <w:pPr>
        <w:pStyle w:val="Normal"/>
        <w:rPr>
          <w:lang w:val="el-GR"/>
        </w:rPr>
      </w:pPr>
      <w:r>
        <w:rPr>
          <w:lang w:val="en-US"/>
        </w:rPr>
        <w:t>H</w:t>
      </w:r>
      <w:r>
        <w:rPr>
          <w:lang w:val="el-GR"/>
        </w:rPr>
        <w:t xml:space="preserve"> αναθέτουσα αρχή με βάση τα αποτελέσματα του ελέγχου και της αξιολόγησης των προσφορών, απορρίπτει  προσφορά:</w:t>
      </w:r>
    </w:p>
    <w:p>
      <w:pPr>
        <w:pStyle w:val="Normal"/>
        <w:rPr>
          <w:lang w:val="el-GR"/>
        </w:rPr>
      </w:pPr>
      <w:r>
        <w:rPr>
          <w:lang w:val="el-GR"/>
        </w:rPr>
        <w:t>α) η οποία, με την επιφύλαξη του άρθρου 102 του ν. 4412/2016 περί συμπλήρωσης, αποκλίνει από απαράβατους όρους περί σύνταξης και υποβολής της προσφοράς, ή δεν υποβάλλεται εμπρόθεσμα με τον τρόπο και με το περιεχόμενο που ορίζεται στην παρούσα και συγκεκριμένα στις παραγράφους 2.4.1 (Γενικοί όροι υποβολής προσφορών), 2.4.2. (Χρόνος και τρόπος υποβολής προσφορών), 2.4.3. (Περιεχόμενο φακέλων δικαιολογητικών συμμετοχής, τεχνικής προσφοράς, ειδικά ως προς τους όρους, οι οποίοι ρητώς έχουν καθοριστεί, επί ποινή αποκλεισμού, στην παρούσα Διακήρυξη), 2.4.4. (Περιεχόμενο φακέλου οικονομικής προσφοράς, τρόπος σύνταξης και υποβολής οικονομικών προσφορών, ειδικά ως προς τους όρους, οι οποίοι ρητώς έχουν καθοριστεί, επί ποινή αποκλεισμού, στην παρούσα Διακήρυξη), 2.4.5. (Χρόνος ισχύος προσφορών), 3.1. (Αποσφράγιση και αξιολόγηση προσφορών), 3.2 (Πρόσκληση υποβολής δικαιολογητικών προσωρινού αναδόχου) της παρούσας,</w:t>
      </w:r>
      <w:r>
        <w:rPr>
          <w:rStyle w:val="Style19"/>
          <w:lang w:val="el-GR"/>
        </w:rPr>
        <w:footnoteReference w:id="121"/>
      </w:r>
      <w:r>
        <w:rPr>
          <w:lang w:val="el-GR"/>
        </w:rPr>
        <w:t xml:space="preserve"> </w:t>
      </w:r>
    </w:p>
    <w:p>
      <w:pPr>
        <w:pStyle w:val="Normal"/>
        <w:rPr>
          <w:lang w:val="el-GR"/>
        </w:rPr>
      </w:pPr>
      <w:r>
        <w:rPr>
          <w:lang w:val="el-GR"/>
        </w:rPr>
        <w:t>β) η οποία περιέχει ατελείς, ελλιπείς, ασαφείς ή λανθασμένες πληροφορίες ή τεκμηρίωση, συμπεριλαμβανομένων των πληροφοριών που περιέχονται στο ΕΕΕΣ, εφόσον αυτές δεν επιδέχονται συμπλήρωσης, διόρθωσης, αποσαφήνισης ή διευκρίνισης ή, εφόσον επιδέχονται, δεν έχουν αποκατασταθεί από τον προσφέροντα, εντός της προκαθορισμένης προθεσμίας, σύμφωνα το άρθρο 102 του ν. 4412/2016 και την παρ. 3.1.2.1 της παρούσας διακήρυξης,</w:t>
      </w:r>
    </w:p>
    <w:p>
      <w:pPr>
        <w:pStyle w:val="Normal"/>
        <w:rPr>
          <w:lang w:val="el-GR"/>
        </w:rPr>
      </w:pPr>
      <w:r>
        <w:rPr>
          <w:lang w:val="el-GR"/>
        </w:rPr>
        <w:t>γ) για την οποία ο προσφέρων δεν παράσχει τις απαιτούμενες εξηγήσεις, εντός της προκαθορισμένης προθεσμίας ή η εξήγηση δεν είναι αποδεκτή από την αναθέτουσα αρχή, σύμφωνα με την παρ. 3.1.2.1 της παρούσας και τα άρθρα 102 και 103 του ν. 4412/2016,</w:t>
      </w:r>
    </w:p>
    <w:p>
      <w:pPr>
        <w:pStyle w:val="Normal"/>
        <w:rPr>
          <w:lang w:val="el-GR"/>
        </w:rPr>
      </w:pPr>
      <w:r>
        <w:rPr>
          <w:lang w:val="el-GR"/>
        </w:rPr>
        <w:t>δ)   η οποία είναι εναλλακτική προσφορά,</w:t>
      </w:r>
      <w:r>
        <w:rPr>
          <w:i/>
          <w:iCs/>
          <w:color w:val="5B9BD5"/>
          <w:lang w:val="el-GR"/>
        </w:rPr>
        <w:t xml:space="preserve"> </w:t>
      </w:r>
    </w:p>
    <w:p>
      <w:pPr>
        <w:pStyle w:val="Normal"/>
        <w:rPr>
          <w:iCs/>
          <w:color w:val="5B9BD5"/>
          <w:lang w:val="el-GR"/>
        </w:rPr>
      </w:pPr>
      <w:r>
        <w:rPr>
          <w:lang w:val="el-GR"/>
        </w:rPr>
        <w:t xml:space="preserve">ε) η οποία υποβάλλεται από έναν προσφέροντα που έχει υποβάλει δύο ή περισσότερες προσφορές </w:t>
      </w:r>
      <w:r>
        <w:rPr>
          <w:i/>
          <w:iCs/>
          <w:color w:val="5B9BD5"/>
          <w:lang w:val="el-GR"/>
        </w:rPr>
        <w:t xml:space="preserve"> .</w:t>
      </w:r>
      <w:r>
        <w:rPr>
          <w:lang w:val="el-GR"/>
        </w:rPr>
        <w:t xml:space="preserve"> Ο περιορισμός αυτός ισχύει, υπό τους όρους της παραγράφου 2.2.3.4 περ. γ΄της παρούσας ( περ. γ΄ της παρ. 4 του άρθρου73 του ν. 4412/2016) και στην περίπτωση ενώσεων οικονομικών φορέων με κοινά μέλη, καθώς και στην περίπτωση οικονομικών φορέων που συμμετέχουν είτε αυτοτελώς είτε ως μέλη ενώσεων. </w:t>
      </w:r>
    </w:p>
    <w:p>
      <w:pPr>
        <w:pStyle w:val="Normal"/>
        <w:rPr>
          <w:lang w:val="el-GR"/>
        </w:rPr>
      </w:pPr>
      <w:r>
        <w:rPr>
          <w:lang w:val="el-GR"/>
        </w:rPr>
        <w:t>στ) η οποία είναι υπό αίρεση,</w:t>
      </w:r>
    </w:p>
    <w:p>
      <w:pPr>
        <w:pStyle w:val="Normal"/>
        <w:rPr>
          <w:lang w:val="el-GR"/>
        </w:rPr>
      </w:pPr>
      <w:r>
        <w:rPr>
          <w:lang w:val="el-GR"/>
        </w:rPr>
        <w:t xml:space="preserve">ζ) </w:t>
      </w:r>
      <w:r>
        <w:rPr>
          <w:i/>
          <w:iCs/>
          <w:color w:val="5B9BD5"/>
          <w:lang w:val="el-GR"/>
        </w:rPr>
        <w:t xml:space="preserve"> </w:t>
      </w:r>
      <w:r>
        <w:rPr>
          <w:lang w:val="el-GR"/>
        </w:rPr>
        <w:t xml:space="preserve">η οποία θέτει όρο αναπροσαρμογής, </w:t>
      </w:r>
    </w:p>
    <w:p>
      <w:pPr>
        <w:pStyle w:val="Normal"/>
        <w:rPr>
          <w:lang w:val="el-GR"/>
        </w:rPr>
      </w:pPr>
      <w:r>
        <w:rPr>
          <w:lang w:val="el-GR"/>
        </w:rPr>
        <w:t>η) για την οποία ο προσφέρων δεν παράσχει, εντός αποκλειστικής προθεσμίας είκοσι (20) ημερών από την κοινοποίηση σε αυτόν σχετικής πρόσκλησης της αναθέτουσας αρχής, εξηγήσεις αναφορικά με την τιμή ή το κόστος που προτείνει  σε αυτήν, στην περίπτωση που η προσφορά του φαίνεται ασυνήθιστα χαμηλή σε σχέση με τα αγαθά, σύμφωνα με την παρ. 1 του άρθρου 88 του ν.4412/2016,</w:t>
      </w:r>
    </w:p>
    <w:p>
      <w:pPr>
        <w:pStyle w:val="Normal"/>
        <w:rPr>
          <w:lang w:val="el-GR"/>
        </w:rPr>
      </w:pPr>
      <w:r>
        <w:rPr>
          <w:lang w:val="el-GR"/>
        </w:rPr>
        <w:t>θ) εφόσον διαπιστωθεί ότι είναι ασυνήθιστα χαμηλή διότι δε συμμορφώνεται με τις ισχύουσες  υποχρεώσεις της παρ. 2 του άρθρου 18 του ν.4412/2016,</w:t>
      </w:r>
    </w:p>
    <w:p>
      <w:pPr>
        <w:pStyle w:val="Normal"/>
        <w:rPr>
          <w:lang w:val="el-GR"/>
        </w:rPr>
      </w:pPr>
      <w:r>
        <w:rPr>
          <w:lang w:val="el-GR"/>
        </w:rPr>
        <w:t>ι) η οποία παρουσιάζει αποκλίσεις ως προς τους όρους και τις τεχνικές προδιαγραφές της σύμβασης που έχουν ρητώς καθοριστεί, επί ποινή αποκλεισμού, στην παρούσα Διακήρυξη,</w:t>
      </w:r>
    </w:p>
    <w:p>
      <w:pPr>
        <w:pStyle w:val="Normal"/>
        <w:rPr>
          <w:szCs w:val="22"/>
          <w:lang w:val="el-GR"/>
        </w:rPr>
      </w:pPr>
      <w:r>
        <w:rPr>
          <w:lang w:val="el-GR"/>
        </w:rPr>
        <w:t>ια) η οποία παρουσιάζει ελλείψεις ως προς τα δικαιολογητικά που ζητούνται από τα έγγραφα της παρούσας Διακήρυξης, εφόσον αυτές δεν θεραπευτούν από τον προσφέροντα με την υποβολή ή τη συμπλήρωσή τους, εντός της προκαθορισμένης προθεσμίας, σύμφωνα με τα άρθρα 102 και 103 του ν.4412/2016,</w:t>
      </w:r>
    </w:p>
    <w:p>
      <w:pPr>
        <w:pStyle w:val="Normal"/>
        <w:rPr>
          <w:szCs w:val="22"/>
          <w:lang w:val="el-GR" w:eastAsia="el-GR"/>
        </w:rPr>
      </w:pPr>
      <w:r>
        <w:rPr>
          <w:szCs w:val="22"/>
          <w:lang w:val="el-GR"/>
        </w:rPr>
        <w:t xml:space="preserve">ιβ) εάν από τα δικαιολογητικά του άρθρου 103 του ν. 4412/2016, που προσκομίζονται από τον προσωρινό ανάδοχο, δεν αποδεικνύεται </w:t>
      </w:r>
      <w:r>
        <w:rPr>
          <w:szCs w:val="22"/>
          <w:lang w:val="el-GR" w:eastAsia="el-GR"/>
        </w:rPr>
        <w:t>η μη συνδρομή των λόγων αποκλεισμού της παραγράφου 2.2.3 της παρούσας ή η πλήρωση μιας ή περισσότερων από τις απαιτήσεις των κριτηρίων ποιοτικής επιλογής, σύμφωνα με τις παραγράφους 2.2.4. επ., περί κριτηρίων επιλογής,</w:t>
      </w:r>
    </w:p>
    <w:p>
      <w:pPr>
        <w:pStyle w:val="Normal"/>
        <w:rPr>
          <w:lang w:val="el-GR"/>
        </w:rPr>
      </w:pPr>
      <w:r>
        <w:rPr>
          <w:szCs w:val="22"/>
          <w:lang w:val="el-GR" w:eastAsia="el-GR"/>
        </w:rPr>
        <w:t>ιγ) εάν κατά τον έλεγχο των ως άνω δικαιολογητικών του άρθρου 103 του ν.4412/2016, διαπιστωθεί ότι τα στοιχεία που δηλώθηκαν, σύμφωνα με το άρθρο 79 του ν. 4412/2016, είναι εκ προθέσεως απατηλά, ή ότι έχουν υποβληθεί πλαστά αποδεικτικά στοιχεία</w:t>
      </w:r>
      <w:r>
        <w:rPr>
          <w:lang w:val="el-GR"/>
        </w:rPr>
        <w:t>.</w:t>
      </w:r>
    </w:p>
    <w:p>
      <w:pPr>
        <w:pStyle w:val="Normal"/>
        <w:rPr>
          <w:lang w:val="el-GR"/>
        </w:rPr>
      </w:pPr>
      <w:r>
        <w:rPr>
          <w:lang w:val="el-GR"/>
        </w:rPr>
      </w:r>
    </w:p>
    <w:p>
      <w:pPr>
        <w:pStyle w:val="1"/>
        <w:tabs>
          <w:tab w:val="clear" w:pos="720"/>
          <w:tab w:val="left" w:pos="567" w:leader="none"/>
        </w:tabs>
        <w:ind w:left="567" w:hanging="567"/>
        <w:rPr>
          <w:lang w:val="el-GR"/>
        </w:rPr>
      </w:pPr>
      <w:bookmarkStart w:id="45" w:name="_Toc129004435"/>
      <w:r>
        <w:rPr>
          <w:lang w:val="el-GR"/>
        </w:rPr>
        <w:t>3.</w:t>
        <w:tab/>
        <w:t>ΔΙΕΝΕΡΓΕΙΑ ΔΙΑΔΙΚΑΣΙΑΣ - ΑΞΙΟΛΟΓΗΣΗ ΠΡΟΣΦΟΡΩΝ</w:t>
      </w:r>
      <w:bookmarkEnd w:id="45"/>
      <w:r>
        <w:rPr>
          <w:lang w:val="el-GR"/>
        </w:rPr>
        <w:t xml:space="preserve">  </w:t>
      </w:r>
    </w:p>
    <w:p>
      <w:pPr>
        <w:pStyle w:val="2"/>
        <w:spacing w:before="240" w:after="60"/>
        <w:textAlignment w:val="baseline"/>
        <w:rPr>
          <w:kern w:val="2"/>
          <w:lang w:val="el-GR"/>
        </w:rPr>
      </w:pPr>
      <w:bookmarkStart w:id="46" w:name="_Toc129004436"/>
      <w:r>
        <w:rPr>
          <w:lang w:val="el-GR"/>
        </w:rPr>
        <w:t xml:space="preserve">3.1 </w:t>
        <w:tab/>
        <w:t>Αποσφράγιση και αξιολόγηση προσφορών</w:t>
      </w:r>
      <w:bookmarkEnd w:id="46"/>
      <w:r>
        <w:rPr>
          <w:lang w:val="el-GR"/>
        </w:rPr>
        <w:t xml:space="preserve"> </w:t>
      </w:r>
    </w:p>
    <w:p>
      <w:pPr>
        <w:pStyle w:val="3"/>
        <w:rPr>
          <w:kern w:val="2"/>
          <w:lang w:val="el-GR"/>
        </w:rPr>
      </w:pPr>
      <w:bookmarkStart w:id="47" w:name="_Toc129004437"/>
      <w:r>
        <w:rPr>
          <w:rFonts w:cs="Arial"/>
          <w:kern w:val="2"/>
          <w:lang w:val="el-GR"/>
        </w:rPr>
        <w:t>3.1.1</w:t>
        <w:tab/>
        <w:t>Ηλεκτρονική αποσφράγιση προσφορών</w:t>
      </w:r>
      <w:r>
        <w:rPr>
          <w:rStyle w:val="Style19"/>
          <w:rFonts w:cs="Arial"/>
          <w:kern w:val="2"/>
          <w:szCs w:val="22"/>
        </w:rPr>
        <w:footnoteReference w:id="122"/>
      </w:r>
      <w:bookmarkEnd w:id="47"/>
    </w:p>
    <w:p>
      <w:pPr>
        <w:pStyle w:val="Normal"/>
        <w:textAlignment w:val="baseline"/>
        <w:rPr>
          <w:kern w:val="2"/>
          <w:lang w:val="el-GR"/>
        </w:rPr>
      </w:pPr>
      <w:r>
        <w:rPr>
          <w:kern w:val="2"/>
          <w:lang w:val="el-GR"/>
        </w:rPr>
        <w:t>Το πιστοποιημένο στο ΕΣΗΔΗΣ, για την αποσφράγιση των  προσφορών αρμόδιο όργανο της αναθέτουσας αρχής, ήτοι η επιτροπή διενέργειας/επιτροπή αξιολόγησης</w:t>
      </w:r>
      <w:r>
        <w:rPr>
          <w:rStyle w:val="Style19"/>
          <w:kern w:val="2"/>
          <w:vertAlign w:val="superscript"/>
          <w:lang w:val="el-GR"/>
        </w:rPr>
        <w:footnoteReference w:id="123"/>
      </w:r>
      <w:r>
        <w:rPr>
          <w:kern w:val="2"/>
          <w:lang w:val="el-GR"/>
        </w:rPr>
        <w:t xml:space="preserve">, </w:t>
      </w:r>
      <w:r>
        <w:rPr>
          <w:b/>
          <w:kern w:val="2"/>
          <w:lang w:val="el-GR"/>
        </w:rPr>
        <w:t>εφεξής Επιτροπή Διαγωνισμού</w:t>
      </w:r>
      <w:r>
        <w:rPr>
          <w:kern w:val="2"/>
          <w:lang w:val="el-GR"/>
        </w:rPr>
        <w:t xml:space="preserve">, προβαίνει στην έναρξη της διαδικασίας ηλεκτρονικής αποσφράγισης των φακέλων των προσφορών, κατά το άρθρο 100 του ν. 4412/2016, </w:t>
      </w:r>
      <w:r>
        <w:rPr>
          <w:kern w:val="2"/>
          <w:lang w:val="el-GR" w:eastAsia="zh-CN"/>
        </w:rPr>
        <w:t>ακολουθώντας τα εξής στάδια:</w:t>
      </w:r>
    </w:p>
    <w:p>
      <w:pPr>
        <w:pStyle w:val="Normal"/>
        <w:textAlignment w:val="baseline"/>
        <w:rPr>
          <w:lang w:val="el-GR"/>
        </w:rPr>
      </w:pPr>
      <w:r>
        <w:rPr>
          <w:lang w:val="el-GR"/>
        </w:rPr>
      </w:r>
    </w:p>
    <w:p>
      <w:pPr>
        <w:pStyle w:val="Normal"/>
        <w:widowControl w:val="false"/>
        <w:numPr>
          <w:ilvl w:val="0"/>
          <w:numId w:val="5"/>
        </w:numPr>
        <w:spacing w:before="0" w:after="60"/>
        <w:textAlignment w:val="baseline"/>
        <w:rPr>
          <w:kern w:val="2"/>
          <w:lang w:val="el-GR"/>
        </w:rPr>
      </w:pPr>
      <w:r>
        <w:rPr>
          <w:kern w:val="2"/>
          <w:lang w:val="el-GR"/>
        </w:rPr>
        <w:t xml:space="preserve">Ηλεκτρονική Αποσφράγιση του (υπό)φακέλου «Δικαιολογητικά Συμμετοχής-Τεχνική Προσφορά» και του (υπό)φακέλου «Οικονομική Προσφορά», την </w:t>
      </w:r>
      <w:r>
        <w:rPr>
          <w:b/>
          <w:bCs/>
          <w:kern w:val="2"/>
          <w:lang w:val="el-GR"/>
        </w:rPr>
        <w:t>29/10/2024</w:t>
      </w:r>
      <w:r>
        <w:rPr>
          <w:kern w:val="2"/>
          <w:lang w:val="el-GR"/>
        </w:rPr>
        <w:t xml:space="preserve"> και ώρα 10:</w:t>
      </w:r>
      <w:r>
        <w:rPr>
          <w:kern w:val="2"/>
          <w:lang w:val="en-US"/>
        </w:rPr>
        <w:t xml:space="preserve">00 </w:t>
      </w:r>
      <w:r>
        <w:rPr>
          <w:kern w:val="2"/>
          <w:lang w:val="el-GR"/>
        </w:rPr>
        <w:t>π.μ.</w:t>
      </w:r>
    </w:p>
    <w:p>
      <w:pPr>
        <w:pStyle w:val="Normal"/>
        <w:textAlignment w:val="baseline"/>
        <w:rPr>
          <w:kern w:val="2"/>
          <w:lang w:val="el-GR"/>
        </w:rPr>
      </w:pPr>
      <w:r>
        <w:rPr>
          <w:kern w:val="2"/>
          <w:lang w:val="el-GR"/>
        </w:rPr>
        <w:t>Στο στάδιο αυτό τα στοιχεία των προσφορών που αποσφραγίζονται είναι προσβάσιμα μόνο στα μέλη της Επιτροπής Διαγωνισμού και την αναθέτουσα αρχή.</w:t>
      </w:r>
    </w:p>
    <w:p>
      <w:pPr>
        <w:pStyle w:val="Normal"/>
        <w:spacing w:before="0" w:after="60"/>
        <w:textAlignment w:val="baseline"/>
        <w:rPr>
          <w:kern w:val="2"/>
          <w:lang w:val="el-GR"/>
        </w:rPr>
      </w:pPr>
      <w:r>
        <w:rPr>
          <w:kern w:val="2"/>
          <w:lang w:val="el-GR"/>
        </w:rPr>
        <w:t>Σε κάθε στάδιο τα στοιχεία των προσφορών που αποσφραγίζονται είναι καταρχήν προσβάσιμα μόνο στα μέλη της Επιτροπής Διαγωνισμού και την αναθέτουσα αρχή</w:t>
      </w:r>
      <w:r>
        <w:rPr>
          <w:rStyle w:val="Style19"/>
          <w:kern w:val="2"/>
          <w:lang w:val="el-GR"/>
        </w:rPr>
        <w:footnoteReference w:id="124"/>
      </w:r>
      <w:r>
        <w:rPr>
          <w:kern w:val="2"/>
          <w:lang w:val="el-GR"/>
        </w:rPr>
        <w:t>.</w:t>
      </w:r>
    </w:p>
    <w:p>
      <w:pPr>
        <w:pStyle w:val="Normal"/>
        <w:textAlignment w:val="baseline"/>
        <w:rPr>
          <w:kern w:val="2"/>
          <w:lang w:val="el-GR"/>
        </w:rPr>
      </w:pPr>
      <w:r>
        <w:rPr>
          <w:kern w:val="2"/>
          <w:lang w:val="el-GR"/>
        </w:rPr>
      </w:r>
    </w:p>
    <w:p>
      <w:pPr>
        <w:pStyle w:val="3"/>
        <w:rPr>
          <w:kern w:val="2"/>
          <w:lang w:val="el-GR"/>
        </w:rPr>
      </w:pPr>
      <w:bookmarkStart w:id="48" w:name="_Toc129004438"/>
      <w:r>
        <w:rPr>
          <w:lang w:val="el-GR"/>
        </w:rPr>
        <w:t>3.1.2</w:t>
        <w:tab/>
        <w:t>Αξιολόγηση προσφορών</w:t>
      </w:r>
      <w:bookmarkEnd w:id="48"/>
    </w:p>
    <w:p>
      <w:pPr>
        <w:pStyle w:val="Normal"/>
        <w:textAlignment w:val="baseline"/>
        <w:rPr>
          <w:kern w:val="2"/>
          <w:lang w:val="el-GR"/>
        </w:rPr>
      </w:pPr>
      <w:r>
        <w:rPr>
          <w:b/>
          <w:kern w:val="2"/>
          <w:lang w:val="el-GR"/>
        </w:rPr>
        <w:t>3.1.2.1</w:t>
      </w:r>
      <w:r>
        <w:rPr>
          <w:kern w:val="2"/>
          <w:lang w:val="el-GR"/>
        </w:rPr>
        <w:t xml:space="preserve"> Μετά την κατά περίπτωση ηλεκτρονική αποσφράγιση των προσφορών η αναθέτουσα αρχή προβαίνει στην αξιολόγηση αυτών, μέσω των αρμόδιων πιστοποιημένων στο ΕΣΗΔΗΣ οργάνων της</w:t>
      </w:r>
      <w:r>
        <w:rPr>
          <w:rStyle w:val="Style19"/>
          <w:kern w:val="2"/>
          <w:lang w:val="el-GR"/>
        </w:rPr>
        <w:footnoteReference w:id="125"/>
      </w:r>
      <w:r>
        <w:rPr>
          <w:kern w:val="2"/>
          <w:lang w:val="el-GR"/>
        </w:rPr>
        <w:t>, εφαρμοζόμενων κατά τα λοιπά των κειμένων διατάξεων.</w:t>
      </w:r>
    </w:p>
    <w:p>
      <w:pPr>
        <w:pStyle w:val="Normal"/>
        <w:textAlignment w:val="baseline"/>
        <w:rPr>
          <w:kern w:val="2"/>
          <w:lang w:val="el-GR"/>
        </w:rPr>
      </w:pPr>
      <w:r>
        <w:rPr>
          <w:kern w:val="2"/>
          <w:lang w:val="el-GR"/>
        </w:rPr>
        <w:t>Η αναθέτουσα αρχή, τηρώντας τις αρχές της ίσης μεταχείρισης και της διαφάνειας, ζητεί από τους προσφέροντες οικονομικούς φορείς, όταν οι πληροφορίες ή η τεκμηρίωση που πρέπει να υποβάλλονται είναι ή εμφανίζονται ελλιπείς ή λανθασμένες, συμπεριλαμβανομένων εκείνων στο ΕΕΕΣ, ή όταν λείπουν συγκεκριμένα έγγραφα, να υποβάλλουν, να συμπληρώνουν, να αποσαφηνίζουν ή να ολοκληρώνουν τις σχετικές πληροφορίες ή τεκμηρίωση, εντός προθεσμίας όχι μικρότερης των δέκα (10) ημερών και όχι μεγαλύτερης των είκοσι (20) ημερών από την ημερομηνία κοινοποίησης σε αυτούς της σχετικής πρόσκλησης.</w:t>
      </w:r>
      <w:r>
        <w:rPr>
          <w:lang w:val="el-GR"/>
        </w:rPr>
        <w:t xml:space="preserve"> Η συμπλήρωση ή η αποσαφήνιση ζητείται και γίνεται αποδεκτή υπό την προϋπόθεση ότι δεν </w:t>
      </w:r>
      <w:r>
        <w:rPr>
          <w:kern w:val="2"/>
          <w:lang w:val="el-GR"/>
        </w:rPr>
        <w:t>τροποποιείται η προσφορά του οικονομικού φορέα και ότι αφορά σε στοιχεία ή δεδομένα, των οποίων είναι αντικειμενικά εξακριβώσιμος ο προγενέστερος χαρακτήρας σε σχέση με το πέρας της καταληκτικής προθεσμίας παραλαβής προσφορών. Τα ανωτέρω ισχύουν κατ΄ αναλογίαν και για τυχόν ελλείπουσες δηλώσεις, υπό την προϋπόθεση ότι βεβαιώνουν γεγονότα αντικειμενικώς εξακριβώσιμα</w:t>
      </w:r>
      <w:r>
        <w:rPr>
          <w:rStyle w:val="Style19"/>
          <w:kern w:val="2"/>
          <w:lang w:val="el-GR"/>
        </w:rPr>
        <w:footnoteReference w:id="126"/>
      </w:r>
      <w:r>
        <w:rPr>
          <w:kern w:val="2"/>
          <w:lang w:val="el-GR"/>
        </w:rPr>
        <w:t>.</w:t>
      </w:r>
    </w:p>
    <w:p>
      <w:pPr>
        <w:pStyle w:val="Normal"/>
        <w:textAlignment w:val="baseline"/>
        <w:rPr>
          <w:rFonts w:ascii="Calibri" w:hAnsi="Calibri" w:cs="Calibri" w:asciiTheme="minorHAnsi" w:cstheme="minorHAnsi" w:hAnsiTheme="minorHAnsi"/>
          <w:i/>
          <w:i/>
          <w:kern w:val="2"/>
          <w:szCs w:val="22"/>
          <w:lang w:val="el-GR" w:eastAsia="zh-CN"/>
        </w:rPr>
      </w:pPr>
      <w:r>
        <w:rPr>
          <w:i/>
          <w:kern w:val="2"/>
          <w:lang w:val="el-GR" w:eastAsia="zh-CN"/>
        </w:rPr>
        <w:t>[</w:t>
      </w:r>
      <w:r>
        <w:rPr>
          <w:rFonts w:cs="Calibri" w:cstheme="minorHAnsi"/>
          <w:i/>
          <w:kern w:val="2"/>
          <w:szCs w:val="22"/>
          <w:lang w:val="el-GR" w:eastAsia="zh-CN"/>
        </w:rPr>
        <w:t>Επισημαίνεται ότι οι διευκρινίσεις/ συμπληρώσεις, κατ΄εφαρμογή της παρούσας παραγράφου, σύμφωνα με τα οριζόμενα στις διατάξεις του άρθρου 102 του ν.4412/2016, ζητούνται από την αρμόδια Επιτροπή Αξιολόγησης των Προσφορών (Επιτροπή Διενεργείας Διαγωνισμού), μέσω της λειτουργικότητας «Επικοινωνία»:</w:t>
      </w:r>
    </w:p>
    <w:p>
      <w:pPr>
        <w:pStyle w:val="ListParagraph"/>
        <w:numPr>
          <w:ilvl w:val="0"/>
          <w:numId w:val="9"/>
        </w:numPr>
        <w:jc w:val="both"/>
        <w:textAlignment w:val="baseline"/>
        <w:rPr>
          <w:rFonts w:ascii="Calibri" w:hAnsi="Calibri" w:cs="Calibri" w:asciiTheme="minorHAnsi" w:cstheme="minorHAnsi" w:hAnsiTheme="minorHAnsi"/>
          <w:i/>
          <w:i/>
          <w:kern w:val="2"/>
          <w:szCs w:val="22"/>
          <w:lang w:val="el-GR"/>
        </w:rPr>
      </w:pPr>
      <w:r>
        <w:rPr>
          <w:rFonts w:cs="Calibri" w:ascii="Calibri" w:hAnsi="Calibri" w:asciiTheme="minorHAnsi" w:cstheme="minorHAnsi" w:hAnsiTheme="minorHAnsi"/>
          <w:i/>
          <w:kern w:val="2"/>
          <w:sz w:val="22"/>
          <w:szCs w:val="22"/>
          <w:lang w:val="el-GR" w:eastAsia="zh-CN"/>
        </w:rPr>
        <w:t>είτε από την Επιτροπή, μέσω του πιστοποποιμένου χρήστη της παρούσας ηλεκτρονικής διαδικασίας (χειριστή του διαγωνισμού), χωρίς τη σύνταξη διακριτού εγγράφου</w:t>
      </w:r>
    </w:p>
    <w:p>
      <w:pPr>
        <w:pStyle w:val="ListParagraph"/>
        <w:ind w:left="766" w:hanging="0"/>
        <w:jc w:val="both"/>
        <w:textAlignment w:val="baseline"/>
        <w:rPr>
          <w:rFonts w:ascii="Calibri" w:hAnsi="Calibri" w:cs="Calibri" w:asciiTheme="minorHAnsi" w:cstheme="minorHAnsi" w:hAnsiTheme="minorHAnsi"/>
          <w:i/>
          <w:i/>
          <w:kern w:val="2"/>
          <w:szCs w:val="22"/>
          <w:lang w:val="el-GR"/>
        </w:rPr>
      </w:pPr>
      <w:r>
        <w:rPr>
          <w:rFonts w:cs="Calibri" w:ascii="Calibri" w:hAnsi="Calibri" w:asciiTheme="minorHAnsi" w:cstheme="minorHAnsi" w:hAnsiTheme="minorHAnsi"/>
          <w:i/>
          <w:kern w:val="2"/>
          <w:sz w:val="22"/>
          <w:szCs w:val="22"/>
          <w:lang w:val="el-GR" w:eastAsia="zh-CN"/>
        </w:rPr>
        <w:t xml:space="preserve"> </w:t>
      </w:r>
    </w:p>
    <w:p>
      <w:pPr>
        <w:pStyle w:val="ListParagraph"/>
        <w:numPr>
          <w:ilvl w:val="0"/>
          <w:numId w:val="9"/>
        </w:numPr>
        <w:jc w:val="both"/>
        <w:textAlignment w:val="baseline"/>
        <w:rPr>
          <w:rFonts w:ascii="Calibri" w:hAnsi="Calibri" w:cs="Calibri" w:asciiTheme="minorHAnsi" w:cstheme="minorHAnsi" w:hAnsiTheme="minorHAnsi"/>
          <w:i/>
          <w:i/>
          <w:kern w:val="2"/>
          <w:szCs w:val="22"/>
          <w:lang w:val="el-GR"/>
        </w:rPr>
      </w:pPr>
      <w:r>
        <w:rPr>
          <w:rFonts w:cs="Calibri" w:ascii="Calibri" w:hAnsi="Calibri" w:asciiTheme="minorHAnsi" w:cstheme="minorHAnsi" w:hAnsiTheme="minorHAnsi"/>
          <w:i/>
          <w:kern w:val="2"/>
          <w:sz w:val="22"/>
          <w:szCs w:val="22"/>
          <w:lang w:val="el-GR" w:eastAsia="zh-CN"/>
        </w:rPr>
        <w:t>είτε, με αποστολή διακριτού εγγράφου της Επιτροπής, μέσω του πιστοποποιμένου χρήστη της παρούσας ηλεκτρονικής διαδικασίας (χειριστή του διαγωνισμού), χωρίς, στην περίπτωση αυτή, να απαιτείται περαιτέρω έγκρισή του από το αποφαινόμενο όργανο.</w:t>
      </w:r>
    </w:p>
    <w:p>
      <w:pPr>
        <w:pStyle w:val="Normal"/>
        <w:textAlignment w:val="baseline"/>
        <w:rPr>
          <w:rFonts w:ascii="Calibri" w:hAnsi="Calibri" w:cs="Calibri" w:asciiTheme="minorHAnsi" w:cstheme="minorHAnsi" w:hAnsiTheme="minorHAnsi"/>
          <w:i/>
          <w:i/>
          <w:kern w:val="2"/>
          <w:szCs w:val="22"/>
          <w:lang w:val="el-GR"/>
        </w:rPr>
      </w:pPr>
      <w:r>
        <w:rPr>
          <w:rFonts w:cs="Calibri" w:cstheme="minorHAnsi"/>
          <w:i/>
          <w:kern w:val="2"/>
          <w:szCs w:val="22"/>
          <w:lang w:val="el-GR"/>
        </w:rPr>
      </w:r>
    </w:p>
    <w:p>
      <w:pPr>
        <w:pStyle w:val="Normal"/>
        <w:textAlignment w:val="baseline"/>
        <w:rPr>
          <w:rFonts w:ascii="Calibri" w:hAnsi="Calibri" w:cs="Calibri" w:asciiTheme="minorHAnsi" w:cstheme="minorHAnsi" w:hAnsiTheme="minorHAnsi"/>
          <w:i/>
          <w:i/>
          <w:kern w:val="2"/>
          <w:szCs w:val="22"/>
          <w:lang w:val="el-GR"/>
        </w:rPr>
      </w:pPr>
      <w:r>
        <w:rPr>
          <w:rFonts w:cs="Calibri" w:cstheme="minorHAnsi"/>
          <w:i/>
          <w:kern w:val="2"/>
          <w:szCs w:val="22"/>
          <w:lang w:val="el-GR"/>
        </w:rPr>
        <w:t>Σημειώνεται ότι, όσο διαρκεί η διαδικασία αξιολόγησης των προσφορών και μέχρι την αποστολή των σχετικών πρακτικών της Επιτροπής στον χειριστή του διαγωνισμού, προς έκδοση των σχετικών αποφάσεων, οι διευκρινίσεις ζητούνται από την Επιτροπή και δεν υπόκεινται σε προηγούμενη έγκριση του αποφαινομένου οργάνου.</w:t>
      </w:r>
    </w:p>
    <w:p>
      <w:pPr>
        <w:pStyle w:val="Normal"/>
        <w:textAlignment w:val="baseline"/>
        <w:rPr>
          <w:rFonts w:ascii="Calibri" w:hAnsi="Calibri" w:cs="Calibri" w:asciiTheme="minorHAnsi" w:cstheme="minorHAnsi" w:hAnsiTheme="minorHAnsi"/>
          <w:i/>
          <w:i/>
          <w:kern w:val="2"/>
          <w:szCs w:val="22"/>
          <w:lang w:val="el-GR"/>
        </w:rPr>
      </w:pPr>
      <w:r>
        <w:rPr>
          <w:rFonts w:cs="Calibri" w:cstheme="minorHAnsi"/>
          <w:i/>
          <w:kern w:val="2"/>
          <w:szCs w:val="22"/>
          <w:lang w:val="el-GR"/>
        </w:rPr>
        <w:t xml:space="preserve">Σε κάθε περίπτωση, μετά την ολοκήρωση της διαδικασίας αξιολόγησης, εκ μέρους της Επιτροπής και τη διαβίβαση των σχετικών πρακτικών προς το αποφαινόμενο όργανο, το τελευταίο, δύναται, κατά την κρίση του, να ζητεί διευκρινίσεις, από τους προσφέροντες, για στοιχεία των προσφορών, για τα οποία δεν ζητήθηκαν, είτε ακόμη και για στοιχεία, για τα οποια έχει ήδη γνωμοδοτήσει σχετικώς η Επιτροπή. </w:t>
      </w:r>
    </w:p>
    <w:p>
      <w:pPr>
        <w:pStyle w:val="Normal"/>
        <w:textAlignment w:val="baseline"/>
        <w:rPr>
          <w:rFonts w:ascii="Calibri" w:hAnsi="Calibri" w:cs="Calibri" w:asciiTheme="minorHAnsi" w:cstheme="minorHAnsi" w:hAnsiTheme="minorHAnsi"/>
          <w:i/>
          <w:i/>
          <w:kern w:val="2"/>
          <w:szCs w:val="22"/>
          <w:lang w:val="el-GR"/>
        </w:rPr>
      </w:pPr>
      <w:r>
        <w:rPr>
          <w:rFonts w:cs="Calibri" w:cstheme="minorHAnsi"/>
          <w:i/>
          <w:kern w:val="2"/>
          <w:szCs w:val="22"/>
          <w:lang w:val="el-GR"/>
        </w:rPr>
        <w:t>Το αποφαινόμενο όργανο διατηρεί το δικαίωμα να αναπέμψει στην Επιτροπή προς εξέταση και περαιτέρω διευκρινίσεις οποιοδήποτε ζήτημα, κατά την κρίση της, χρήζει διευκρινίσεων/ συμπληρώσεων.</w:t>
      </w:r>
    </w:p>
    <w:p>
      <w:pPr>
        <w:pStyle w:val="Normal"/>
        <w:textAlignment w:val="baseline"/>
        <w:rPr>
          <w:rFonts w:ascii="Calibri" w:hAnsi="Calibri" w:cs="Calibri" w:asciiTheme="minorHAnsi" w:cstheme="minorHAnsi" w:hAnsiTheme="minorHAnsi"/>
          <w:i/>
          <w:i/>
          <w:kern w:val="2"/>
          <w:szCs w:val="22"/>
          <w:lang w:val="el-GR"/>
        </w:rPr>
      </w:pPr>
      <w:r>
        <w:rPr>
          <w:rFonts w:cs="Calibri" w:cstheme="minorHAnsi"/>
          <w:i/>
          <w:kern w:val="2"/>
          <w:szCs w:val="22"/>
          <w:lang w:val="el-GR"/>
        </w:rPr>
        <w:t>Τα ανωτέρω ισχύουν και ως προς τα αιτήματα παροχής διευκρινίσεων-συμπληρώσεων, σε περιπτώσεις  ασυνήθιστα χαμηλών προσφορών, καθώς και στο στάδιο της υποβολής των δικαιολογητικών κατακύρωσης του προσωρινού αναδόχου].</w:t>
      </w:r>
      <w:r>
        <w:rPr>
          <w:rStyle w:val="Style19"/>
          <w:rFonts w:cs="Calibri" w:cstheme="minorHAnsi"/>
          <w:i/>
          <w:kern w:val="2"/>
          <w:szCs w:val="22"/>
          <w:lang w:val="el-GR"/>
        </w:rPr>
        <w:footnoteReference w:id="127"/>
      </w:r>
    </w:p>
    <w:p>
      <w:pPr>
        <w:pStyle w:val="Normal"/>
        <w:textAlignment w:val="baseline"/>
        <w:rPr>
          <w:rFonts w:ascii="Calibri" w:hAnsi="Calibri" w:cs="Calibri" w:asciiTheme="minorHAnsi" w:cstheme="minorHAnsi" w:hAnsiTheme="minorHAnsi"/>
          <w:kern w:val="2"/>
          <w:szCs w:val="22"/>
          <w:lang w:val="el-GR"/>
        </w:rPr>
      </w:pPr>
      <w:r>
        <w:rPr>
          <w:rFonts w:cs="Calibri" w:cstheme="minorHAnsi"/>
          <w:kern w:val="2"/>
          <w:szCs w:val="22"/>
          <w:lang w:val="el-GR"/>
        </w:rPr>
      </w:r>
    </w:p>
    <w:p>
      <w:pPr>
        <w:pStyle w:val="Normal"/>
        <w:textAlignment w:val="baseline"/>
        <w:rPr>
          <w:rFonts w:eastAsia="Calibri"/>
          <w:i/>
          <w:i/>
          <w:iCs/>
          <w:color w:val="5B9BD5"/>
          <w:kern w:val="2"/>
          <w:lang w:val="el-GR" w:eastAsia="el-GR"/>
        </w:rPr>
      </w:pPr>
      <w:r>
        <w:rPr>
          <w:kern w:val="2"/>
          <w:lang w:val="el-GR"/>
        </w:rPr>
        <w:t>Ειδικότερα :</w:t>
      </w:r>
    </w:p>
    <w:p>
      <w:pPr>
        <w:pStyle w:val="Normal"/>
        <w:textAlignment w:val="baseline"/>
        <w:rPr>
          <w:kern w:val="2"/>
          <w:lang w:val="el-GR"/>
        </w:rPr>
      </w:pPr>
      <w:r>
        <w:rPr>
          <w:rFonts w:eastAsia="Calibri"/>
          <w:i/>
          <w:iCs/>
          <w:color w:val="5B9BD5"/>
          <w:kern w:val="2"/>
          <w:lang w:val="el-GR" w:eastAsia="el-GR"/>
        </w:rPr>
        <w:t xml:space="preserve"> </w:t>
      </w:r>
    </w:p>
    <w:p>
      <w:pPr>
        <w:pStyle w:val="Normal"/>
        <w:suppressAutoHyphens w:val="false"/>
        <w:spacing w:before="0" w:after="0"/>
        <w:rPr>
          <w:strike/>
          <w:kern w:val="2"/>
          <w:lang w:val="el-GR" w:eastAsia="zh-CN"/>
        </w:rPr>
      </w:pPr>
      <w:r>
        <w:rPr>
          <w:kern w:val="2"/>
          <w:lang w:val="el-GR"/>
        </w:rPr>
        <w:t xml:space="preserve">α) Η Επιτροπή Διαγωνισμού εξετάζει αρχικά την προσκόμιση της εγγύησης συμμετοχής, σύμφωνα με την παράγραφο 1 του άρθρου 72. Σε περίπτωση παράλειψης προσκόμισης, είτε της  εγγύησης συμμετοχής ηλεκτρονικής έκδοσης, μέχρι την καταληκτική ημερομηνία υποβολής προσφορών, είτε του πρωτοτύπου της έντυπης εγγύησης συμμετοχής, μέχρι την ημερομηνία και ώρα αποσφράγισης, η Επιτροπή Διαγωνισμού συντάσσει πρακτικό στο οποίο εισηγείται την απόρριψη της προσφοράς ως απαράδεκτης.  </w:t>
      </w:r>
    </w:p>
    <w:p>
      <w:pPr>
        <w:pStyle w:val="Normal"/>
        <w:textAlignment w:val="baseline"/>
        <w:rPr>
          <w:kern w:val="2"/>
          <w:lang w:val="el-GR"/>
        </w:rPr>
      </w:pPr>
      <w:r>
        <w:rPr>
          <w:kern w:val="2"/>
          <w:lang w:val="el-GR"/>
        </w:rPr>
        <w:t>Στη συνέχεια εκδίδεται από την αναθέτουσα αρχή απόφαση, με την οποία επικυρώνεται το ανωτέρω πρακτικό. Η απόφαση απόρριψης της προσφοράς του παρόντος εδαφίου εκδίδεται πριν από την έκδοση οποιασδήποτε άλλης απόφασης σχετικά με την αξιολόγηση των προσφορών της οικείας διαδικασίας ανάθεσης σύμβασης και κοινοποιείται σε όλους τους προσφέροντες, μέσω της λειτουργικότητας της «Επικοινωνίας» του ηλεκτρονικού διαγωνισμού στο ΕΣΗΔΗΣ.</w:t>
      </w:r>
    </w:p>
    <w:p>
      <w:pPr>
        <w:pStyle w:val="Normal"/>
        <w:suppressAutoHyphens w:val="false"/>
        <w:spacing w:before="0" w:after="0"/>
        <w:rPr>
          <w:kern w:val="2"/>
          <w:lang w:val="el-GR"/>
        </w:rPr>
      </w:pPr>
      <w:r>
        <w:rPr>
          <w:kern w:val="2"/>
          <w:lang w:val="el-GR"/>
        </w:rPr>
        <w:t>Κατά της εν λόγω απόφασης χωρεί προδικαστική προσφυγή, σύμφωνα με τα οριζόμενα στην παράγραφο 3.4 της παρούσας.</w:t>
      </w:r>
    </w:p>
    <w:p>
      <w:pPr>
        <w:pStyle w:val="Normal"/>
        <w:suppressAutoHyphens w:val="false"/>
        <w:spacing w:before="0" w:after="0"/>
        <w:rPr>
          <w:kern w:val="2"/>
          <w:lang w:val="el-GR"/>
        </w:rPr>
      </w:pPr>
      <w:r>
        <w:rPr>
          <w:kern w:val="2"/>
          <w:lang w:val="el-GR"/>
        </w:rPr>
        <w:t>Η αναθέτουσα αρχή επικοινωνεί παράλληλα με τους φορείς που φέρονται να έχουν εκδώσει τις εγγυητικές επιστολές, προκειμένου να διαπιστώσει την εγκυρότητά τους</w:t>
      </w:r>
      <w:r>
        <w:rPr>
          <w:rStyle w:val="Style19"/>
          <w:kern w:val="2"/>
          <w:lang w:val="el-GR"/>
        </w:rPr>
        <w:footnoteReference w:id="128"/>
      </w:r>
      <w:r>
        <w:rPr>
          <w:kern w:val="2"/>
          <w:lang w:val="el-GR"/>
        </w:rPr>
        <w:t>.</w:t>
      </w:r>
    </w:p>
    <w:p>
      <w:pPr>
        <w:pStyle w:val="Normal"/>
        <w:suppressAutoHyphens w:val="false"/>
        <w:spacing w:before="0" w:after="0"/>
        <w:rPr>
          <w:kern w:val="2"/>
          <w:lang w:val="el-GR"/>
        </w:rPr>
      </w:pPr>
      <w:r>
        <w:rPr>
          <w:kern w:val="2"/>
          <w:lang w:val="el-GR"/>
        </w:rPr>
      </w:r>
    </w:p>
    <w:p>
      <w:pPr>
        <w:pStyle w:val="Normal"/>
        <w:suppressAutoHyphens w:val="false"/>
        <w:spacing w:before="0" w:after="0"/>
        <w:rPr>
          <w:kern w:val="2"/>
          <w:lang w:val="el-GR" w:eastAsia="zh-CN"/>
        </w:rPr>
      </w:pPr>
      <w:r>
        <w:rPr>
          <w:kern w:val="2"/>
          <w:lang w:val="el-GR"/>
        </w:rPr>
        <w:t xml:space="preserve">β) Μετά την έκδοση της ανωτέρω απόφασης η Επιτροπή Διαγωνισμού προβαίνει αρχικά στον έλεγχο των δικαιολογητικών συμμετοχής και εν συνεχεία στην αξιολόγηση των τεχνικών προσφορών των προσφερόντων  των οποίων τα δικαιολογητικά συμμετοχής έκρινε πλήρη. Η αξιολόγηση γίνεται σύμφωνα με τους όρους της παρούσας </w:t>
      </w:r>
      <w:r>
        <w:rPr>
          <w:kern w:val="2"/>
          <w:lang w:val="el-GR" w:eastAsia="zh-CN"/>
        </w:rPr>
        <w:t>και η διαδικασία αξιολόγησης ολοκληρώνεται με την καταχώριση σε πρακτικό των προσφερόντων, των αποτελεσμάτων του ελέγχου και της αξιολόγησης των δικαιολογητικών συμμετοχής και των τεχνικών προσφορών</w:t>
      </w:r>
      <w:r>
        <w:rPr>
          <w:rStyle w:val="Style19"/>
          <w:kern w:val="2"/>
          <w:lang w:val="el-GR" w:eastAsia="zh-CN"/>
        </w:rPr>
        <w:footnoteReference w:id="129"/>
      </w:r>
      <w:r>
        <w:rPr>
          <w:kern w:val="2"/>
          <w:lang w:val="el-GR" w:eastAsia="zh-CN"/>
        </w:rPr>
        <w:t xml:space="preserve">. </w:t>
      </w:r>
    </w:p>
    <w:p>
      <w:pPr>
        <w:pStyle w:val="Normal"/>
        <w:suppressAutoHyphens w:val="false"/>
        <w:spacing w:before="0" w:after="0"/>
        <w:rPr>
          <w:kern w:val="2"/>
          <w:lang w:val="el-GR" w:eastAsia="zh-CN"/>
        </w:rPr>
      </w:pPr>
      <w:r>
        <w:rPr>
          <w:kern w:val="2"/>
          <w:lang w:val="el-GR" w:eastAsia="zh-CN"/>
        </w:rPr>
      </w:r>
    </w:p>
    <w:p>
      <w:pPr>
        <w:pStyle w:val="Normal"/>
        <w:textAlignment w:val="baseline"/>
        <w:rPr>
          <w:kern w:val="2"/>
          <w:lang w:val="el-GR"/>
        </w:rPr>
      </w:pPr>
      <w:r>
        <w:rPr>
          <w:kern w:val="2"/>
          <w:lang w:val="el-GR"/>
        </w:rPr>
        <w:t xml:space="preserve">γ) Στη συνέχεια η Επιτροπή Διαγωνισμού προβαίνει στην αξιολόγηση των οικονομικών προσφορών των προσφερόντων, των οποίων τα δικαιολογητικά συμμετοχής και η τεχνική προσφορά κρίθηκαν αποδεκτά, συντάσσει πρακτικό στο οποίο καταχωρίζονται οι οικονομικές προσφορές κατά σειρά μειοδοσίας και εισηγείται αιτιολογημένα την αποδοχή ή απόρριψή τους, την κατάταξη των προσφορών και την ανάδειξη του προσωρινού αναδόχου. </w:t>
      </w:r>
    </w:p>
    <w:p>
      <w:pPr>
        <w:pStyle w:val="Normal"/>
        <w:textAlignment w:val="baseline"/>
        <w:rPr>
          <w:kern w:val="2"/>
          <w:lang w:val="el-GR" w:eastAsia="el-GR"/>
        </w:rPr>
      </w:pPr>
      <w:r>
        <w:rPr>
          <w:kern w:val="2"/>
          <w:lang w:val="el-GR"/>
        </w:rPr>
        <w:t>Εάν οι προσφορές φαίνονται ασυνήθιστα χαμηλές σε σχέση με το αντικείμενο της σύμβασης, η αναθέτουσα αρχή απαιτεί από τους οικονομικούς φορείς,</w:t>
      </w:r>
      <w:r>
        <w:rPr>
          <w:lang w:val="el-GR"/>
        </w:rPr>
        <w:t xml:space="preserve"> </w:t>
      </w:r>
      <w:r>
        <w:rPr>
          <w:kern w:val="2"/>
          <w:lang w:val="el-GR"/>
        </w:rPr>
        <w:t>μέσω της λειτουργικότητας της «Επικοινωνίας» του ηλεκτρονικού διαγωνισμού στο ΕΣΗΔΗΣ, να εξηγήσουν την τιμή ή το κόστος που προτείνουν στην προσφορά τους, εντός αποκλειστικής προθεσμίας, κατά ανώτατο όριο είκοσι (20) ημερών από την κοινοποίηση της σχετικής πρόσκλησης. Στην περίπτωση αυτή εφαρμόζονται τα άρθρα 88 και 89 ν. 4412/2016. Εάν τα παρεχόμενα στοιχεία δεν εξηγούν κατά τρόπο ικανοποιητικό το χαμηλό επίπεδο της τιμής ή του κόστους που προτείνεται, η προσφορά απορρίπτεται ως μη κανονική.</w:t>
      </w:r>
    </w:p>
    <w:p>
      <w:pPr>
        <w:pStyle w:val="Normal"/>
        <w:textAlignment w:val="baseline"/>
        <w:rPr>
          <w:i/>
          <w:i/>
          <w:iCs/>
          <w:color w:val="5B9BD5"/>
          <w:kern w:val="2"/>
          <w:lang w:val="el-GR" w:eastAsia="el-GR"/>
        </w:rPr>
      </w:pPr>
      <w:r>
        <w:rPr>
          <w:kern w:val="2"/>
          <w:lang w:val="el-GR" w:eastAsia="el-GR"/>
        </w:rPr>
        <w:t>Στην περίπτωση ισότιμων προσφορών η αναθέτουσα αρχή επιλέγει τον ανάδοχο με κλήρωση μεταξύ των οικονομικών φορέων που υπέβαλαν ισότιμες προσφορές. Η κλήρωση γίνεται ενώπιον της Επιτροπής του Διαγωνισμού και παρουσία των οικονομικών φορέων που υπέβαλαν τις ισότιμες προσφορές.</w:t>
      </w:r>
      <w:r>
        <w:rPr>
          <w:rStyle w:val="Style19"/>
          <w:kern w:val="2"/>
          <w:lang w:val="el-GR" w:eastAsia="el-GR"/>
        </w:rPr>
        <w:footnoteReference w:id="130"/>
      </w:r>
      <w:r>
        <w:rPr>
          <w:kern w:val="2"/>
          <w:lang w:val="el-GR" w:eastAsia="el-GR"/>
        </w:rPr>
        <w:t xml:space="preserve">  </w:t>
      </w:r>
    </w:p>
    <w:p>
      <w:pPr>
        <w:pStyle w:val="Normal"/>
        <w:textAlignment w:val="baseline"/>
        <w:rPr>
          <w:i/>
          <w:i/>
          <w:iCs/>
          <w:color w:val="5B9BD5"/>
          <w:kern w:val="2"/>
          <w:lang w:val="el-GR"/>
        </w:rPr>
      </w:pPr>
      <w:r>
        <w:rPr>
          <w:kern w:val="2"/>
          <w:lang w:val="el-GR" w:eastAsia="el-GR"/>
        </w:rPr>
        <w:t>Στη συνέχεια, εφόσον το αποφαινόμενο όργανο της αναθέτουσας αρχής εγκρίνει τα ανωτέρω πρακτικά, εκδίδεται απόφαση για τα  αποτελέσματα  όλων των ως άνω  σταδίων</w:t>
      </w:r>
      <w:r>
        <w:rPr>
          <w:rStyle w:val="Style19"/>
          <w:i/>
          <w:iCs/>
          <w:kern w:val="2"/>
          <w:lang w:val="el-GR" w:eastAsia="el-GR"/>
        </w:rPr>
        <w:footnoteReference w:id="131"/>
      </w:r>
      <w:r>
        <w:rPr>
          <w:kern w:val="2"/>
          <w:lang w:val="el-GR" w:eastAsia="el-GR"/>
        </w:rPr>
        <w:t xml:space="preserve"> («Δικαιολογητικά Συμμετοχής», «Τεχνική Προσφορά» και «Οικονομική Προσφορά») και η αναθέτουσα αρχή προσκαλεί εγγράφως, μέσω της λειτουργικότητας της «Επικοινωνίας» του ηλεκτρονικού διαγωνισμού στο ΕΣΗΔΗΣ, τον πρώτο σε κατάταξη μειοδότη στον οποίον πρόκειται να γίνει η κατακύρωση («προσωρινός ανάδοχος») να υποβάλει τα δικαιολογητικά κατακύρωσης, σύμφωνα  με όσα ορίζονται στο άρθρο 103 και την παράγραφο 3.2 της παρούσας, περί πρόσκλησης για υποβολή δικαιολογητικών. Η απόφαση έγκρισης των πρακτικών δεν κοινοποιείται στους προσφέροντες, δεν αναρτάται στο ΚΗΜΔΗΣ και στη «ΔΙΑΥΓΕΙΑ» και ενσωματώνεται στην απόφαση κατακύρωσης.</w:t>
      </w:r>
      <w:r>
        <w:rPr>
          <w:rStyle w:val="Style19"/>
          <w:kern w:val="2"/>
          <w:lang w:val="el-GR" w:eastAsia="el-GR"/>
        </w:rPr>
        <w:footnoteReference w:id="132"/>
      </w:r>
      <w:r>
        <w:rPr>
          <w:i/>
          <w:iCs/>
          <w:color w:val="5B9BD5"/>
          <w:kern w:val="2"/>
          <w:lang w:val="el-GR"/>
        </w:rPr>
        <w:t xml:space="preserve"> </w:t>
      </w:r>
    </w:p>
    <w:p>
      <w:pPr>
        <w:pStyle w:val="Normal"/>
        <w:textAlignment w:val="baseline"/>
        <w:rPr>
          <w:kern w:val="2"/>
          <w:lang w:val="el-GR" w:eastAsia="zh-CN"/>
        </w:rPr>
      </w:pPr>
      <w:r>
        <w:rPr>
          <w:kern w:val="2"/>
          <w:lang w:val="el-GR" w:eastAsia="zh-CN"/>
        </w:rPr>
        <w:t xml:space="preserve"> </w:t>
      </w:r>
    </w:p>
    <w:p>
      <w:pPr>
        <w:pStyle w:val="2"/>
        <w:rPr>
          <w:lang w:val="el-GR"/>
        </w:rPr>
      </w:pPr>
      <w:bookmarkStart w:id="49" w:name="_Toc129004439"/>
      <w:r>
        <w:rPr>
          <w:lang w:val="el-GR"/>
        </w:rPr>
        <w:t>3.2</w:t>
        <w:tab/>
        <w:t>Πρόσκληση υποβολής δικαιολογητικών προσωρινού αναδόχου</w:t>
      </w:r>
      <w:r>
        <w:rPr>
          <w:rStyle w:val="Style19"/>
          <w:lang w:val="el-GR"/>
        </w:rPr>
        <w:footnoteReference w:id="133"/>
      </w:r>
      <w:r>
        <w:rPr>
          <w:lang w:val="el-GR"/>
        </w:rPr>
        <w:t xml:space="preserve"> - Δικαιολογητικά προσωρινού αναδόχου</w:t>
      </w:r>
      <w:bookmarkEnd w:id="49"/>
    </w:p>
    <w:p>
      <w:pPr>
        <w:pStyle w:val="Normal"/>
        <w:rPr>
          <w:lang w:val="el-GR"/>
        </w:rPr>
      </w:pPr>
      <w:r>
        <w:rPr>
          <w:lang w:val="el-GR"/>
        </w:rPr>
        <w:t xml:space="preserve">Μετά την αξιολόγηση των προσφορών, η αναθέτουσα αρχή αποστέλλει σχετική ηλεκτρονική  πρόσκληση στον προσφέροντα, στον οποίο πρόκειται να γίνει η κατακύρωση («προσωρινό ανάδοχο»), μέσω της λειτουργικότητας της «Επικοινωνίας» του ηλεκτρονικού διαγωνισμού στο ΕΣΗΔΗΣ, και τον καλεί να υποβάλει εντός προθεσμίας δέκα (10) ημερών από την κοινοποίηση της σχετικής  έγγραφης ειδοποίησης σε αυτόν, τα αποδεικτικά έγγραφα νομιμοποίησης και τα πρωτότυπα ή αντίγραφα όλων των δικαιολογητικών που περιγράφονται στην παράγραφο 2.2.9.2. της παρούσας Διακήρυξης, ως αποδεικτικά στοιχεία για τη μη συνδρομή των λόγων αποκλεισμού της παραγράφου 2.2.3 της Διακήρυξης, καθώς και για την πλήρωση των κριτηρίων ποιοτικής επιλογής των παραγράφων 2.2.4 - 2.2.8  αυτής. </w:t>
      </w:r>
    </w:p>
    <w:p>
      <w:pPr>
        <w:pStyle w:val="Normal"/>
        <w:rPr>
          <w:color w:val="000000"/>
          <w:lang w:val="el-GR"/>
        </w:rPr>
      </w:pPr>
      <w:r>
        <w:rPr>
          <w:color w:val="000000"/>
          <w:lang w:val="el-GR"/>
        </w:rPr>
        <w:t>Ειδικότερα, το σύνολο των στοιχείων και δικαιολογητικών της ως άνω παραγράφου αποστέλλονται από αυτόν σε μορφή ηλεκτρονικών αρχείων με μορφότυπο PDF, σύμφωνα με τα ειδικώς οριζόμενα στην παράγραφο 2.4.2.5 της παρούσας.</w:t>
      </w:r>
    </w:p>
    <w:p>
      <w:pPr>
        <w:pStyle w:val="Normal"/>
        <w:rPr>
          <w:strike/>
          <w:lang w:val="el-GR"/>
        </w:rPr>
      </w:pPr>
      <w:r>
        <w:rPr>
          <w:lang w:val="el-GR"/>
        </w:rPr>
        <w:t>Εντός της προθεσμίας υποβολής των δικαιολογητικών κατακύρωσης και το αργότερο έως την τρίτη εργάσιμη ημέρα από την καταληκτική ημερομηνία ηλεκτρονικής υποβολής των δικαιολογητικών κατακύρωσης, προσκομίζονται με ευθύνη του οικονομικού φορέα, στην αναθέτουσα αρχή, σε έντυπη μορφή και σε κλειστό φάκελο, στον οποίο αναγράφεται ο αποστολέας, τα στοιχεία του Διαγωνισμού και ως παραλήπτης η Επιτροπή Διαγωνισμού, τα στοιχεία και δικαιολογητικά, τα οποία απαιτείται να προσκομισθούν σε έντυπη μορφή (ως πρωτότυπα ή ακριβή αντίγραφα)</w:t>
      </w:r>
      <w:r>
        <w:rPr>
          <w:color w:val="000000"/>
          <w:lang w:val="el-GR"/>
        </w:rPr>
        <w:t>, σύμφωνα με τα προβλεπόμενα στις διατάξεις της ως άνω παραγράφου 2.4.2.5</w:t>
      </w:r>
      <w:r>
        <w:rPr>
          <w:rStyle w:val="Style19"/>
          <w:lang w:val="el-GR"/>
        </w:rPr>
        <w:footnoteReference w:id="134"/>
      </w:r>
      <w:r>
        <w:rPr>
          <w:lang w:val="el-GR"/>
        </w:rPr>
        <w:t xml:space="preserve">. </w:t>
      </w:r>
    </w:p>
    <w:p>
      <w:pPr>
        <w:pStyle w:val="Normal"/>
        <w:rPr>
          <w:lang w:val="el-GR"/>
        </w:rPr>
      </w:pPr>
      <w:r>
        <w:rPr>
          <w:lang w:val="el-GR"/>
        </w:rPr>
        <w:t>Αν δεν προσκομισθούν τα παραπάνω δικαιολογητικά ή υπάρχουν ελλείψεις σε αυτά που υπoβλήθηκαν, η αναθέτουσα αρχή καλεί τον προσωρινό ανάδοχο να προσκομίσει τα ελλείποντα δικαιολογητικά ή να συμπληρώσει τα ήδη υποβληθέντα ή να παράσχει διευκρινίσεις  κατά το  άρθρο  102 του ν. 4412/2016, εντός δέκα (10) ημερών από την κοινοποίηση της σχετικής πρόσκλησης σε αυτόν.</w:t>
      </w:r>
    </w:p>
    <w:p>
      <w:pPr>
        <w:pStyle w:val="Normal"/>
        <w:rPr>
          <w:lang w:val="el-GR"/>
        </w:rPr>
      </w:pPr>
      <w:r>
        <w:rPr>
          <w:lang w:val="el-GR"/>
        </w:rPr>
        <w:t>Ο προσωρινός ανάδοχος δύναται να υποβάλει  προς την αναθέτουσα αρχή,  μέσω της λειτουργικότητας της «Επικοινωνίας» του ηλεκτρονικού διαγωνισμού στο ΕΣΗΔΗΣ,  αίτημα  για παράταση της ως άνω προθεσμίας, συνοδευόμενο από αποδεικτικά έγγραφα περί αίτησης χορήγησης δικαιολογητικών προσωρινού αναδόχου. Στην περίπτωση αυτή η αναθέτουσα αρχή παρατείνει την προθεσμία υποβολής αυτών, για όσο χρόνο απαιτηθεί για τη χορήγησή τους από τις αρμόδιες δημόσιες αρχές. Ο προσωρινός ανάδοχος μπορεί να αξιοποιεί τη δυνατότητα αυτή τόσο εντός της  αρχικής προθεσμίας για την υποβολή δικαιολογητικών, όσο και εντός της προθεσμίας για την προσκόμιση ελλειπόντων ή τη συμπλήρωση ήδη υποβληθέντων δικαιολογητικών, κατά την έννοια του άρθρου 102 του ν. 4412/2016, όπως  προβλέπεται ανωτέρω. Η παρούσα ρύθμιση εφαρμόζεται αναλόγως και όταν η αναθέτουσα αρχή ζητήσει την προσκόμιση των δικαιολογητικών κατά τη διαδικασία αξιολόγησης των προσφορών ή αιτήσεων συμμετοχής και πριν από το στάδιο κατακύρωσης, κατ΄ εφαρμογή της διάταξης του πρώτου εδαφίου της παρ. 5 του άρθρου 79  του ν. 4412/2016, τηρουμένων των αρχών της ίσης μεταχείρισης και της διαφάνειας.</w:t>
      </w:r>
    </w:p>
    <w:p>
      <w:pPr>
        <w:pStyle w:val="Normal"/>
        <w:rPr>
          <w:lang w:val="el-GR"/>
        </w:rPr>
      </w:pPr>
      <w:r>
        <w:rPr>
          <w:lang w:val="el-GR"/>
        </w:rPr>
        <w:t>Απορρίπτεται η προσφορά του προσωρινού αναδόχου, καταπίπτει υπέρ της αναθέτουσας αρχής η εγγύηση συμμετοχής του και η κατακύρωση γίνεται στον προσφέροντα που υπέβαλε την αμέσως επόμενη πλέον συμφέρουσα από οικονομική άποψη προσφορά, τηρουμένης της ανωτέρω διαδικασίας, εάν:</w:t>
      </w:r>
    </w:p>
    <w:p>
      <w:pPr>
        <w:pStyle w:val="Normal"/>
        <w:rPr>
          <w:lang w:val="el-GR"/>
        </w:rPr>
      </w:pPr>
      <w:r>
        <w:rPr>
          <w:lang w:val="el-GR"/>
        </w:rPr>
        <w:t xml:space="preserve">i) κατά τον έλεγχο των παραπάνω δικαιολογητικών διαπιστωθεί ότι τα στοιχεία που δηλώθηκαν με  το Ευρωπαϊκό Ενιαίο Έγγραφο Σύμβασης (ΕΕΕΣ)  είναι εκ προθέσεως απατηλά, ή έχουν υποβληθεί πλαστά αποδεικτικά στοιχεία , ή </w:t>
      </w:r>
    </w:p>
    <w:p>
      <w:pPr>
        <w:pStyle w:val="Normal"/>
        <w:rPr>
          <w:lang w:val="el-GR"/>
        </w:rPr>
      </w:pPr>
      <w:r>
        <w:rPr>
          <w:lang w:val="el-GR"/>
        </w:rPr>
        <w:t xml:space="preserve">ii)  δεν υποβληθούν στο προκαθορισμένο χρονικό διάστημα τα απαιτούμενα πρωτότυπα ή αντίγραφα των παραπάνω δικαιολογητικών, ή </w:t>
      </w:r>
    </w:p>
    <w:p>
      <w:pPr>
        <w:pStyle w:val="Normal"/>
        <w:rPr>
          <w:lang w:val="el-GR"/>
        </w:rPr>
      </w:pPr>
      <w:r>
        <w:rPr>
          <w:lang w:val="el-GR"/>
        </w:rPr>
        <w:t xml:space="preserve">iii) από τα δικαιολογητικά που προσκομίσθηκαν νομίμως και εμπροθέσμως, δεν αποδεικνύεται η μη συνδρομή των λόγων αποκλεισμού, σύμφωνα με την παράγραφο 2.2.3 (λόγοι αποκλεισμού) ή η πλήρωση μιας ή περισσότερων από τις απαιτήσεις των κριτηρίων ποιοτικής επιλογής σύμφωνα με τις παραγράφους 2.2.4 έως 2.2.8 (κριτήρια ποιοτικής επιλογής) της παρούσας. </w:t>
      </w:r>
    </w:p>
    <w:p>
      <w:pPr>
        <w:pStyle w:val="Normal"/>
        <w:rPr>
          <w:lang w:val="el-GR"/>
        </w:rPr>
      </w:pPr>
      <w:r>
        <w:rPr>
          <w:lang w:val="el-GR"/>
        </w:rPr>
        <w:t>Σε περίπτωση έγκαιρης και προσήκουσας ενημέρωσης της αναθέτουσας αρχής για μεταβολές στις προϋποθέσεις, τις οποίες ο προσωρινός ανάδοχος είχε δηλώσει με</w:t>
      </w:r>
      <w:r>
        <w:rPr>
          <w:i/>
          <w:color w:val="5B9BD5"/>
          <w:lang w:val="el-GR" w:eastAsia="el-GR"/>
        </w:rPr>
        <w:t xml:space="preserve"> </w:t>
      </w:r>
      <w:r>
        <w:rPr>
          <w:lang w:val="el-GR"/>
        </w:rPr>
        <w:t>το Ευρωπαϊκό Ενιαίο Έγγραφο Σύμβασης (ΕΕΕΣ) ότι πληροί,  οι οποίες (μεταβολές) είτε  επήλθαν, είτε  έλαβε γνώση  αυτών μετά τη δήλωση και μέχρι την ημέρα της σύναψης της σύμβασης (οψιγενείς μεταβολές), δεν καταπίπτει υπέρ της αναθέτουσας αρχής η εγγύηση συμμετοχής του</w:t>
      </w:r>
      <w:r>
        <w:rPr>
          <w:rStyle w:val="Style19"/>
          <w:lang w:val="el-GR"/>
        </w:rPr>
        <w:footnoteReference w:id="135"/>
      </w:r>
      <w:r>
        <w:rPr>
          <w:lang w:val="el-GR"/>
        </w:rPr>
        <w:t xml:space="preserve">. </w:t>
      </w:r>
    </w:p>
    <w:p>
      <w:pPr>
        <w:pStyle w:val="Normal"/>
        <w:rPr>
          <w:lang w:val="el-GR"/>
        </w:rPr>
      </w:pPr>
      <w:r>
        <w:rPr>
          <w:lang w:val="el-GR"/>
        </w:rPr>
        <w:t xml:space="preserve">Αν κανένας από τους προσφέροντες δεν υποβάλει αληθή ή ακριβή δήλωση </w:t>
      </w:r>
      <w:r>
        <w:rPr>
          <w:b/>
          <w:lang w:val="el-GR"/>
        </w:rPr>
        <w:t>ή</w:t>
      </w:r>
      <w:r>
        <w:rPr>
          <w:lang w:val="el-GR"/>
        </w:rPr>
        <w:t xml:space="preserve"> δεν προσκομίσει ένα ή περισσότερα από τα απαιτούμενα έγγραφα και δικαιολογητικά </w:t>
      </w:r>
      <w:r>
        <w:rPr>
          <w:b/>
          <w:lang w:val="el-GR"/>
        </w:rPr>
        <w:t>ή</w:t>
      </w:r>
      <w:r>
        <w:rPr>
          <w:lang w:val="el-GR"/>
        </w:rPr>
        <w:t xml:space="preserve"> δεν αποδείξει ότι: α) δεν βρίσκεται σε μία από τις καταστάσεις της παραγράφου 2.2.3 της παρούσας Διακήρυξης και β)  πληροί τα σχετικά κριτήρια ποιοτικής επιλογής τα οποία έχουν καθοριστεί σύμφωνα με τις παραγράφους 2.2.4 -2.2.8 της παρούσας Διακήρυξης, η διαδικασία ματαιώνεται. </w:t>
      </w:r>
    </w:p>
    <w:p>
      <w:pPr>
        <w:pStyle w:val="Normal"/>
        <w:rPr>
          <w:lang w:val="el-GR"/>
        </w:rPr>
      </w:pPr>
      <w:r>
        <w:rPr>
          <w:lang w:val="el-GR"/>
        </w:rPr>
        <w:t xml:space="preserve">Η διαδικασία ελέγχου των παραπάνω δικαιολογητικών ολοκληρώνεται με τη σύνταξη πρακτικού από την Επιτροπή του Διαγωνισμού, στο οποίο αναγράφεται η τυχόν συμπλήρωση δικαιολογητικών σύμφωνα με όσα ορίζονται ανωτέρω (παράγραφος 3.1.2.1.) και τη διαβίβασή του στο αποφαινόμενο όργανο της αναθέτουσας αρχής για τη λήψη απόφασης είτε για την κατακύρωση της σύμβασης είτε για τη ματαίωση της διαδικασίας. </w:t>
      </w:r>
    </w:p>
    <w:p>
      <w:pPr>
        <w:pStyle w:val="Normal"/>
        <w:rPr>
          <w:lang w:val="el-GR"/>
        </w:rPr>
      </w:pPr>
      <w:r>
        <w:rPr>
          <w:lang w:val="el-GR"/>
        </w:rPr>
      </w:r>
    </w:p>
    <w:p>
      <w:pPr>
        <w:pStyle w:val="2"/>
        <w:rPr>
          <w:lang w:val="el-GR"/>
        </w:rPr>
      </w:pPr>
      <w:r>
        <w:rPr>
          <w:lang w:val="el-GR"/>
        </w:rPr>
        <w:t xml:space="preserve"> </w:t>
      </w:r>
      <w:bookmarkStart w:id="50" w:name="_Toc129004440"/>
      <w:r>
        <w:rPr>
          <w:lang w:val="el-GR"/>
        </w:rPr>
        <w:t>3.3</w:t>
        <w:tab/>
        <w:t>Κατακύρωση - σύναψη σύμβασης</w:t>
      </w:r>
      <w:r>
        <w:rPr>
          <w:rStyle w:val="Style19"/>
          <w:lang w:val="el-GR"/>
        </w:rPr>
        <w:footnoteReference w:id="136"/>
      </w:r>
      <w:bookmarkEnd w:id="50"/>
      <w:r>
        <w:rPr>
          <w:lang w:val="el-GR"/>
        </w:rPr>
        <w:t xml:space="preserve"> </w:t>
      </w:r>
    </w:p>
    <w:p>
      <w:pPr>
        <w:pStyle w:val="Normal"/>
        <w:rPr>
          <w:i/>
          <w:i/>
          <w:iCs/>
          <w:color w:val="5B9BD5"/>
          <w:kern w:val="2"/>
          <w:lang w:val="el-GR" w:eastAsia="el-GR"/>
        </w:rPr>
      </w:pPr>
      <w:r>
        <w:rPr>
          <w:i/>
          <w:iCs/>
          <w:color w:val="5B9BD5"/>
          <w:kern w:val="2"/>
          <w:lang w:val="el-GR" w:eastAsia="el-GR"/>
        </w:rPr>
      </w:r>
    </w:p>
    <w:p>
      <w:pPr>
        <w:pStyle w:val="Normal"/>
        <w:rPr>
          <w:lang w:val="el-GR"/>
        </w:rPr>
      </w:pPr>
      <w:r>
        <w:rPr>
          <w:b/>
          <w:lang w:val="el-GR"/>
        </w:rPr>
        <w:t>3.3.1.</w:t>
      </w:r>
      <w:r>
        <w:rPr>
          <w:lang w:val="el-GR"/>
        </w:rPr>
        <w:t xml:space="preserve"> Τα αποτελέσματα του ελέγχου των παραπάνω δικαιολογητικών και της εισήγησης της Επιτροπής επικυρώνονται με την απόφαση κατακύρωσης, στην οποία ενσωματώνεται η απόφαση έγκρισης των πρακτικών των περ. α΄ &amp; β΄ της παρ. 2 του άρθρου 100 του ν. 4412/2016 (περί αξιολόγησης των δικαιολογητικών συμμετοχής, της τεχνικής και της οικονομικής προσφοράς).   </w:t>
      </w:r>
    </w:p>
    <w:p>
      <w:pPr>
        <w:pStyle w:val="Normal"/>
        <w:rPr>
          <w:lang w:val="el-GR"/>
        </w:rPr>
      </w:pPr>
      <w:r>
        <w:rPr>
          <w:color w:val="000000"/>
          <w:szCs w:val="22"/>
          <w:shd w:fill="FFFFFF" w:val="clear"/>
          <w:lang w:val="el-GR"/>
        </w:rPr>
        <w:t xml:space="preserve">Η αναθέτουσα αρχή κοινοποιεί, μέσω της λειτουργικότητας της «Επικοινωνίας»  του διαγωνισμού  στο  ΕΣΗΔΗΣ σε όλους τους οικονομικούς φορείς που έλαβαν μέρος στη διαδικασία ανάθεσης, εκτός από όσους αποκλείστηκαν οριστικά δυνάμει της παρ. 1 του άρθρου 72 του ν. 4412/2016, την απόφαση κατακύρωσης, στην οποία αναφέρονται υποχρεωτικά οι προθεσμίες για την αναστολή της σύναψης σύμβασης, σύμφωνα με τα άρθρα 360 έως 372 του ν. 4412/2016, μαζί με αντίγραφο όλων των πρακτικών της διαδικασίας ελέγχου και αξιολόγησης των προσφορών, και, επιπλέον, αναρτά τα δικαιολογητικά του προσωρινού αναδόχου στα «Συνημμένα Ηλεκτρονικού Διαγωνισμού». </w:t>
      </w:r>
      <w:r>
        <w:rPr>
          <w:lang w:val="el-GR"/>
        </w:rPr>
        <w:t>Μετά την έκδοση και κοινοποίηση της απόφασης κατακύρωσης οι προσφέροντες λαμβάνουν γνώση των λοιπών συμμετεχόντων στη διαδικασία και των στοιχείων που υποβλήθηκαν από αυτούς, με ενέργειες της αναθέτουσας αρχής</w:t>
      </w:r>
      <w:r>
        <w:rPr>
          <w:rStyle w:val="Style19"/>
          <w:lang w:val="el-GR"/>
        </w:rPr>
        <w:footnoteReference w:id="137"/>
      </w:r>
      <w:r>
        <w:rPr>
          <w:lang w:val="el-GR"/>
        </w:rPr>
        <w:t xml:space="preserve">. Κατά της απόφασης κατακύρωσης χωρεί προδικαστική προσφυγή ενώπιον της </w:t>
      </w:r>
      <w:r>
        <w:rPr>
          <w:color w:val="000000"/>
          <w:szCs w:val="22"/>
          <w:shd w:fill="FFFFFF" w:val="clear"/>
          <w:lang w:val="el-GR"/>
        </w:rPr>
        <w:t>Ε.Α.ΔΗ.ΣΥ.</w:t>
      </w:r>
      <w:r>
        <w:rPr>
          <w:lang w:val="el-GR"/>
        </w:rPr>
        <w:t>, σύμφωνα με την παράγραφο 3.4 της παρούσας. Δεν επιτρέπεται η άσκηση άλλης διοικητικής προσφυγής κατά της ανωτέρω απόφασης.</w:t>
      </w:r>
      <w:r>
        <w:rPr>
          <w:rStyle w:val="Style19"/>
          <w:vertAlign w:val="superscript"/>
          <w:lang w:val="el-GR"/>
        </w:rPr>
        <w:footnoteReference w:id="138"/>
      </w:r>
    </w:p>
    <w:p>
      <w:pPr>
        <w:pStyle w:val="Normal"/>
        <w:rPr>
          <w:i/>
          <w:i/>
          <w:color w:val="5B9BD5"/>
          <w:lang w:val="el-GR" w:eastAsia="el-GR"/>
        </w:rPr>
      </w:pPr>
      <w:r>
        <w:rPr>
          <w:i/>
          <w:color w:val="5B9BD5"/>
          <w:lang w:val="el-GR" w:eastAsia="el-GR"/>
        </w:rPr>
      </w:r>
    </w:p>
    <w:p>
      <w:pPr>
        <w:pStyle w:val="Normal"/>
        <w:rPr>
          <w:lang w:val="el-GR"/>
        </w:rPr>
      </w:pPr>
      <w:r>
        <w:rPr>
          <w:b/>
          <w:lang w:val="el-GR"/>
        </w:rPr>
        <w:t xml:space="preserve">3.3.2. </w:t>
      </w:r>
      <w:r>
        <w:rPr>
          <w:lang w:val="el-GR"/>
        </w:rPr>
        <w:t>Η απόφαση κατακύρωσης καθίσταται οριστική, εφόσον συντρέξουν οι ακόλουθες προϋποθέσεις σωρευτικά:</w:t>
      </w:r>
    </w:p>
    <w:p>
      <w:pPr>
        <w:pStyle w:val="HTML2"/>
        <w:jc w:val="both"/>
        <w:rPr/>
      </w:pPr>
      <w:r>
        <w:rPr>
          <w:rFonts w:cs="Calibri" w:ascii="Calibri" w:hAnsi="Calibri"/>
          <w:sz w:val="22"/>
          <w:szCs w:val="24"/>
        </w:rPr>
        <w:t xml:space="preserve">α) κοινοποιηθεί η απόφαση κατακύρωσης σε όλους τους οικονομικούς φορείς που δεν έχουν αποκλειστεί οριστικά, </w:t>
      </w:r>
    </w:p>
    <w:p>
      <w:pPr>
        <w:pStyle w:val="HTML2"/>
        <w:jc w:val="both"/>
        <w:rPr>
          <w:rFonts w:ascii="Calibri" w:hAnsi="Calibri" w:cs="Calibri"/>
          <w:sz w:val="22"/>
          <w:szCs w:val="22"/>
        </w:rPr>
      </w:pPr>
      <w:r>
        <w:rPr>
          <w:rFonts w:cs="Calibri" w:ascii="Calibri" w:hAnsi="Calibri"/>
          <w:sz w:val="22"/>
          <w:szCs w:val="24"/>
        </w:rPr>
        <w:t xml:space="preserve">β) </w:t>
      </w:r>
      <w:r>
        <w:rPr>
          <w:rFonts w:cs="Calibri" w:ascii="Calibri" w:hAnsi="Calibri"/>
          <w:sz w:val="22"/>
          <w:szCs w:val="22"/>
        </w:rPr>
        <w:t xml:space="preserve">παρέλθει άπρακτη η προθεσμία άσκησης προδικαστικής προσφυγής ή σε περίπτωση άσκησης, παρέλθει άπρακτη η προθεσμία άσκησης αίτησης αναστολής και ακύρωσης  κατά της απόφασης της </w:t>
      </w:r>
      <w:r>
        <w:rPr>
          <w:rFonts w:cs="Calibri" w:ascii="Calibri" w:hAnsi="Calibri"/>
          <w:color w:val="000000"/>
          <w:sz w:val="22"/>
          <w:szCs w:val="22"/>
          <w:shd w:fill="FFFFFF" w:val="clear"/>
        </w:rPr>
        <w:t xml:space="preserve">Ε.Α.ΔΗ.ΣΥ </w:t>
      </w:r>
      <w:r>
        <w:rPr>
          <w:rFonts w:cs="Calibri" w:ascii="Calibri" w:hAnsi="Calibri"/>
          <w:sz w:val="22"/>
          <w:szCs w:val="22"/>
        </w:rPr>
        <w:t>και σε περίπτωση άσκησης αίτησης αναστολής και ακύρωσης  κατά της απόφασης της</w:t>
      </w:r>
      <w:r>
        <w:rPr>
          <w:rFonts w:cs="Calibri" w:ascii="Calibri" w:hAnsi="Calibri"/>
          <w:color w:val="000000"/>
          <w:sz w:val="22"/>
          <w:szCs w:val="22"/>
          <w:shd w:fill="FFFFFF" w:val="clear"/>
        </w:rPr>
        <w:t xml:space="preserve"> Ε.Α.ΔΗ.ΣΥ.</w:t>
      </w:r>
      <w:r>
        <w:rPr>
          <w:rFonts w:cs="Calibri" w:ascii="Calibri" w:hAnsi="Calibri"/>
          <w:sz w:val="22"/>
          <w:szCs w:val="22"/>
        </w:rPr>
        <w:t>, εκδοθεί απόφαση επί της αίτησης, με την επιφύλαξη της χορήγησης προσωρινής διαταγής, σύμφωνα με όσα ορίζονται  στο τελευταίο εδάφιο της </w:t>
      </w:r>
      <w:r>
        <w:fldChar w:fldCharType="begin"/>
      </w:r>
      <w:r>
        <w:rPr>
          <w:sz w:val="22"/>
          <w:szCs w:val="22"/>
          <w:rFonts w:cs="Calibri" w:ascii="Calibri" w:hAnsi="Calibri"/>
        </w:rPr>
        <w:instrText xml:space="preserve"> HYPERLINK "http://www.eaadhsy.gr/n4412/n4412fulltextlinks.html" \l "art372_4"</w:instrText>
      </w:r>
      <w:r>
        <w:rPr>
          <w:sz w:val="22"/>
          <w:szCs w:val="22"/>
          <w:rFonts w:cs="Calibri" w:ascii="Calibri" w:hAnsi="Calibri"/>
        </w:rPr>
        <w:fldChar w:fldCharType="separate"/>
      </w:r>
      <w:r>
        <w:rPr>
          <w:rFonts w:cs="Calibri" w:ascii="Calibri" w:hAnsi="Calibri"/>
          <w:sz w:val="22"/>
          <w:szCs w:val="22"/>
        </w:rPr>
        <w:t>παρ.</w:t>
      </w:r>
      <w:r>
        <w:rPr>
          <w:sz w:val="22"/>
          <w:szCs w:val="22"/>
          <w:rFonts w:cs="Calibri" w:ascii="Calibri" w:hAnsi="Calibri"/>
        </w:rPr>
        <w:fldChar w:fldCharType="end"/>
      </w:r>
      <w:r>
        <w:fldChar w:fldCharType="begin"/>
      </w:r>
      <w:r>
        <w:rPr>
          <w:sz w:val="22"/>
          <w:szCs w:val="22"/>
          <w:rFonts w:cs="Calibri" w:ascii="Calibri" w:hAnsi="Calibri"/>
        </w:rPr>
        <w:instrText xml:space="preserve"> HYPERLINK "http://www.eaadhsy.gr/n4412/n4412fulltextlinks.html" \l "art372_4"</w:instrText>
      </w:r>
      <w:r>
        <w:rPr>
          <w:sz w:val="22"/>
          <w:szCs w:val="22"/>
          <w:rFonts w:cs="Calibri" w:ascii="Calibri" w:hAnsi="Calibri"/>
        </w:rPr>
        <w:fldChar w:fldCharType="separate"/>
      </w:r>
      <w:r>
        <w:rPr>
          <w:rFonts w:cs="Calibri" w:ascii="Calibri" w:hAnsi="Calibri"/>
          <w:sz w:val="22"/>
          <w:szCs w:val="22"/>
        </w:rPr>
        <w:t xml:space="preserve"> 4 του άρθρου 372</w:t>
      </w:r>
      <w:r>
        <w:rPr>
          <w:sz w:val="22"/>
          <w:szCs w:val="22"/>
          <w:rFonts w:cs="Calibri" w:ascii="Calibri" w:hAnsi="Calibri"/>
        </w:rPr>
        <w:fldChar w:fldCharType="end"/>
      </w:r>
      <w:r>
        <w:rPr>
          <w:rFonts w:cs="Calibri" w:ascii="Calibri" w:hAnsi="Calibri"/>
          <w:sz w:val="22"/>
          <w:szCs w:val="22"/>
        </w:rPr>
        <w:t xml:space="preserve"> του ν. 4412/2016,</w:t>
      </w:r>
    </w:p>
    <w:p>
      <w:pPr>
        <w:pStyle w:val="HTML2"/>
        <w:jc w:val="both"/>
        <w:rPr>
          <w:rFonts w:ascii="Calibri" w:hAnsi="Calibri" w:cs="Calibri"/>
          <w:sz w:val="22"/>
          <w:szCs w:val="22"/>
        </w:rPr>
      </w:pPr>
      <w:r>
        <w:rPr>
          <w:rFonts w:cs="Calibri" w:ascii="Calibri" w:hAnsi="Calibri"/>
          <w:sz w:val="22"/>
          <w:szCs w:val="22"/>
        </w:rPr>
        <w:t>γ) ολοκληρωθεί επιτυχώς ο προσυμβατικός έλεγχος από το Ελεγκτικό Συνέδριο, σύμφωνα με τα άρθρα 324 έως 327 του ν. 4700/2020, εφόσον απαιτείται,</w:t>
      </w:r>
    </w:p>
    <w:p>
      <w:pPr>
        <w:pStyle w:val="HTML2"/>
        <w:jc w:val="both"/>
        <w:rPr>
          <w:rFonts w:ascii="Calibri" w:hAnsi="Calibri" w:cs="Calibri"/>
          <w:sz w:val="22"/>
          <w:szCs w:val="24"/>
        </w:rPr>
      </w:pPr>
      <w:r>
        <w:rPr>
          <w:rFonts w:cs="Calibri" w:ascii="Calibri" w:hAnsi="Calibri"/>
          <w:sz w:val="22"/>
          <w:szCs w:val="24"/>
        </w:rPr>
        <w:t>και </w:t>
        <w:br/>
        <w:t>δ)</w:t>
      </w:r>
      <w:r>
        <w:rPr>
          <w:rFonts w:cs="Calibri" w:ascii="Calibri" w:hAnsi="Calibri"/>
          <w:color w:val="ED7D31" w:themeColor="accent2"/>
          <w:sz w:val="22"/>
          <w:szCs w:val="24"/>
        </w:rPr>
        <w:t xml:space="preserve"> </w:t>
      </w:r>
      <w:r>
        <w:rPr>
          <w:rFonts w:cs="Calibri" w:ascii="Calibri" w:hAnsi="Calibri"/>
          <w:sz w:val="22"/>
          <w:szCs w:val="24"/>
        </w:rPr>
        <w:t>ο  προσωρινός ανάδοχος υποβάλει, έπειτα από σχετική πρόσκληση, υπεύθυνη δήλωση, που υπογράφεται σύμφωνα με όσα ορίζονται στο </w:t>
      </w:r>
      <w:hyperlink r:id="rId8">
        <w:r>
          <w:rPr>
            <w:rFonts w:cs="Calibri" w:ascii="Calibri" w:hAnsi="Calibri"/>
            <w:sz w:val="22"/>
            <w:szCs w:val="24"/>
          </w:rPr>
          <w:t>άρθρο 79Α</w:t>
        </w:r>
      </w:hyperlink>
      <w:r>
        <w:rPr>
          <w:rFonts w:cs="Calibri" w:ascii="Calibri" w:hAnsi="Calibri"/>
          <w:sz w:val="22"/>
          <w:szCs w:val="24"/>
        </w:rPr>
        <w:t xml:space="preserve"> του ν. 4412/2016, στην οποία δηλώνεται ότι δεν έχουν επέλθει στο πρόσωπό του οψιγενείς μεταβολές κατά την έννοια του </w:t>
      </w:r>
      <w:r>
        <w:fldChar w:fldCharType="begin"/>
      </w:r>
      <w:r>
        <w:rPr>
          <w:sz w:val="22"/>
          <w:szCs w:val="24"/>
          <w:rFonts w:cs="Calibri" w:ascii="Calibri" w:hAnsi="Calibri"/>
        </w:rPr>
        <w:instrText xml:space="preserve"> HYPERLINK "http://www.eaadhsy.gr/n4412/n4412fulltextlinks.html" \l "art104"</w:instrText>
      </w:r>
      <w:r>
        <w:rPr>
          <w:sz w:val="22"/>
          <w:szCs w:val="24"/>
          <w:rFonts w:cs="Calibri" w:ascii="Calibri" w:hAnsi="Calibri"/>
        </w:rPr>
        <w:fldChar w:fldCharType="separate"/>
      </w:r>
      <w:r>
        <w:rPr>
          <w:rFonts w:cs="Calibri" w:ascii="Calibri" w:hAnsi="Calibri"/>
          <w:sz w:val="22"/>
          <w:szCs w:val="24"/>
        </w:rPr>
        <w:t>άρθρου 104</w:t>
      </w:r>
      <w:r>
        <w:rPr>
          <w:sz w:val="22"/>
          <w:szCs w:val="24"/>
          <w:rFonts w:cs="Calibri" w:ascii="Calibri" w:hAnsi="Calibri"/>
        </w:rPr>
        <w:fldChar w:fldCharType="end"/>
      </w:r>
      <w:r>
        <w:rPr>
          <w:rFonts w:cs="Calibri" w:ascii="Calibri" w:hAnsi="Calibri"/>
          <w:sz w:val="22"/>
          <w:szCs w:val="24"/>
        </w:rPr>
        <w:t xml:space="preserve"> του ν. 4412/2016. Η υπεύθυνη δήλωση ελέγχεται από την αναθέτουσα αρχή και μνημονεύεται στο συμφωνητικό. Εφόσον δηλωθούν οψιγενείς μεταβολές, η δήλωση ελέγχεται από την Επιτροπή Διαγωνισμού, η οποία εισηγείται προς το αρμόδιο αποφαινόμενο όργανο.</w:t>
      </w:r>
    </w:p>
    <w:p>
      <w:pPr>
        <w:pStyle w:val="HTML2"/>
        <w:jc w:val="both"/>
        <w:rPr>
          <w:rFonts w:ascii="Calibri" w:hAnsi="Calibri" w:cs="Calibri"/>
          <w:sz w:val="22"/>
          <w:szCs w:val="24"/>
        </w:rPr>
      </w:pPr>
      <w:r>
        <w:rPr>
          <w:rFonts w:cs="Calibri" w:ascii="Calibri" w:hAnsi="Calibri"/>
          <w:sz w:val="22"/>
          <w:szCs w:val="24"/>
        </w:rPr>
      </w:r>
    </w:p>
    <w:p>
      <w:pPr>
        <w:pStyle w:val="Normal"/>
        <w:rPr>
          <w:lang w:val="el-GR"/>
        </w:rPr>
      </w:pPr>
      <w:r>
        <w:rPr>
          <w:lang w:val="el-GR"/>
        </w:rPr>
        <w:t>Μετά  την οριστικοποίηση της απόφασης κατακύρωσης η αναθέτουσα αρχή προσκαλεί τον ανάδοχο, μέσω της λειτουργικότητας της «Επικοινωνίας» του ηλεκτρονικού διαγωνισμού στο ΕΣΗΔΗΣ, να προσέλθει για υπογραφή του συμφωνητικού,</w:t>
      </w:r>
      <w:r>
        <w:rPr>
          <w:rFonts w:cs="Arial" w:ascii="Arial" w:hAnsi="Arial"/>
          <w:szCs w:val="22"/>
          <w:lang w:val="el-GR"/>
        </w:rPr>
        <w:t xml:space="preserve"> </w:t>
      </w:r>
      <w:r>
        <w:rPr>
          <w:lang w:val="el-GR"/>
        </w:rPr>
        <w:t xml:space="preserve">θέτοντάς του προθεσμία  δεκαπέντε (15) ημερών από την κοινοποίηση της σχετικής ειδικής πρόσκλησης. Η σύμβαση θεωρείται συναφθείσα με την κοινοποίηση της πρόσκλησης του προηγούμενου εδαφίου στον ανάδοχο. </w:t>
      </w:r>
    </w:p>
    <w:p>
      <w:pPr>
        <w:pStyle w:val="Normal"/>
        <w:rPr>
          <w:lang w:val="el-GR"/>
        </w:rPr>
      </w:pPr>
      <w:r>
        <w:rPr>
          <w:lang w:val="el-GR"/>
        </w:rPr>
      </w:r>
    </w:p>
    <w:p>
      <w:pPr>
        <w:pStyle w:val="2"/>
        <w:rPr>
          <w:color w:val="000000"/>
          <w:lang w:val="el-GR"/>
        </w:rPr>
      </w:pPr>
      <w:bookmarkStart w:id="51" w:name="_Toc129004441"/>
      <w:r>
        <w:rPr>
          <w:lang w:val="el-GR"/>
        </w:rPr>
        <w:t>3.4</w:t>
        <w:tab/>
        <w:t>Προδικαστικές Προσφυγές - Προσωρινή και οριστική Δικαστική Προστασία</w:t>
      </w:r>
      <w:bookmarkEnd w:id="51"/>
    </w:p>
    <w:p>
      <w:pPr>
        <w:pStyle w:val="Normal"/>
        <w:rPr>
          <w:color w:val="000000"/>
          <w:lang w:val="el-GR"/>
        </w:rPr>
      </w:pPr>
      <w:r>
        <w:rPr>
          <w:b/>
          <w:color w:val="000000"/>
          <w:lang w:val="el-GR"/>
        </w:rPr>
        <w:t>Α</w:t>
      </w:r>
      <w:r>
        <w:rPr>
          <w:color w:val="000000"/>
          <w:lang w:val="el-GR"/>
        </w:rPr>
        <w:t>. Κάθε ενδιαφερόμενος, ο οποίος έχει ή είχε συμφέρον να του ανατεθεί η συγκεκριμένη δημόσια σύμβαση και έχει υποστεί ή ενδέχεται να υποστεί ζημία από εκτελεστή πράξη ή παράλειψη της αναθέτουσας αρχής κατά παράβαση της ενωσιακής ή εσωτερικής νομοθεσίας στον τομέα των δημοσίων συμβάσεων, έχει δικαίωμα να προσφύγει στην Ενιαία Αρχή Δημοσίων Συμβάσεων (</w:t>
      </w:r>
      <w:r>
        <w:rPr>
          <w:color w:val="000000"/>
          <w:szCs w:val="22"/>
          <w:shd w:fill="FFFFFF" w:val="clear"/>
          <w:lang w:val="el-GR"/>
        </w:rPr>
        <w:t>Ε.Α.ΔΗ.ΣΥ.</w:t>
      </w:r>
      <w:r>
        <w:rPr>
          <w:color w:val="000000"/>
          <w:lang w:val="el-GR"/>
        </w:rPr>
        <w:t>), σύμφωνα με τα ειδικότερα οριζόμενα στα άρθρα 346 επ. ν. 4412/2016 και 1 επ.  του π.δ. 39/2017, στρεφόμενος με προδικαστική προσφυγή, κατά πράξης ή παράλειψης της αναθέτουσας αρχής, προσδιορίζοντας ειδικώς τις νομικές και πραγματικές αιτιάσεις που δικαιολογούν το αίτημά του</w:t>
      </w:r>
      <w:r>
        <w:rPr>
          <w:rStyle w:val="Style19"/>
          <w:color w:val="000000"/>
          <w:lang w:val="el-GR"/>
        </w:rPr>
        <w:footnoteReference w:id="139"/>
      </w:r>
      <w:r>
        <w:rPr>
          <w:color w:val="000000"/>
          <w:lang w:val="el-GR"/>
        </w:rPr>
        <w:t xml:space="preserve"> .</w:t>
      </w:r>
    </w:p>
    <w:p>
      <w:pPr>
        <w:pStyle w:val="Normal"/>
        <w:rPr>
          <w:color w:val="000000"/>
          <w:lang w:val="el-GR"/>
        </w:rPr>
      </w:pPr>
      <w:r>
        <w:rPr>
          <w:color w:val="000000"/>
          <w:lang w:val="el-GR"/>
        </w:rPr>
        <w:t>Σε περίπτωση προσφυγής κατά πράξης της αναθέτουσας αρχής, η προθεσμία για την άσκηση της προδικαστικής προσφυγής είναι:</w:t>
      </w:r>
    </w:p>
    <w:p>
      <w:pPr>
        <w:pStyle w:val="Normal"/>
        <w:rPr>
          <w:color w:val="000000"/>
          <w:lang w:val="el-GR"/>
        </w:rPr>
      </w:pPr>
      <w:r>
        <w:rPr>
          <w:color w:val="000000"/>
          <w:lang w:val="el-GR"/>
        </w:rPr>
        <w:t xml:space="preserve">(α) δέκα (10) ημέρες από την κοινοποίηση της προσβαλλόμενης πράξης στον ενδιαφερόμενο οικονομικό φορέα αν η πράξη κοινοποιήθηκε με ηλεκτρονικά μέσα </w:t>
      </w:r>
      <w:r>
        <w:rPr>
          <w:color w:val="ED7D31" w:themeColor="accent2"/>
          <w:lang w:val="el-GR"/>
        </w:rPr>
        <w:t xml:space="preserve"> </w:t>
      </w:r>
      <w:r>
        <w:rPr>
          <w:color w:val="000000"/>
          <w:lang w:val="el-GR"/>
        </w:rPr>
        <w:t xml:space="preserve">ή </w:t>
      </w:r>
    </w:p>
    <w:p>
      <w:pPr>
        <w:pStyle w:val="Normal"/>
        <w:rPr>
          <w:color w:val="000000"/>
          <w:lang w:val="el-GR"/>
        </w:rPr>
      </w:pPr>
      <w:r>
        <w:rPr>
          <w:color w:val="000000"/>
          <w:lang w:val="el-GR"/>
        </w:rPr>
        <w:t xml:space="preserve">(β) δεκαπέντε (15) ημέρες από την κοινοποίηση της προσβαλλόμενης πράξης σε αυτόν αν χρησιμοποιήθηκαν άλλα μέσα επικοινωνίας, άλλως  </w:t>
      </w:r>
    </w:p>
    <w:p>
      <w:pPr>
        <w:pStyle w:val="Normal"/>
        <w:rPr>
          <w:color w:val="000000"/>
          <w:lang w:val="el-GR"/>
        </w:rPr>
      </w:pPr>
      <w:r>
        <w:rPr>
          <w:color w:val="000000"/>
          <w:lang w:val="el-GR"/>
        </w:rPr>
        <w:t>(γ) δέκα (10) ημέρες από την πλήρη, πραγματική ή τεκμαιρόμενη, γνώση της πράξης που βλάπτει τα συμφέροντα του ενδιαφερόμενου οικονομικού φορέα. Ειδικά για την άσκηση προσφυγής κατά προκήρυξης, η πλήρης γνώση αυτής τεκμαίρεται μετά την πάροδο δεκαπέντε (15) ημερών από τη δημοσίευση στο ΚΗΜΔΗΣ.</w:t>
      </w:r>
    </w:p>
    <w:p>
      <w:pPr>
        <w:pStyle w:val="Normal"/>
        <w:rPr>
          <w:color w:val="000000"/>
          <w:lang w:val="el-GR"/>
        </w:rPr>
      </w:pPr>
      <w:r>
        <w:rPr>
          <w:color w:val="000000"/>
          <w:lang w:val="el-GR"/>
        </w:rPr>
        <w:t>Σε περίπτωση παράλειψης που αποδίδεται στην αναθέτουσα αρχή, η προθεσμία για την άσκηση της προδικαστικής προσφυγής είναι δεκαπέντε (15) ημέρες από την επομένη της συντέλεσης της προσβαλλόμενης παράλειψης</w:t>
      </w:r>
      <w:r>
        <w:rPr>
          <w:rStyle w:val="Style19"/>
          <w:color w:val="000000"/>
          <w:lang w:val="el-GR"/>
        </w:rPr>
        <w:footnoteReference w:id="140"/>
      </w:r>
      <w:r>
        <w:rPr>
          <w:color w:val="000000"/>
          <w:lang w:val="el-GR"/>
        </w:rPr>
        <w:t xml:space="preserve"> .</w:t>
      </w:r>
    </w:p>
    <w:p>
      <w:pPr>
        <w:pStyle w:val="Normal"/>
        <w:rPr>
          <w:color w:val="000000"/>
          <w:lang w:val="el-GR"/>
        </w:rPr>
      </w:pPr>
      <w:r>
        <w:rPr>
          <w:color w:val="000000"/>
          <w:lang w:val="el-GR"/>
        </w:rPr>
        <w:t>Οι προθεσμίες ως προς την υποβολή των προδικαστικών προσφυγών και των παρεμβάσεων αρχίζουν την επομένη της ημέρας της προαναφερθείσας κατά περίπτωση κοινοποίησης ή γνώσης και λήγουν όταν περάσει ολόκληρη η τελευταία ημέρα και ώρα 23:59:59 και, αν αυτή είναι εξαιρετέα ή Σάββατο, όταν περάσει ολόκληρη η επόμενη εργάσιμη ημέρα και ώρα 23:59:59</w:t>
      </w:r>
      <w:r>
        <w:rPr>
          <w:rStyle w:val="Style19"/>
          <w:color w:val="000000"/>
          <w:lang w:val="el-GR"/>
        </w:rPr>
        <w:footnoteReference w:id="141"/>
      </w:r>
      <w:r>
        <w:rPr>
          <w:color w:val="000000"/>
          <w:lang w:val="el-GR"/>
        </w:rPr>
        <w:t>.</w:t>
      </w:r>
    </w:p>
    <w:p>
      <w:pPr>
        <w:pStyle w:val="Normal"/>
        <w:rPr>
          <w:color w:val="000000"/>
          <w:lang w:val="el-GR"/>
        </w:rPr>
      </w:pPr>
      <w:r>
        <w:rPr>
          <w:color w:val="000000"/>
          <w:lang w:val="el-GR"/>
        </w:rPr>
        <w:t>Η προδικαστική προσφυγή συντάσσεται υποχρεωτικά με τη χρήση του τυποποιημένου εντύπου του Παραρτήματος Ι του π.δ/τος 39/2017 και κατατίθεται ηλεκτρονικά μέσω της λειτουργικότητας «Επικοινωνία» στην ηλεκτρονική περιοχή του συγκεκριμένου διαγωνισμού, επιλέγοντας την ένδειξη «Προδικαστική Προσφυγή»</w:t>
      </w:r>
      <w:r>
        <w:rPr>
          <w:lang w:val="el-GR"/>
        </w:rPr>
        <w:t xml:space="preserve"> </w:t>
      </w:r>
      <w:r>
        <w:rPr>
          <w:color w:val="000000"/>
          <w:lang w:val="el-GR"/>
        </w:rPr>
        <w:t>σύμφωνα με το άρθρο 18 της Κ.Υ.Α. Προμήθειες και Υπηρεσίες.</w:t>
      </w:r>
    </w:p>
    <w:p>
      <w:pPr>
        <w:pStyle w:val="Normal"/>
        <w:rPr>
          <w:color w:val="000000"/>
          <w:lang w:val="el-GR"/>
        </w:rPr>
      </w:pPr>
      <w:r>
        <w:rPr>
          <w:color w:val="000000"/>
          <w:lang w:val="el-GR"/>
        </w:rPr>
        <w:t xml:space="preserve">Για το παραδεκτό της άσκησης της προδικαστικής προσφυγής κατατίθεται παράβολο από τον προσφεύγοντα υπέρ του Ελληνικού Δημοσίου, σύμφωνα με όσα ορίζονται στο άρθρο 363 του  ν. 4412/2016. Η επιστροφή του παραβόλου στον προσφεύγοντα γίνεται: α) σε περίπτωση ολικής ή μερικής αποδοχής της προσφυγής του, β) όταν η αναθέτουσα αρχή ανακαλεί την προσβαλλόμενη πράξη ή προβαίνει στην οφειλόμενη ενέργεια πριν από την έκδοση της απόφασης της Ε.Α.ΔΗ.ΣΥ επί της προσφυγής, γ) σε περίπτωση παραίτησης του προσφεύγοντος από την προσφυγή του έως και δέκα (10) ημέρες από την κατάθεση της προσφυγής. </w:t>
      </w:r>
    </w:p>
    <w:p>
      <w:pPr>
        <w:pStyle w:val="Normal"/>
        <w:rPr>
          <w:color w:val="000000"/>
          <w:lang w:val="el-GR"/>
        </w:rPr>
      </w:pPr>
      <w:r>
        <w:rPr>
          <w:color w:val="000000"/>
          <w:lang w:val="el-GR"/>
        </w:rPr>
        <w:t xml:space="preserve">Η προθεσμία για την άσκηση της προδικαστικής προσφυγής και η άσκησή της κωλύουν τη σύναψη της σύμβασης επί ποινή ακυρότητας, η οποία διαπιστώνεται με απόφαση της  Ε.Α.ΔΗ.ΣΥ. μετά από άσκηση προδικαστικής προσφυγής, σύμφωνα με τα άρθρα 368 του ν. 4412/2016 και 20 του  π.δ. 39/2017. Όμως, μόνη η άσκηση της προδικαστικής προσφυγής δεν κωλύει την πρόοδο της διαγωνιστικής διαδικασίας, υπό την επιφύλαξη χορήγησης από το Κλιμάκιο  μέτρων προσωρινής προστασίας, σύμφωνα με τα άρθρα 366 παρ. 1-2 ν. 4412/2016 και 15 παρ. 1-4 του  π.δ. 39/2017. </w:t>
      </w:r>
    </w:p>
    <w:p>
      <w:pPr>
        <w:pStyle w:val="Normal"/>
        <w:rPr>
          <w:color w:val="000000"/>
          <w:lang w:val="el-GR"/>
        </w:rPr>
      </w:pPr>
      <w:r>
        <w:rPr>
          <w:color w:val="000000"/>
          <w:lang w:val="el-GR"/>
        </w:rPr>
        <w:t>Η προηγούμενη παράγραφος δεν εφαρμόζεται στην περίπτωση που, κατά τη διαδικασία σύναψης της παρούσας σύμβασης, υποβληθεί μόνο μία (1) προσφορά.</w:t>
      </w:r>
    </w:p>
    <w:p>
      <w:pPr>
        <w:pStyle w:val="Normal"/>
        <w:rPr>
          <w:color w:val="000000"/>
          <w:lang w:val="el-GR"/>
        </w:rPr>
      </w:pPr>
      <w:r>
        <w:rPr>
          <w:color w:val="000000"/>
          <w:lang w:val="el-GR"/>
        </w:rPr>
        <w:t>Μετά την, κατά τα ως άνω, ηλεκτρονική κατάθεση της προδικαστικής προσφυγής η αναθέτουσα αρχή,</w:t>
      </w:r>
      <w:r>
        <w:rPr>
          <w:lang w:val="el-GR"/>
        </w:rPr>
        <w:t xml:space="preserve"> </w:t>
      </w:r>
      <w:r>
        <w:rPr>
          <w:color w:val="000000"/>
          <w:lang w:val="el-GR"/>
        </w:rPr>
        <w:t xml:space="preserve"> μέσω της λειτουργίας «Επικοινωνία»: </w:t>
      </w:r>
    </w:p>
    <w:p>
      <w:pPr>
        <w:pStyle w:val="Normal"/>
        <w:rPr>
          <w:color w:val="000000"/>
          <w:lang w:val="el-GR"/>
        </w:rPr>
      </w:pPr>
      <w:r>
        <w:rPr>
          <w:color w:val="000000"/>
          <w:lang w:val="el-GR"/>
        </w:rPr>
        <w:t>α) Κοινοποιεί την προσφυγή το αργότερο έως την επόμενη εργάσιμη ημέρα από την κατάθεσή της σε κάθε ενδιαφερόμενο τρίτο, ο οποίος μπορεί να θίγεται από την αποδοχή της προσφυγής, προκειμένου να ασκήσει το, προβλεπόμενο από τα άρθρα 362 παρ. 3 και 7 του  π.δ. 39/2017, δικαίωμα παρέμβασής του στη διαδικασία εξέτασης της προσφυγής, για τη διατήρηση της ισχύος της προσβαλλόμενης πράξης, προσκομίζοντας όλα τα κρίσιμα έγγραφα που έχει στη διάθεσή του.</w:t>
      </w:r>
    </w:p>
    <w:p>
      <w:pPr>
        <w:pStyle w:val="Normal"/>
        <w:rPr>
          <w:color w:val="000000"/>
          <w:lang w:val="el-GR"/>
        </w:rPr>
      </w:pPr>
      <w:r>
        <w:rPr>
          <w:color w:val="000000"/>
          <w:lang w:val="el-GR"/>
        </w:rPr>
        <w:t>β) Διαβιβάζει στην Ε.Α.ΔΗ.ΣΥ., το αργότερο εντός δεκαπέντε (15) ημερών από την ημέρα κατάθεσης, τον πλήρη φάκελο της υπόθεσης, τα αποδεικτικά κοινοποίησης στους ενδιαφερόμενους τρίτους αλλά και την Έκθεση Απόψεών της επί της προσφυγής. Στην Έκθεση Απόψεων η αναθέτουσα αρχή μπορεί να παραθέσει αρχική ή συμπληρωματική αιτιολογία για την υποστήριξη της προσβαλλόμενης με την προδικαστική προσφυγή πράξης.</w:t>
      </w:r>
    </w:p>
    <w:p>
      <w:pPr>
        <w:pStyle w:val="Normal"/>
        <w:rPr>
          <w:color w:val="000000"/>
          <w:lang w:val="el-GR"/>
        </w:rPr>
      </w:pPr>
      <w:r>
        <w:rPr>
          <w:color w:val="000000"/>
          <w:lang w:val="el-GR"/>
        </w:rPr>
        <w:t>γ) Κοινοποιεί σε όλα τα μέρη την Έκθεση Απόψεων, τις Παρεμβάσεις και τα σχετικά έγγραφα που τυχόν τη συνοδεύουν, μέσω του ηλεκτρονικού τόπου του διαγωνισμού το αργότερο έως την επόμενη εργάσιμη ημέρα από την κατάθεσή τους.</w:t>
      </w:r>
    </w:p>
    <w:p>
      <w:pPr>
        <w:pStyle w:val="Normal"/>
        <w:rPr>
          <w:color w:val="000000"/>
          <w:lang w:val="el-GR"/>
        </w:rPr>
      </w:pPr>
      <w:r>
        <w:rPr>
          <w:color w:val="000000"/>
          <w:lang w:val="el-GR"/>
        </w:rPr>
        <w:t>δ)Συμπληρωματικά υπομνήματα κατατίθενται από οποιοδήποτε από τα μέρη μέσω της πλατφόρμας του ΕΣΗΔΗΣ, το αργότερο εντός πέντε (5) ημερών από την κοινοποίηση των απόψεων της αναθέτουσας αρχής.</w:t>
      </w:r>
    </w:p>
    <w:p>
      <w:pPr>
        <w:pStyle w:val="Normal"/>
        <w:rPr>
          <w:color w:val="000000"/>
          <w:lang w:val="el-GR"/>
        </w:rPr>
      </w:pPr>
      <w:r>
        <w:rPr>
          <w:color w:val="000000"/>
          <w:lang w:val="el-GR"/>
        </w:rPr>
        <w:t>Η άσκηση της προδικαστικής προσφυγής αποτελεί προϋπόθεση για την άσκηση των ένδικων βοηθημάτων της αίτησης αναστολής και  ακύρωσης του άρθρου 372  του ν. 4412/2016 κατά των εκτελεστών πράξεων ή παραλείψεων της αναθέτουσας αρχής .</w:t>
      </w:r>
    </w:p>
    <w:p>
      <w:pPr>
        <w:pStyle w:val="Normal"/>
        <w:rPr>
          <w:color w:val="000000"/>
          <w:lang w:val="el-GR"/>
        </w:rPr>
      </w:pPr>
      <w:r>
        <w:rPr>
          <w:color w:val="000000"/>
          <w:lang w:val="el-GR"/>
        </w:rPr>
      </w:r>
    </w:p>
    <w:p>
      <w:pPr>
        <w:pStyle w:val="Normal"/>
        <w:widowControl w:val="false"/>
        <w:suppressAutoHyphens w:val="false"/>
        <w:spacing w:lineRule="atLeast" w:line="240" w:before="120" w:after="120"/>
        <w:textAlignment w:val="baseline"/>
        <w:rPr>
          <w:color w:val="000000"/>
          <w:lang w:val="el-GR"/>
        </w:rPr>
      </w:pPr>
      <w:r>
        <w:rPr>
          <w:b/>
          <w:color w:val="000000"/>
          <w:lang w:val="el-GR"/>
        </w:rPr>
        <w:t>Β.</w:t>
      </w:r>
      <w:r>
        <w:rPr>
          <w:color w:val="000000"/>
          <w:lang w:val="el-GR"/>
        </w:rPr>
        <w:t xml:space="preserve"> Όποιος έχει έννομο συμφέρον μπορεί να ζητήσει, με το ίδιο δικόγραφο εφαρμοζόμενων αναλογικά των διατάξεων του π.δ. 18/1989, την αναστολή εκτέλεσης της απόφασης της  Ε.Α.ΔΗ.ΣΥ. και την ακύρωσή της ενώπιον του αρμόδιου Διοικητικού Δικαστηρίου </w:t>
      </w:r>
      <w:r>
        <w:rPr>
          <w:rStyle w:val="Style19"/>
          <w:lang w:val="el-GR"/>
        </w:rPr>
        <w:footnoteReference w:id="142"/>
      </w:r>
      <w:r>
        <w:rPr>
          <w:lang w:val="el-GR"/>
        </w:rPr>
        <w:t>.</w:t>
      </w:r>
      <w:r>
        <w:rPr>
          <w:color w:val="000000"/>
          <w:lang w:val="el-GR"/>
        </w:rPr>
        <w:t xml:space="preserve"> Το αυτό ισχύει και σε περίπτωση σιωπηρής απόρριψης της προδικαστικής προσφυγής από την Ε.Α.ΔΗ.ΣΥ. Δικαίωμα άσκησης του ως άνω ένδικου βοηθήματος έχει και η αναθέτουσα αρχή, αν η Ε.Α.ΔΗ.ΣΥ. κάνει δεκτή την προδικαστική προσφυγή, αλλά και αυτός του οποίου έχει γίνει εν μέρει δεκτή η προδικαστική προσφυγή.</w:t>
      </w:r>
    </w:p>
    <w:p>
      <w:pPr>
        <w:pStyle w:val="Normal"/>
        <w:widowControl w:val="false"/>
        <w:spacing w:lineRule="atLeast" w:line="240" w:before="120" w:after="120"/>
        <w:textAlignment w:val="baseline"/>
        <w:rPr>
          <w:color w:val="000000"/>
          <w:lang w:val="el-GR"/>
        </w:rPr>
      </w:pPr>
      <w:r>
        <w:rPr>
          <w:color w:val="000000"/>
          <w:lang w:val="el-GR"/>
        </w:rPr>
        <w:t>Με την απόφαση της Ε.Α.ΔΗ.ΣΥ. λογίζονται ως συμπροσβαλλόμενες και όλες οι συναφείς προς την ανωτέρω απόφαση πράξεις ή παραλείψεις της αναθέτουσας αρχής, εφόσον έχουν εκδοθεί ή συντελεστεί αντιστοίχως έως τη συζήτηση της ως άνω αίτησης στο Δικαστήριο.</w:t>
      </w:r>
    </w:p>
    <w:p>
      <w:pPr>
        <w:pStyle w:val="Normal"/>
        <w:widowControl w:val="false"/>
        <w:spacing w:lineRule="atLeast" w:line="240" w:before="120" w:after="120"/>
        <w:textAlignment w:val="baseline"/>
        <w:rPr>
          <w:color w:val="000000"/>
          <w:lang w:val="el-GR"/>
        </w:rPr>
      </w:pPr>
      <w:r>
        <w:rPr>
          <w:color w:val="000000"/>
          <w:lang w:val="el-GR"/>
        </w:rPr>
        <w:t>Η αίτηση αναστολής και ακύρωσης περιλαμβάνει μόνο αιτιάσεις που είχαν προταθεί με την προδικαστική προσφυγή ή αφορούν στη διαδικασία ενώπιον της Ε.Α.ΔΗ.ΣΥ. ή το περιεχόμενο των αποφάσεών της. Η αναθέτουσα αρχή, εφόσον ασκήσει την αίτηση της παρ. 1 του άρθρου 372 του ν. 4412/2016, μπορεί να προβάλει και οψιγενείς ισχυρισμούς αναφορικά με τους επιτακτικούς λόγους δημοσίου συμφέροντος, οι οποίοι καθιστούν αναγκαία την άμεση ανάθεση της σύμβασης.</w:t>
      </w:r>
      <w:r>
        <w:rPr>
          <w:rStyle w:val="Style19"/>
          <w:color w:val="000000"/>
          <w:lang w:val="el-GR"/>
        </w:rPr>
        <w:footnoteReference w:id="143"/>
      </w:r>
    </w:p>
    <w:p>
      <w:pPr>
        <w:pStyle w:val="Normal"/>
        <w:widowControl w:val="false"/>
        <w:tabs>
          <w:tab w:val="left" w:pos="720" w:leader="none"/>
        </w:tabs>
        <w:spacing w:lineRule="atLeast" w:line="240" w:before="120" w:after="120"/>
        <w:textAlignment w:val="baseline"/>
        <w:rPr>
          <w:color w:val="000000"/>
          <w:lang w:val="el-GR"/>
        </w:rPr>
      </w:pPr>
      <w:r>
        <w:rPr>
          <w:color w:val="000000"/>
          <w:lang w:val="el-GR"/>
        </w:rPr>
        <w:t>Η ως άνω αίτηση κατατίθεται στο  αρμόδιο δικαστήριο μέσα σε προθεσμία δέκα (10) ημερών από την  κοινοποίηση ή την πλήρη γνώση της απόφασης ή από την παρέλευση της προθεσμίας για την έκδοση της απόφασης επί της προδικαστικής προσφυγής, ενώ η δικάσιμος για την εκδίκαση της αίτησης  δεν πρέπει να απέχει πέραν των εξήντα (60) ημερών από την κατάθεση του δικογράφου.</w:t>
      </w:r>
      <w:r>
        <w:rPr>
          <w:rStyle w:val="Style19"/>
          <w:color w:val="000000"/>
          <w:lang w:val="el-GR"/>
        </w:rPr>
        <w:footnoteReference w:id="144"/>
      </w:r>
    </w:p>
    <w:p>
      <w:pPr>
        <w:pStyle w:val="Normal"/>
        <w:widowControl w:val="false"/>
        <w:tabs>
          <w:tab w:val="left" w:pos="720" w:leader="none"/>
        </w:tabs>
        <w:spacing w:lineRule="atLeast" w:line="240" w:before="120" w:after="120"/>
        <w:textAlignment w:val="baseline"/>
        <w:rPr>
          <w:color w:val="000000"/>
          <w:lang w:val="el-GR"/>
        </w:rPr>
      </w:pPr>
      <w:r>
        <w:rPr>
          <w:color w:val="000000"/>
          <w:lang w:val="el-GR"/>
        </w:rPr>
        <w:t>Αντίγραφο της αίτησης με κλήση κοινοποιείται με τη φροντίδα του αιτούντος προς την Ε.Α.ΔΗ.ΣΥ., την αναθέτουσα αρχή, αν δεν έχει ασκήσει αυτή την αίτηση, και προς κάθε τρίτο ενδιαφερόμενο, την κλήτευση του οποίου διατάσσει με πράξη του ο Πρόεδρος ή ο προεδρεύων του αρμόδιου Δικαστηρίου ή Τμήματος έως την επόμενη ημέρα από την κατάθεση της αίτησης. Ο αιτών υποχρεούται, επί ποινή απαραδέκτου του ενδίκου βοηθήματος, να προβεί στις παραπάνω κοινοποιήσεις εντός αποκλειστικής προθεσμίας δύο (2) ημερών από την έκδοση και την παραλαβή της ως άνω πράξης του Δικαστηρίου. Εντός αποκλειστικής προθεσμίας δέκα (10) ημερών από την ως άνω κοινοποίηση της αίτησης κατατίθεται η παρέμβαση και διαβιβάζονται ο φάκελος και οι απόψεις των παθητικώς νομιμοποιούμενων. Εντός της ίδιας προθεσμίας κατατίθενται στο Δικαστήριο και τα στοιχεία που υποστηρίζουν τους ισχυρισμούς των διαδίκων.</w:t>
      </w:r>
    </w:p>
    <w:p>
      <w:pPr>
        <w:pStyle w:val="Normal"/>
        <w:widowControl w:val="false"/>
        <w:tabs>
          <w:tab w:val="left" w:pos="720" w:leader="none"/>
        </w:tabs>
        <w:spacing w:lineRule="atLeast" w:line="240" w:before="120" w:after="120"/>
        <w:textAlignment w:val="baseline"/>
        <w:rPr>
          <w:color w:val="000000"/>
          <w:lang w:val="el-GR"/>
        </w:rPr>
      </w:pPr>
      <w:r>
        <w:rPr>
          <w:color w:val="000000"/>
          <w:lang w:val="el-GR"/>
        </w:rPr>
        <w:t>Επιπρόσθετα, η παρέμβαση κοινοποιείται με επιμέλεια του παρεμβαίνοντος στα λοιπά μέρη της δίκης εντός δύο (2) ημερών από την κατάθεσή της, αλλιώς λογίζεται ως απαράδεκτη. Το διατακτικό της δικαστικής απόφασης εκδίδεται εντός δεκαπέντε (15) ημερών από τη συζήτηση της αίτησης ή από την προθεσμία για την υποβολή υπομνημάτων.</w:t>
      </w:r>
    </w:p>
    <w:p>
      <w:pPr>
        <w:pStyle w:val="Normal"/>
        <w:widowControl w:val="false"/>
        <w:tabs>
          <w:tab w:val="left" w:pos="720" w:leader="none"/>
        </w:tabs>
        <w:spacing w:lineRule="atLeast" w:line="240" w:before="120" w:after="120"/>
        <w:textAlignment w:val="baseline"/>
        <w:rPr>
          <w:color w:val="000000"/>
          <w:lang w:val="el-GR"/>
        </w:rPr>
      </w:pPr>
      <w:r>
        <w:rPr>
          <w:color w:val="000000"/>
          <w:lang w:val="el-GR"/>
        </w:rPr>
        <w:t>Η προθεσμία για την άσκηση και η άσκηση της αίτησης ενώπιον του αρμόδιου δικαστηρίου κωλύουν τη σύναψη της σύμβασης μέχρι την έκδοση της οριστικής δικαστικής απόφασης, εκτός εάν με προσωρινή διαταγή ο αρμόδιος δικαστής αποφανθεί διαφορετικά. Επίσης, η προθεσμία για την άσκηση και η άσκηση της αίτησης κωλύουν την πρόοδο της διαδικασίας ανάθεσης για χρονικό διάστημα δεκαπέντε (15) ημερών από την άσκηση της αίτησης, εκτός εάν με την προσωρινή διαταγή ο αρμόδιος δικαστής αποφανθεί διαφορετικά.</w:t>
      </w:r>
      <w:r>
        <w:rPr>
          <w:rStyle w:val="Style19"/>
          <w:color w:val="000000"/>
          <w:lang w:val="el-GR"/>
        </w:rPr>
        <w:footnoteReference w:id="145"/>
      </w:r>
      <w:r>
        <w:rPr>
          <w:color w:val="000000"/>
          <w:lang w:val="el-GR"/>
        </w:rPr>
        <w:t xml:space="preserve"> Για την άσκηση της αίτησης  κατατίθεται παράβολο, σύμφωνα με τα ειδικότερα οριζόμενα στο άρθρο 372 παρ. 5 του ν. 4412/2016.  </w:t>
      </w:r>
    </w:p>
    <w:p>
      <w:pPr>
        <w:pStyle w:val="Normal"/>
        <w:widowControl w:val="false"/>
        <w:spacing w:lineRule="atLeast" w:line="240" w:before="120" w:after="120"/>
        <w:textAlignment w:val="baseline"/>
        <w:rPr>
          <w:color w:val="000000"/>
          <w:lang w:val="el-GR"/>
        </w:rPr>
      </w:pPr>
      <w:r>
        <w:rPr>
          <w:color w:val="000000"/>
          <w:lang w:val="el-GR"/>
        </w:rPr>
        <w:t xml:space="preserve">Αν ο ενδιαφερόμενος δεν αιτήθηκε ή αιτήθηκε ανεπιτυχώς την αναστολή και η σύμβαση υπογράφηκε και η εκτέλεσή της ολοκληρώθηκε πριν από τη συζήτηση της αίτησης, εφαρμόζεται αναλόγως η παρ. 2 του άρθρου 32 του π.δ. 18/1989. </w:t>
      </w:r>
    </w:p>
    <w:p>
      <w:pPr>
        <w:pStyle w:val="Normal"/>
        <w:widowControl w:val="false"/>
        <w:spacing w:lineRule="atLeast" w:line="240" w:before="120" w:after="120"/>
        <w:textAlignment w:val="baseline"/>
        <w:rPr>
          <w:color w:val="000000"/>
          <w:lang w:val="el-GR"/>
        </w:rPr>
      </w:pPr>
      <w:r>
        <w:rPr>
          <w:color w:val="000000"/>
          <w:lang w:val="el-GR"/>
        </w:rPr>
        <w:t>Αν το Δικαστήριο ακυρώσει πράξη ή παράλειψη της αναθέτουσας αρχής μετά τη σύναψη της σύμβασης, το κύρος της τελευταίας δεν θίγεται, εκτός αν πριν από τη σύναψη αυτής είχε ανασταλεί η διαδικασία σύναψης της σύμβασης. Στην περίπτωση που η σύμβαση δεν είναι άκυρη, ο ενδιαφερόμενος δικαιούται να αξιώσει αποζημίωση, σύμφωνα με τα αναφερόμενα στο άρθρο 373 του ν. 4412/2016.</w:t>
      </w:r>
    </w:p>
    <w:p>
      <w:pPr>
        <w:pStyle w:val="Normal"/>
        <w:widowControl w:val="false"/>
        <w:tabs>
          <w:tab w:val="clear" w:pos="720"/>
          <w:tab w:val="left" w:pos="1021" w:leader="none"/>
          <w:tab w:val="left" w:pos="1276" w:leader="none"/>
          <w:tab w:val="left" w:pos="1588" w:leader="none"/>
          <w:tab w:val="left" w:pos="2155" w:leader="none"/>
          <w:tab w:val="left" w:pos="2722" w:leader="none"/>
          <w:tab w:val="left" w:pos="3289" w:leader="none"/>
        </w:tabs>
        <w:spacing w:before="0" w:after="0"/>
        <w:rPr>
          <w:color w:val="000000"/>
          <w:lang w:val="el-GR"/>
        </w:rPr>
      </w:pPr>
      <w:r>
        <w:rPr>
          <w:color w:val="000000"/>
          <w:lang w:val="el-GR"/>
        </w:rPr>
        <w:t>Με την επιφύλαξη των διατάξεων του ν. 4412/2016, για την εκδίκαση των διαφορών του παρόντος άρθρου εφαρμόζονται οι διατάξεις του π.δ. 18/1989.</w:t>
      </w:r>
    </w:p>
    <w:p>
      <w:pPr>
        <w:pStyle w:val="Normal"/>
        <w:widowControl w:val="false"/>
        <w:tabs>
          <w:tab w:val="clear" w:pos="720"/>
          <w:tab w:val="left" w:pos="1021" w:leader="none"/>
          <w:tab w:val="left" w:pos="1276" w:leader="none"/>
          <w:tab w:val="left" w:pos="1588" w:leader="none"/>
          <w:tab w:val="left" w:pos="2155" w:leader="none"/>
          <w:tab w:val="left" w:pos="2722" w:leader="none"/>
          <w:tab w:val="left" w:pos="3289" w:leader="none"/>
        </w:tabs>
        <w:spacing w:before="0" w:after="0"/>
        <w:rPr>
          <w:color w:val="000000"/>
          <w:lang w:val="el-GR"/>
        </w:rPr>
      </w:pPr>
      <w:r>
        <w:rPr>
          <w:color w:val="000000"/>
          <w:lang w:val="el-GR"/>
        </w:rPr>
      </w:r>
    </w:p>
    <w:p>
      <w:pPr>
        <w:pStyle w:val="Normal"/>
        <w:widowControl w:val="false"/>
        <w:tabs>
          <w:tab w:val="clear" w:pos="720"/>
          <w:tab w:val="left" w:pos="1021" w:leader="none"/>
          <w:tab w:val="left" w:pos="1276" w:leader="none"/>
          <w:tab w:val="left" w:pos="1588" w:leader="none"/>
          <w:tab w:val="left" w:pos="2155" w:leader="none"/>
          <w:tab w:val="left" w:pos="2722" w:leader="none"/>
          <w:tab w:val="left" w:pos="3289" w:leader="none"/>
        </w:tabs>
        <w:spacing w:before="0" w:after="0"/>
        <w:rPr>
          <w:color w:val="000000"/>
          <w:lang w:val="el-GR"/>
        </w:rPr>
      </w:pPr>
      <w:r>
        <w:rPr>
          <w:b/>
          <w:color w:val="000000"/>
          <w:lang w:val="el-GR"/>
        </w:rPr>
        <w:t>Γ.</w:t>
      </w:r>
      <w:r>
        <w:rPr>
          <w:b/>
          <w:lang w:val="el-GR"/>
        </w:rPr>
        <w:t xml:space="preserve"> Οι προθεσμίες</w:t>
      </w:r>
      <w:r>
        <w:rPr>
          <w:lang w:val="el-GR"/>
        </w:rPr>
        <w:t xml:space="preserve"> </w:t>
      </w:r>
      <w:bookmarkStart w:id="52" w:name="_GoBack"/>
      <w:r>
        <w:rPr>
          <w:b/>
          <w:lang w:val="el-GR"/>
        </w:rPr>
        <w:t xml:space="preserve">των άρθρων 365, 366 και </w:t>
      </w:r>
      <w:bookmarkEnd w:id="52"/>
      <w:r>
        <w:rPr>
          <w:b/>
          <w:lang w:val="el-GR"/>
        </w:rPr>
        <w:t>367</w:t>
      </w:r>
      <w:r>
        <w:rPr>
          <w:lang w:val="el-GR"/>
        </w:rPr>
        <w:t xml:space="preserve"> του ν. 4412/2016 για την εξέταση των προδικαστικών προσφυγών και την έκδοση της απόφασης της ΕΑΔΗΣΥ, </w:t>
      </w:r>
      <w:r>
        <w:rPr>
          <w:b/>
          <w:lang w:val="el-GR"/>
        </w:rPr>
        <w:t>αναστέλλονται</w:t>
      </w:r>
      <w:r>
        <w:rPr>
          <w:lang w:val="el-GR"/>
        </w:rPr>
        <w:t xml:space="preserve"> κατά το διάστημα </w:t>
      </w:r>
      <w:r>
        <w:rPr>
          <w:b/>
          <w:lang w:val="el-GR"/>
        </w:rPr>
        <w:t>από 1η μέχρι και 31 Αυγούστου 2023.</w:t>
      </w:r>
      <w:r>
        <w:rPr>
          <w:lang w:val="el-GR"/>
        </w:rPr>
        <w:t xml:space="preserve"> Κατά το χρονικό διάστημα της αναστολής οι προδικαστικές προσφυγές, τα αιτήματα αναστολής της διαγωνιστικής διαδικασίας και τα αιτήματα λήψης προσωρινών μέτρων που αφορούν κατεπείγουσες περιπτώσεις για λόγους δημοσίου συμφέροντος ή διαγωνιστικές διαδικασίες που αφορούν σε συμβάσεις προμηθειών, που χρηματοδοτούνται, εν όλω ή εν μέρει, από το Ταμείο Ανάκαμψης και Ανθεκτικότητας, εξετάζονται από Κλιμάκια Διακοπών της ΕΑΔΗΣΥ, τα οποία ορίζονται με απόφαση του Εκτελεστικού Συμβουλίου της.</w:t>
      </w:r>
      <w:r>
        <w:rPr>
          <w:rStyle w:val="Style19"/>
          <w:lang w:val="el-GR"/>
        </w:rPr>
        <w:footnoteReference w:id="146"/>
      </w:r>
    </w:p>
    <w:p>
      <w:pPr>
        <w:pStyle w:val="Normal"/>
        <w:rPr>
          <w:color w:val="000000"/>
          <w:lang w:val="el-GR"/>
        </w:rPr>
      </w:pPr>
      <w:r>
        <w:rPr>
          <w:color w:val="000000"/>
          <w:lang w:val="el-GR"/>
        </w:rPr>
      </w:r>
    </w:p>
    <w:p>
      <w:pPr>
        <w:pStyle w:val="2"/>
        <w:rPr>
          <w:lang w:val="el-GR"/>
        </w:rPr>
      </w:pPr>
      <w:bookmarkStart w:id="53" w:name="_Toc129004442"/>
      <w:r>
        <w:rPr>
          <w:szCs w:val="24"/>
          <w:lang w:val="el-GR"/>
        </w:rPr>
        <w:t>3.5</w:t>
        <w:tab/>
        <w:t>Ματαίωση</w:t>
      </w:r>
      <w:r>
        <w:rPr>
          <w:lang w:val="el-GR"/>
        </w:rPr>
        <w:t xml:space="preserve"> Διαδικασίας</w:t>
      </w:r>
      <w:bookmarkEnd w:id="53"/>
    </w:p>
    <w:p>
      <w:pPr>
        <w:pStyle w:val="Normal"/>
        <w:rPr>
          <w:lang w:val="el-GR"/>
        </w:rPr>
      </w:pPr>
      <w:r>
        <w:rPr>
          <w:lang w:val="el-GR"/>
        </w:rPr>
        <w:t xml:space="preserve">Η αναθέτουσα αρχή ματαιώνει ή δύναται να ματαιώσει εν όλω ή εν μέρει, αιτιολογημένα, τη διαδικασία ανάθεσης, για τους λόγους και υπό τους όρους του άρθρου 106 του ν. 4412/2016, μετά από γνώμη της αρμόδιας Επιτροπής του Διαγωνισμού. Επίσης, αν διαπιστωθούν σφάλματα ή παραλείψεις σε οποιοδήποτε στάδιο της διαδικασίας ανάθεσης, μπορεί, μετά από γνώμη της ως άνω Επιτροπής, να ακυρώσει μερικώς τη διαδικασία ή να αναμορφώσει ανάλογα το αποτέλεσμά της ή να αποφασίσει την επανάληψή της από το σημείο που εμφιλοχώρησε το σφάλμα ή η παράλειψη. </w:t>
      </w:r>
    </w:p>
    <w:p>
      <w:pPr>
        <w:pStyle w:val="Normal"/>
        <w:rPr>
          <w:lang w:val="el-GR"/>
        </w:rPr>
      </w:pPr>
      <w:r>
        <w:rPr>
          <w:lang w:val="el-GR"/>
        </w:rPr>
        <w:t>Ειδικότερα, η αναθέτουσα αρχή ματαιώνει τη διαδικασία σύναψης όταν αυτή αποβεί άγονη είτε λόγω μη υποβολής προσφοράς είτε λόγω απόρριψης όλων των προσφορών, καθώς και στην περίπτωση του δεύτερου εδαφίου της παρ. 7 του άρθρου 105, περί κατακύρωσης και σύναψης σύμβασης.</w:t>
      </w:r>
    </w:p>
    <w:p>
      <w:pPr>
        <w:pStyle w:val="Normal"/>
        <w:rPr>
          <w:lang w:val="el-GR"/>
        </w:rPr>
      </w:pPr>
      <w:r>
        <w:rPr>
          <w:lang w:val="el-GR"/>
        </w:rPr>
        <w:t>Επίσης, μπορεί να ματαιώσει τη διαδικασία:  α) λόγω παράτυπης διεξαγωγής της διαδικασίας ανάθεσης, εκτός εάν μπορεί να θεραπεύσει το σφάλμα ή την παράλειψη σύμφωνα με την παρ. 3 του άρθρου 106 , β) αν οι οικονομικές και τεχνικές παράμετροι που σχετίζονται με τη διαδικασία ανάθεσης άλλαξαν ουσιωδώς και η εκτέλεση του συμβατικού αντικειμένου δεν ενδιαφέρει πλέον την αναθέτουσα αρχή ή τον φορέα για τον οποίο προορίζεται το υπό ανάθεση αντικείμενο, γ) αν λόγω ανωτέρας βίας, δεν είναι δυνατή η κανονική εκτέλεση της σύμβασης, δ) αν η επιλεγείσα προσφορά κριθεί ως μη συμφέρουσα από οικονομική άποψη, ε) στην περίπτωση των παρ. 3 και 4 του άρθρου 97, περί χρόνου ισχύος προσφορών, στ) για άλλους επιτακτικούς λόγους δημοσίου συμφέροντος, όπως ιδίως, δημόσιας υγείας ή προστασίας του περιβάλλοντος.</w:t>
      </w:r>
    </w:p>
    <w:p>
      <w:pPr>
        <w:pStyle w:val="Normal"/>
        <w:rPr>
          <w:lang w:val="el-GR"/>
        </w:rPr>
      </w:pPr>
      <w:r>
        <w:rPr>
          <w:lang w:val="el-GR"/>
        </w:rPr>
      </w:r>
    </w:p>
    <w:p>
      <w:pPr>
        <w:pStyle w:val="Normal"/>
        <w:rPr>
          <w:lang w:val="el-GR"/>
        </w:rPr>
      </w:pPr>
      <w:r>
        <w:rPr>
          <w:lang w:val="el-GR"/>
        </w:rPr>
      </w:r>
    </w:p>
    <w:p>
      <w:pPr>
        <w:pStyle w:val="1"/>
        <w:rPr>
          <w:lang w:val="el-GR"/>
        </w:rPr>
      </w:pPr>
      <w:bookmarkStart w:id="54" w:name="_Toc129004443"/>
      <w:r>
        <w:rPr>
          <w:lang w:val="el-GR"/>
        </w:rPr>
        <w:t>4.</w:t>
        <w:tab/>
        <w:t>ΟΡΟΙ ΕΚΤΕΛΕΣΗΣ ΤΗΣ ΣΥΜΒΑΣΗΣ</w:t>
      </w:r>
      <w:bookmarkEnd w:id="54"/>
      <w:r>
        <w:rPr>
          <w:lang w:val="el-GR"/>
        </w:rPr>
        <w:t xml:space="preserve"> </w:t>
      </w:r>
    </w:p>
    <w:p>
      <w:pPr>
        <w:pStyle w:val="2"/>
        <w:rPr>
          <w:lang w:val="el-GR"/>
        </w:rPr>
      </w:pPr>
      <w:bookmarkStart w:id="55" w:name="_Toc129004444"/>
      <w:r>
        <w:rPr>
          <w:lang w:val="el-GR"/>
        </w:rPr>
        <w:t>4.1</w:t>
        <w:tab/>
        <w:t>Εγγυήσεις  (καλής εκτέλεσης, προκαταβολής, καλής λειτουργίας)</w:t>
      </w:r>
      <w:bookmarkEnd w:id="55"/>
    </w:p>
    <w:p>
      <w:pPr>
        <w:pStyle w:val="Normal"/>
        <w:rPr>
          <w:lang w:val="el-GR"/>
        </w:rPr>
      </w:pPr>
      <w:r>
        <w:rPr>
          <w:b/>
          <w:lang w:val="el-GR"/>
        </w:rPr>
        <w:t>4.1.1</w:t>
      </w:r>
      <w:r>
        <w:rPr>
          <w:lang w:val="el-GR"/>
        </w:rPr>
        <w:t xml:space="preserve"> Εγγύηση καλής εκτέλεσης και εγγύηση προκαταβολής: </w:t>
      </w:r>
    </w:p>
    <w:p>
      <w:pPr>
        <w:pStyle w:val="Normal"/>
        <w:rPr>
          <w:lang w:val="el-GR"/>
        </w:rPr>
      </w:pPr>
      <w:r>
        <w:rPr>
          <w:lang w:val="el-GR"/>
        </w:rPr>
        <w:t xml:space="preserve">Για την υπογραφή της σύμβασης απαιτείται η παροχή εγγύησης καλής εκτέλεσης, σύμφωνα με το άρθρο 72 παρ. 4 του ν. 4412/2016, το ύψος της οποίας ανέρχεται σε ποσοστό 4% επί της εκτιμώμενης αξίας της σύμβασης ή του τμήματος της σύμβασης, χωρίς να συμπεριλαμβάνονται τα δικαιώματα προαίρεσης  και κατατίθεται μέχρι και την υπογραφή του συμφωνητικού. </w:t>
      </w:r>
    </w:p>
    <w:p>
      <w:pPr>
        <w:pStyle w:val="Normal"/>
        <w:rPr>
          <w:lang w:val="el-GR"/>
        </w:rPr>
      </w:pPr>
      <w:r>
        <w:rPr>
          <w:lang w:val="el-GR"/>
        </w:rPr>
        <w:t>Η εγγύηση καλής εκτέλεσης, προκειμένου να γίνει αποδεκτή, πρέπει να περιλαμβάνει κατ' ελάχιστον τα αναφερόμενα στην παράγραφο 2.1.5. στοιχεία της παρούσας και επιπλέον τον αριθμό και τον τίτλο της σχετικής σύμβασης .</w:t>
      </w:r>
    </w:p>
    <w:p>
      <w:pPr>
        <w:pStyle w:val="Normal"/>
        <w:rPr>
          <w:lang w:val="el-GR"/>
        </w:rPr>
      </w:pPr>
      <w:r>
        <w:rPr>
          <w:lang w:val="el-GR"/>
        </w:rPr>
        <w:t>Η εγγύηση καλής εκτέλεσης της σύμβασης καλύπτει συνολικά και χωρίς διακρίσεις την εφαρμογή όλων των όρων της σύμβασης και κάθε απαίτηση της αναθέτουσας αρχής έναντι του αναδόχου.</w:t>
      </w:r>
    </w:p>
    <w:p>
      <w:pPr>
        <w:pStyle w:val="Normal"/>
        <w:rPr>
          <w:lang w:val="el-GR"/>
        </w:rPr>
      </w:pPr>
      <w:r>
        <w:rPr>
          <w:lang w:val="el-GR"/>
        </w:rPr>
        <w:t xml:space="preserve">Σε περίπτωση τροποποίησης της σύμβασης κατά την παράγραφο 4.5, η οποία συνεπάγεται αύξηση της συμβατικής αξίας, ο ανάδοχος οφείλει να καταθέσει μέχρι την υπογραφή της τροποποιημένης σύμβασης, συμπληρωματική εγγύηση καλής εκτέλεσης, το ύψος της οποίας ανέρχεται σε ποσοστό 4% επί του ποσού της αύξησης της αξίας της σύμβασης. </w:t>
      </w:r>
    </w:p>
    <w:p>
      <w:pPr>
        <w:pStyle w:val="Normal"/>
        <w:rPr>
          <w:lang w:val="el-GR"/>
        </w:rPr>
      </w:pPr>
      <w:r>
        <w:rPr>
          <w:lang w:val="el-GR"/>
        </w:rPr>
        <w:t xml:space="preserve">Η εγγύηση καλής εκτέλεσης καταπίπτει υπέρ της αναθέτουσας αρχής στην περίπτωση παραβίασης, από τον ανάδοχο, των όρων της σύμβασης, όπως αυτή ειδικότερα ορίζει. </w:t>
      </w:r>
    </w:p>
    <w:p>
      <w:pPr>
        <w:pStyle w:val="Normal"/>
        <w:rPr>
          <w:i/>
          <w:i/>
          <w:iCs/>
          <w:color w:val="5B9BD5"/>
          <w:spacing w:val="5"/>
          <w:lang w:val="el-GR"/>
        </w:rPr>
      </w:pPr>
      <w:r>
        <w:rPr>
          <w:lang w:val="el-GR"/>
        </w:rPr>
        <w:t>Ο χρόνος ισχύος της εγγύησης καλής εκτέλεσης πρέπει να είναι μεγαλύτερος από τον συμβατικό χρόνο φόρτωσης ή παράδοσης, για διάστημα ενός (1) μήνα.</w:t>
      </w:r>
    </w:p>
    <w:p>
      <w:pPr>
        <w:pStyle w:val="Normal"/>
        <w:rPr>
          <w:lang w:val="el-GR"/>
        </w:rPr>
      </w:pPr>
      <w:r>
        <w:rPr>
          <w:lang w:val="el-GR"/>
        </w:rPr>
        <w:t xml:space="preserve"> </w:t>
      </w:r>
      <w:r>
        <w:rPr>
          <w:lang w:val="el-GR"/>
        </w:rPr>
        <w:t>Η/Οι εγγύηση/εις καλής εκτέλεσης επιστρέφεται/ονται στο σύνολό του/ς μετά από την ποσοτική και ποιοτική παραλαβή του συνόλου του αντικειμένου της σύμβασης.</w:t>
      </w:r>
    </w:p>
    <w:p>
      <w:pPr>
        <w:pStyle w:val="Normal"/>
        <w:rPr>
          <w:lang w:val="el-GR"/>
        </w:rPr>
      </w:pPr>
      <w:r>
        <w:rPr>
          <w:lang w:val="el-GR"/>
        </w:rPr>
        <w:t xml:space="preserve">Η απόσβεση της προκαταβολής πραγματοποιείται και η εγγύηση προκαταβολής επιστρέφεται μετά από την οριστική ποσοτική και ποιοτική παραλαβή των αγαθών. </w:t>
      </w:r>
    </w:p>
    <w:p>
      <w:pPr>
        <w:pStyle w:val="Normal"/>
        <w:rPr>
          <w:lang w:val="el-GR"/>
        </w:rPr>
      </w:pPr>
      <w:r>
        <w:rPr>
          <w:lang w:val="el-GR"/>
        </w:rPr>
        <w:t xml:space="preserve">Σε περίπτωση που στο πρωτόκολλο  ποιοτικής  και ποσοτικής παραλαβής αναφέρονται παρατηρήσεις ή υπάρχει εκπρόθεσμη παράδοση, η επιστροφή των εγγυήσεων καλής εκτέλεσης και προκαταβολής γίνεται μετά από την αντιμετώπιση, σύμφωνα με όσα προβλέπονται, των παρατηρήσεων και του εκπροθέσμου. </w:t>
      </w:r>
      <w:r>
        <w:rPr>
          <w:i/>
          <w:iCs/>
          <w:color w:val="5B9BD5"/>
          <w:spacing w:val="5"/>
          <w:lang w:val="el-GR"/>
        </w:rPr>
        <w:t xml:space="preserve"> </w:t>
      </w:r>
      <w:r>
        <w:rPr>
          <w:lang w:val="el-GR"/>
        </w:rPr>
        <w:t xml:space="preserve">Αν τα αγαθά είναι διαιρετά και η παράδοση γίνεται, σύμφωνα με τη σύμβαση, τμηματικά, οι εγγυήσεις καλής εκτέλεσης και προκαταβολής αποδεσμεύονται σταδιακά, κατά το ποσό που αναλογεί στην αξία του μέρους της ποσότητας των αγαθών που παραλήφθηκε οριστικά. Για τη σταδιακή αποδέσμευσή τους απαιτείται προηγούμενη γνωμοδότηση του αρμόδιου συλλογικού οργάνου. Εάν στο πρωτόκολλο παραλαβής αναφέρονται παρατηρήσεις ή υπάρχει εκπρόθεσμη παράδοση, η παραπάνω σταδιακή αποδέσμευση γίνεται μετά  την αντιμετώπιση, σύμφωνα με όσα προβλέπονται, των παρατηρήσεων και του εκπροθέσμου. </w:t>
      </w:r>
    </w:p>
    <w:p>
      <w:pPr>
        <w:pStyle w:val="Normal"/>
        <w:rPr>
          <w:lang w:val="el-GR"/>
        </w:rPr>
      </w:pPr>
      <w:r>
        <w:rPr>
          <w:b/>
          <w:lang w:val="el-GR"/>
        </w:rPr>
        <w:t xml:space="preserve"> </w:t>
      </w:r>
      <w:r>
        <w:rPr>
          <w:b/>
          <w:lang w:val="el-GR"/>
        </w:rPr>
        <w:t>4.1.2.</w:t>
      </w:r>
      <w:r>
        <w:rPr>
          <w:lang w:val="el-GR"/>
        </w:rPr>
        <w:t xml:space="preserve">  Εγγύηση καλής λειτουργίας</w:t>
      </w:r>
    </w:p>
    <w:p>
      <w:pPr>
        <w:pStyle w:val="Normal"/>
        <w:rPr>
          <w:lang w:val="el-GR"/>
        </w:rPr>
      </w:pPr>
      <w:r>
        <w:rPr>
          <w:lang w:val="el-GR"/>
        </w:rPr>
        <w:t xml:space="preserve">Απαιτείται η προσκόμιση «εγγύηση καλής λειτουργίας» για την αποκατάσταση των ελαττωμάτων που ανακύπτουν ή των ζημιών που προκαλούνται από δυσλειτουργία των αγαθών κατά την περίοδο εγγύησης καλής λειτουργίας . Το ύψος της «εγγύησης καλής λειτουργίας» ορίζεται στο ποσό των </w:t>
      </w:r>
      <w:r>
        <w:rPr>
          <w:lang w:val="en-US"/>
        </w:rPr>
        <w:t>χι</w:t>
      </w:r>
      <w:r>
        <w:rPr>
          <w:lang w:val="el-GR"/>
        </w:rPr>
        <w:t>λίων</w:t>
      </w:r>
      <w:r>
        <w:rPr>
          <w:lang w:val="en-US"/>
        </w:rPr>
        <w:t xml:space="preserve"> </w:t>
      </w:r>
      <w:r>
        <w:rPr>
          <w:lang w:val="el-GR"/>
        </w:rPr>
        <w:t>(1.000,00) ευρώ. Η επιστροφή της ανωτέρω εγγύησης λαμβάνει χώρα μετά  την ολοκλήρωση της περιόδου εγγύησης καλής λειτουργίας, σύμφωνα και με τα οριζόμενα στην παράγραφο 6.6 της παρούσας</w:t>
      </w:r>
      <w:r>
        <w:rPr>
          <w:rStyle w:val="Style19"/>
          <w:lang w:val="el-GR"/>
        </w:rPr>
        <w:footnoteReference w:id="147"/>
      </w:r>
      <w:r>
        <w:rPr>
          <w:lang w:val="el-GR"/>
        </w:rPr>
        <w:t>.</w:t>
      </w:r>
    </w:p>
    <w:p>
      <w:pPr>
        <w:pStyle w:val="2"/>
        <w:rPr>
          <w:lang w:val="el-GR"/>
        </w:rPr>
      </w:pPr>
      <w:bookmarkStart w:id="56" w:name="_Toc129004445"/>
      <w:r>
        <w:rPr>
          <w:lang w:val="el-GR"/>
        </w:rPr>
        <w:t xml:space="preserve">4.2 </w:t>
        <w:tab/>
        <w:t>Συμβατικό Πλαίσιο - Εφαρμοστέα Νομοθεσία</w:t>
      </w:r>
      <w:bookmarkEnd w:id="56"/>
      <w:r>
        <w:rPr>
          <w:lang w:val="el-GR"/>
        </w:rPr>
        <w:t xml:space="preserve"> </w:t>
      </w:r>
    </w:p>
    <w:p>
      <w:pPr>
        <w:pStyle w:val="Normal"/>
        <w:rPr>
          <w:lang w:val="el-GR"/>
        </w:rPr>
      </w:pPr>
      <w:r>
        <w:rPr>
          <w:lang w:val="el-GR"/>
        </w:rPr>
        <w:t xml:space="preserve">Κατά την εκτέλεση της σύμβασης εφαρμόζονται οι διατάξεις του ν. 4412/2016, οι όροι της παρούσας Διακήρυξης και συμπληρωματικά ο Αστικός Κώδικας. </w:t>
      </w:r>
    </w:p>
    <w:p>
      <w:pPr>
        <w:pStyle w:val="2"/>
        <w:rPr>
          <w:rFonts w:cs="Trebuchet MS"/>
          <w:color w:val="000000"/>
          <w:lang w:val="el-GR" w:eastAsia="el-GR"/>
        </w:rPr>
      </w:pPr>
      <w:bookmarkStart w:id="57" w:name="_Toc129004446"/>
      <w:r>
        <w:rPr>
          <w:lang w:val="el-GR"/>
        </w:rPr>
        <w:t>4.3</w:t>
        <w:tab/>
        <w:t>Όροι εκτέλεσης της σύμβασης</w:t>
      </w:r>
      <w:bookmarkEnd w:id="57"/>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false"/>
        <w:spacing w:before="0" w:after="0"/>
        <w:rPr>
          <w:rStyle w:val="Style9"/>
          <w:color w:val="000000"/>
          <w:lang w:val="el-GR"/>
        </w:rPr>
      </w:pPr>
      <w:r>
        <w:rPr>
          <w:rFonts w:cs="Trebuchet MS"/>
          <w:b/>
          <w:color w:val="000000"/>
          <w:szCs w:val="22"/>
          <w:lang w:val="el-GR" w:eastAsia="el-GR"/>
        </w:rPr>
        <w:t>4.3.1</w:t>
      </w:r>
      <w:r>
        <w:rPr>
          <w:rFonts w:cs="Trebuchet MS"/>
          <w:color w:val="000000"/>
          <w:szCs w:val="22"/>
          <w:lang w:val="el-GR" w:eastAsia="el-GR"/>
        </w:rPr>
        <w:t xml:space="preserve"> </w:t>
      </w:r>
      <w:r>
        <w:rPr>
          <w:lang w:val="el-GR"/>
        </w:rPr>
        <w:t xml:space="preserve">Κατά την εκτέλεση της σύμβασης ο ανάδοχος τηρεί τις υποχρεώσεις στους τομείς του περιβαλλοντικού, κοινωνικοασφαλιστικού και εργατικού δικαίου, που έχουν θεσπιστεί με το δίκαιο της Ένωσης, το εθνικό δίκαιο, συλλογικές συμβάσεις ή διεθνείς διατάξεις περιβαλλοντικού, κοινωνικοασφαλιστικού και εργατικού δικαίου, οι οποίες απαριθμούνται στο </w:t>
      </w:r>
      <w:r>
        <w:fldChar w:fldCharType="begin"/>
      </w:r>
      <w:r>
        <w:rPr>
          <w:color w:val="000000"/>
          <w:lang w:val="el-GR"/>
        </w:rPr>
        <w:instrText xml:space="preserve"> HYPERLINK "http://www.eaadhsy.gr/n4412/prosarthmaA_index.html" \l "pararthma_A_X"</w:instrText>
      </w:r>
      <w:r>
        <w:rPr>
          <w:color w:val="000000"/>
          <w:lang w:val="el-GR"/>
        </w:rPr>
        <w:fldChar w:fldCharType="separate"/>
      </w:r>
      <w:r>
        <w:rPr>
          <w:color w:val="000000"/>
          <w:lang w:val="el-GR"/>
        </w:rPr>
        <w:t>Παράρτημα X του Προσαρτήματος Α΄</w:t>
      </w:r>
      <w:r>
        <w:rPr>
          <w:color w:val="000000"/>
          <w:lang w:val="el-GR"/>
        </w:rPr>
        <w:fldChar w:fldCharType="end"/>
      </w:r>
      <w:r>
        <w:rPr>
          <w:rStyle w:val="Style9"/>
          <w:color w:val="000000"/>
          <w:lang w:val="el-GR"/>
        </w:rPr>
        <w:t>.</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false"/>
        <w:rPr>
          <w:lang w:val="el-GR"/>
        </w:rPr>
      </w:pPr>
      <w:r>
        <w:rPr>
          <w:lang w:val="el-GR"/>
        </w:rPr>
        <w:t>Η τήρηση των εν λόγω υποχρεώσεων από τον ανάδοχο και τους υπεργολάβους του ελέγχεται και βεβαιώνεται από τα όργανα που επιβλέπουν την εκτέλεση της σύμβασης και τις αρμόδιες δημόσιες αρχές και υπηρεσίες που ενεργούν εντός των ορίων της ευθύνης και της αρμοδιότητάς τους.</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false"/>
        <w:rPr>
          <w:rStyle w:val="Style9"/>
          <w:color w:val="auto"/>
          <w:u w:val="none"/>
          <w:vertAlign w:val="superscript"/>
          <w:lang w:val="el-GR"/>
        </w:rPr>
      </w:pPr>
      <w:r>
        <w:rPr>
          <w:b/>
          <w:lang w:val="el-GR"/>
        </w:rPr>
        <w:t>4.3.2</w:t>
      </w:r>
      <w:r>
        <w:rPr>
          <w:lang w:val="el-GR"/>
        </w:rPr>
        <w:t xml:space="preserve"> Στις συμβάσεις προμηθειών προϊόντων που εμπίπτουν στο πεδίο εφαρμογής του ν. 4819/2021, επιπλέον του όρου της παρ. 4.3.1 περιλαμβάνεται ο όρος ότι ο ανάδοχος υποχρεούται κατά την υπογραφή της σύμβασης και καθ’ όλη τη διάρκεια εκτέλεσης να τηρεί τις υποχρεώσεις των παραγράφων 1, 4 και 5 του άρθρου 11 του ν. 4819/2021. Η τήρηση των υποχρεώσεων ελέγχεται από την αναθέτουσα αρχή μέσω του αρχείου δημοσιοποίησης εγγεγραμμένων παραγωγών στο Εθνικό Μητρώο Παραγωγών (ΕΜΠΑ) που τηρείται στην ηλεκτρονική σελίδα του Ε.Ο.ΑΝ. εντός της προθεσμίας τη</w:t>
      </w:r>
      <w:r>
        <w:rPr>
          <w:color w:val="000000"/>
          <w:lang w:val="el-GR"/>
        </w:rPr>
        <w:t xml:space="preserve">ς </w:t>
      </w:r>
      <w:r>
        <w:fldChar w:fldCharType="begin"/>
      </w:r>
      <w:r>
        <w:rPr>
          <w:u w:val="none"/>
          <w:color w:val="auto"/>
          <w:lang w:val="el-GR"/>
        </w:rPr>
        <w:instrText xml:space="preserve"> HYPERLINK "http://www.eaadhsy.gr/n4412/n4412fulltextlinks.html" \l "art105_4"</w:instrText>
      </w:r>
      <w:r>
        <w:rPr>
          <w:u w:val="none"/>
          <w:color w:val="auto"/>
          <w:lang w:val="el-GR"/>
        </w:rPr>
        <w:fldChar w:fldCharType="separate"/>
      </w:r>
      <w:r>
        <w:rPr>
          <w:color w:val="auto"/>
          <w:u w:val="none"/>
          <w:lang w:val="el-GR"/>
        </w:rPr>
        <w:t>παραγράφου 4 του άρθρου 105</w:t>
      </w:r>
      <w:r>
        <w:rPr>
          <w:u w:val="none"/>
          <w:color w:val="auto"/>
          <w:lang w:val="el-GR"/>
        </w:rPr>
        <w:fldChar w:fldCharType="end"/>
      </w:r>
      <w:r>
        <w:rPr>
          <w:rStyle w:val="Style9"/>
          <w:color w:val="000000"/>
          <w:u w:val="none"/>
          <w:lang w:val="el-GR"/>
        </w:rPr>
        <w:t xml:space="preserve"> του ν. 4412/2016 </w:t>
      </w:r>
      <w:r>
        <w:rPr>
          <w:color w:val="000000"/>
          <w:lang w:val="el-GR"/>
        </w:rPr>
        <w:t xml:space="preserve">και αποτελεί προϋπόθεση για την υπογραφή του συμφωνητικού, στο οποίο γίνεται υποχρεωτικά μνεία του αριθμού ΕΜΠΑ του υπόχρεου παραγωγού. Η μη τήρηση των υποχρεώσεων της παρούσας παραγράφου έχει τις συνέπειες της </w:t>
      </w:r>
      <w:r>
        <w:fldChar w:fldCharType="begin"/>
      </w:r>
      <w:r>
        <w:rPr>
          <w:u w:val="none"/>
          <w:color w:val="000000"/>
          <w:lang w:val="el-GR"/>
        </w:rPr>
        <w:instrText xml:space="preserve"> HYPERLINK "http://www.eaadhsy.gr/n4412/n4412fulltextlinks.html" \l "art105_5"</w:instrText>
      </w:r>
      <w:r>
        <w:rPr>
          <w:u w:val="none"/>
          <w:color w:val="000000"/>
          <w:lang w:val="el-GR"/>
        </w:rPr>
        <w:fldChar w:fldCharType="separate"/>
      </w:r>
      <w:r>
        <w:rPr>
          <w:color w:val="000000"/>
          <w:u w:val="none"/>
          <w:lang w:val="el-GR"/>
        </w:rPr>
        <w:t xml:space="preserve">παραγράφου </w:t>
      </w:r>
      <w:r>
        <w:rPr>
          <w:u w:val="none"/>
          <w:color w:val="000000"/>
          <w:lang w:val="el-GR"/>
        </w:rPr>
        <w:fldChar w:fldCharType="end"/>
      </w:r>
      <w:r>
        <w:fldChar w:fldCharType="begin"/>
      </w:r>
      <w:r>
        <w:rPr>
          <w:u w:val="none"/>
          <w:color w:val="000000"/>
          <w:lang w:val="el-GR"/>
        </w:rPr>
        <w:instrText xml:space="preserve"> HYPERLINK "http://www.eaadhsy.gr/n4412/n4412fulltextlinks.html" \l "art105_5"</w:instrText>
      </w:r>
      <w:r>
        <w:rPr>
          <w:u w:val="none"/>
          <w:color w:val="000000"/>
          <w:lang w:val="el-GR"/>
        </w:rPr>
        <w:fldChar w:fldCharType="separate"/>
      </w:r>
      <w:r>
        <w:rPr>
          <w:color w:val="000000"/>
          <w:u w:val="none"/>
          <w:lang w:val="el-GR"/>
        </w:rPr>
        <w:t>7 του άρθρου 105</w:t>
      </w:r>
      <w:r>
        <w:rPr>
          <w:u w:val="none"/>
          <w:color w:val="000000"/>
          <w:lang w:val="el-GR"/>
        </w:rPr>
        <w:fldChar w:fldCharType="end"/>
      </w:r>
      <w:r>
        <w:rPr>
          <w:rStyle w:val="Style9"/>
          <w:color w:val="auto"/>
          <w:u w:val="none"/>
          <w:lang w:val="el-GR"/>
        </w:rPr>
        <w:t xml:space="preserve"> του ν. 4412/2016.</w:t>
      </w:r>
      <w:r>
        <w:rPr>
          <w:rStyle w:val="Style19"/>
          <w:color w:val="auto"/>
          <w:u w:val="none"/>
          <w:vertAlign w:val="superscript"/>
          <w:lang w:val="el-GR"/>
        </w:rPr>
        <w:footnoteReference w:id="148"/>
      </w:r>
      <w:r>
        <w:rPr>
          <w:rStyle w:val="Style9"/>
          <w:color w:val="auto"/>
          <w:u w:val="none"/>
          <w:vertAlign w:val="superscript"/>
          <w:lang w:val="el-GR"/>
        </w:rPr>
        <w:t>.</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false"/>
        <w:spacing w:before="0" w:after="0"/>
        <w:rPr>
          <w:rStyle w:val="Style9"/>
          <w:color w:val="auto"/>
          <w:lang w:val="el-GR"/>
        </w:rPr>
      </w:pPr>
      <w:r>
        <w:rPr>
          <w:color w:val="auto"/>
          <w:lang w:val="el-GR"/>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false"/>
        <w:rPr>
          <w:rStyle w:val="Style9"/>
          <w:color w:val="auto"/>
          <w:u w:val="none"/>
          <w:lang w:val="el-GR"/>
        </w:rPr>
      </w:pPr>
      <w:r>
        <w:rPr>
          <w:rStyle w:val="Style9"/>
          <w:b/>
          <w:color w:val="auto"/>
          <w:u w:val="none"/>
          <w:lang w:val="el-GR"/>
        </w:rPr>
        <w:t>4.3.3.</w:t>
      </w:r>
      <w:r>
        <w:rPr>
          <w:rStyle w:val="Style9"/>
          <w:color w:val="auto"/>
          <w:u w:val="none"/>
          <w:lang w:val="el-GR"/>
        </w:rPr>
        <w:t xml:space="preserve"> </w:t>
      </w:r>
      <w:r>
        <w:rPr>
          <w:i/>
          <w:iCs/>
          <w:color w:val="5B9BD5"/>
          <w:spacing w:val="5"/>
          <w:kern w:val="2"/>
          <w:lang w:val="el-GR"/>
        </w:rPr>
        <w:t xml:space="preserve"> </w:t>
      </w:r>
      <w:r>
        <w:rPr>
          <w:rStyle w:val="Style9"/>
          <w:color w:val="auto"/>
          <w:u w:val="none"/>
          <w:lang w:val="el-GR"/>
        </w:rPr>
        <w:t xml:space="preserve">Ο ανάδοχος δεσμεύεται ότι : </w:t>
      </w:r>
    </w:p>
    <w:p>
      <w:pPr>
        <w:pStyle w:val="Normal"/>
        <w:rPr>
          <w:rStyle w:val="Style9"/>
          <w:color w:val="auto"/>
          <w:u w:val="none"/>
          <w:lang w:val="el-GR"/>
        </w:rPr>
      </w:pPr>
      <w:r>
        <w:rPr>
          <w:rStyle w:val="Style9"/>
          <w:color w:val="auto"/>
          <w:u w:val="none"/>
          <w:lang w:val="el-GR"/>
        </w:rPr>
        <w:t xml:space="preserve">α) σε όλα τα στάδια που προηγήθηκαν της σύμβασης δεν ενήργησε αθέμιτα, παράνομα ή καταχρηστικά και ότι θα εξακολουθήσει να μην ενεργεί κατ` αυτόν τον τρόπο κατά το στάδιο εκτέλεσης της σύμβασης, </w:t>
      </w:r>
    </w:p>
    <w:p>
      <w:pPr>
        <w:pStyle w:val="Normal"/>
        <w:rPr>
          <w:rStyle w:val="Style9"/>
          <w:color w:val="auto"/>
          <w:u w:val="none"/>
          <w:lang w:val="el-GR"/>
        </w:rPr>
      </w:pPr>
      <w:r>
        <w:rPr>
          <w:rStyle w:val="Style9"/>
          <w:color w:val="auto"/>
          <w:u w:val="none"/>
          <w:lang w:val="el-GR"/>
        </w:rPr>
        <w:t>β) ότι θα δηλώσει αμελλητί στην αναθέτουσα αρχή, από τη στιγμή που λάβει γνώση, οποιαδήποτε κατάσταση (ακόμη και ενδεχόμενη) σύγκρουσης συμφερόντων (προσωπικών, οικογενειακών, οικονομικών, πολιτικών ή άλλων κοινών συμφερόντων, συμπεριλαμβανομένων και αντικρουόμενων επαγγελματικών συμφερόντων) μεταξύ των νόμιμων ή εξουσιοδοτημένων εκπροσώπων του καθώς και υπαλλήλων ή συνεργατών τους οποίους απασχολεί στην εκτέλεση της σύμβασης (π.χ. με σύμβαση υπεργολαβίας) και μελών του προσωπικού της αναθέτουσας αρχής που εμπλέκονται καθ’ οιονδήποτε τρόπο στη διαδικασία εκτέλεσης της σύμβασης ή/και μπορούν να επηρεάσουν την έκβαση και τις αποφάσεις της αναθέτουσας αρχής περί την εκτέλεσή της, οποτεδήποτε και εάν η κατάσταση αυτή προκύψει κατά τη διάρκεια εκτέλεσης της σύμβασης</w:t>
      </w:r>
      <w:r>
        <w:rPr>
          <w:rStyle w:val="Style19"/>
          <w:lang w:val="el-GR"/>
        </w:rPr>
        <w:footnoteReference w:id="149"/>
      </w:r>
      <w:r>
        <w:rPr>
          <w:rStyle w:val="Style9"/>
          <w:color w:val="auto"/>
          <w:u w:val="none"/>
          <w:lang w:val="el-GR"/>
        </w:rPr>
        <w:t xml:space="preserve">. </w:t>
      </w:r>
    </w:p>
    <w:p>
      <w:pPr>
        <w:pStyle w:val="Normal"/>
        <w:rPr>
          <w:rStyle w:val="Style9"/>
          <w:color w:val="auto"/>
          <w:u w:val="none"/>
          <w:lang w:val="el-GR"/>
        </w:rPr>
      </w:pPr>
      <w:r>
        <w:rPr>
          <w:rStyle w:val="Style9"/>
          <w:color w:val="auto"/>
          <w:u w:val="none"/>
          <w:lang w:val="el-GR"/>
        </w:rPr>
        <w:t xml:space="preserve">Οι υποχρεώσεις και οι απαγορεύσεις της ρήτρας αυτής, στην περίπτωση που ο ανάδοχος είναι ένωση, ισχύουν για όλα τα μέλη της ένωσης, καθώς και για τους υπεργολάβους που χρησιμοποιεί. Στο συμφωνητικό περιλαμβάνεται σχετική δεσμευτική δήλωση τόσο του αναδόχου όσο και των υπεργολάβων του. </w:t>
      </w:r>
    </w:p>
    <w:p>
      <w:pPr>
        <w:pStyle w:val="2"/>
        <w:rPr>
          <w:bCs/>
          <w:lang w:val="el-GR"/>
        </w:rPr>
      </w:pPr>
      <w:bookmarkStart w:id="58" w:name="_Toc129004447"/>
      <w:r>
        <w:rPr>
          <w:lang w:val="el-GR"/>
        </w:rPr>
        <w:t>4.4</w:t>
        <w:tab/>
        <w:t>Υπεργολαβία</w:t>
      </w:r>
      <w:bookmarkEnd w:id="58"/>
    </w:p>
    <w:p>
      <w:pPr>
        <w:pStyle w:val="Normal"/>
        <w:rPr>
          <w:lang w:val="el-GR"/>
        </w:rPr>
      </w:pPr>
      <w:r>
        <w:rPr>
          <w:b/>
          <w:bCs/>
          <w:lang w:val="el-GR"/>
        </w:rPr>
        <w:t xml:space="preserve">4.4.1. </w:t>
      </w:r>
      <w:r>
        <w:rPr>
          <w:lang w:val="el-GR"/>
        </w:rPr>
        <w:t>Ο ανάδοχος δεν απαλλάσσεται από τις συμβατικές του υποχρεώσεις και ευθύνες λόγω ανάθεσης της εκτέλεσης τμήματος/τμημάτων της σύμβασης σε υπεργολάβους. Η τήρηση των υποχρεώσεων της παρ. 2 του άρθρου 18 του ν. 4412/2016 από υπεργολάβους δεν αίρει την ευθύνη του κυρίου αναδόχου.</w:t>
      </w:r>
    </w:p>
    <w:p>
      <w:pPr>
        <w:pStyle w:val="Normal"/>
        <w:rPr>
          <w:b/>
          <w:b/>
          <w:bCs/>
          <w:lang w:val="el-GR"/>
        </w:rPr>
      </w:pPr>
      <w:r>
        <w:rPr>
          <w:b/>
          <w:bCs/>
          <w:lang w:val="el-GR"/>
        </w:rPr>
        <w:t xml:space="preserve">4.4.2. </w:t>
      </w:r>
      <w:r>
        <w:rPr>
          <w:lang w:val="el-GR"/>
        </w:rPr>
        <w:t xml:space="preserve">Κατά την υπογραφή της σύμβασης ο κύριος ανάδοχος υποχρεούται να αναφέρει στην αναθέτουσα αρχή το όνομα, τα στοιχεία επικοινωνίας και τους νόμιμους εκπροσώπους των υπεργολάβων του, οι οποίοι συμμετέχουν στην εκτέλεση αυτής, εφόσον είναι γνωστά τη συγκεκριμένη χρονική στιγμή. Επιπλέον, υποχρεούται να γνωστοποιεί στην αναθέτουσα αρχή κάθε αλλαγή των πληροφοριών αυτών, κατά τη διάρκεια της σύμβασης, καθώς και τις απαιτούμενες πληροφορίες σχετικά με κάθε νέο υπεργολάβο, τον οποίο ο κύριος ανάδοχος χρησιμοποιεί εν συνεχεία στην εν λόγω σύμβαση, </w:t>
      </w:r>
      <w:r>
        <w:rPr>
          <w:szCs w:val="22"/>
          <w:lang w:val="el-GR"/>
        </w:rPr>
        <w:t>προσκομίζοντας τα σχετικά συμφωνητικά/δηλώσεις συνεργασίας</w:t>
      </w:r>
      <w:r>
        <w:rPr>
          <w:rStyle w:val="Style19"/>
          <w:lang w:val="el-GR"/>
        </w:rPr>
        <w:footnoteReference w:id="150"/>
      </w:r>
      <w:r>
        <w:rPr>
          <w:lang w:val="el-GR"/>
        </w:rPr>
        <w:t xml:space="preserve">. Σε περίπτωση διακοπής της συνεργασίας του αναδόχου με υπεργολάβο/ υπεργολάβους της σύμβασης, αυτός υποχρεούται σε άμεση γνωστοποίηση της διακοπής αυτής στην αναθέτουσα αρχή, οφείλει δε να διασφαλίσει την ομαλή εκτέλεση του τμήματος/ των τμημάτων της σύμβασης είτε από τον ίδιο, είτε από νέο υπεργολάβο, τον οποίο θα γνωστοποιήσει στην αναθέτουσα αρχή κατά την ως άνω διαδικασία. </w:t>
      </w:r>
    </w:p>
    <w:p>
      <w:pPr>
        <w:pStyle w:val="Normal"/>
        <w:rPr>
          <w:lang w:val="el-GR"/>
        </w:rPr>
      </w:pPr>
      <w:r>
        <w:rPr>
          <w:b/>
          <w:bCs/>
          <w:lang w:val="el-GR"/>
        </w:rPr>
        <w:t>4.4.3.</w:t>
      </w:r>
      <w:r>
        <w:rPr>
          <w:lang w:val="el-GR"/>
        </w:rPr>
        <w:t xml:space="preserve"> Η αναθέτουσα αρχή επαληθεύει τη συνδρομή των λόγων αποκλεισμού για τους υπεργολάβους, όπως αυτοί περιγράφονται στην παράγραφο 2.2.3. και με τα αποδεικτικά μέσα της παραγράφου 2.2.9.2 της παρούσας, εφόσον το(α) τμήμα(τα) της σύμβασης, το(α) οποίο(α) ο ανάδοχος προτίθεται να αναθέσει υπό μορφή υπεργολαβίας σε τρίτους, υπερβαίνουν σωρευτικά  το ποσοστό του τριάντα τοις εκατό (30%) της συνολικής αξίας της σύμβασης. Επιπλέον, προκειμένου να μην αθετούνται οι υποχρεώσεις της παρ. 2 του άρθρου 18 του ν. 4412/2016, δύναται να επαληθεύσει τους ως άνω λόγους και για τμήμα ή τμήματα της σύμβασης που υπολείπονται του ως άνω ποσοστού. </w:t>
      </w:r>
    </w:p>
    <w:p>
      <w:pPr>
        <w:pStyle w:val="Normal"/>
        <w:rPr>
          <w:b/>
          <w:b/>
          <w:bCs/>
          <w:lang w:val="el-GR"/>
        </w:rPr>
      </w:pPr>
      <w:r>
        <w:rPr>
          <w:lang w:val="el-GR"/>
        </w:rPr>
        <w:t xml:space="preserve">Όταν από την ως άνω επαλήθευση προκύπτει ότι συντρέχουν λόγοι αποκλεισμού απαιτεί ή δύναται να απαιτήσει την αντικατάστασή του, κατά τα ειδικότερα αναφερόμενα στις παρ. 5 και 6 του άρθρου 131 του ν. 4412/2016. </w:t>
      </w:r>
    </w:p>
    <w:p>
      <w:pPr>
        <w:pStyle w:val="2"/>
        <w:rPr>
          <w:lang w:val="el-GR"/>
        </w:rPr>
      </w:pPr>
      <w:bookmarkStart w:id="59" w:name="_Toc129004448"/>
      <w:r>
        <w:rPr>
          <w:lang w:val="el-GR"/>
        </w:rPr>
        <w:t>4.5</w:t>
        <w:tab/>
        <w:t>Τροποποίηση σύμβασης κατά τη διάρκειά της</w:t>
      </w:r>
      <w:r>
        <w:rPr>
          <w:rStyle w:val="Style19"/>
          <w:rFonts w:cs="Calibri" w:ascii="Calibri" w:hAnsi="Calibri"/>
          <w:lang w:val="el-GR"/>
        </w:rPr>
        <w:footnoteReference w:id="151"/>
      </w:r>
      <w:bookmarkEnd w:id="59"/>
    </w:p>
    <w:p>
      <w:pPr>
        <w:pStyle w:val="Normal"/>
        <w:rPr>
          <w:i/>
          <w:i/>
          <w:iCs/>
          <w:color w:val="5B9BD5"/>
          <w:spacing w:val="5"/>
          <w:kern w:val="2"/>
          <w:lang w:val="el-GR"/>
        </w:rPr>
      </w:pPr>
      <w:r>
        <w:rPr>
          <w:lang w:val="el-GR"/>
        </w:rPr>
        <w:t>Η σύμβαση μπορεί να τροποποιείται κατά τη διάρκειά της, χωρίς να απαιτείται νέα διαδικασία σύναψης σύμβασης, μόνο σύμφωνα με τους όρους και τις προϋποθέσεις του άρθρου 132 του ν. 4412/2016 και κατόπιν γνωμοδότησης της Επιτροπής της περ. β΄  της παρ. 11 του άρθρου 221 του ν. 4412/2016.</w:t>
      </w:r>
      <w:r>
        <w:rPr>
          <w:rStyle w:val="Style19"/>
          <w:szCs w:val="22"/>
        </w:rPr>
        <w:footnoteReference w:id="152"/>
      </w:r>
      <w:r>
        <w:rPr>
          <w:rStyle w:val="WWFootnoteReference5"/>
          <w:szCs w:val="22"/>
          <w:lang w:val="el-GR"/>
        </w:rPr>
        <w:t xml:space="preserve"> </w:t>
      </w:r>
      <w:r>
        <w:rPr>
          <w:rStyle w:val="Style19"/>
          <w:rFonts w:eastAsia="Times New Roman" w:cs="Calibri"/>
          <w:color w:val="auto"/>
          <w:kern w:val="0"/>
          <w:sz w:val="22"/>
          <w:szCs w:val="24"/>
          <w:lang w:val="el-GR" w:eastAsia="ar-SA" w:bidi="ar-SA"/>
        </w:rPr>
        <w:footnoteReference w:id="153"/>
      </w:r>
      <w:r>
        <w:rPr>
          <w:rFonts w:eastAsia="Times New Roman" w:cs="Calibri"/>
          <w:i/>
          <w:iCs/>
          <w:color w:val="auto"/>
          <w:spacing w:val="5"/>
          <w:kern w:val="0"/>
          <w:sz w:val="22"/>
          <w:szCs w:val="24"/>
          <w:lang w:val="el-GR" w:eastAsia="ar-SA" w:bidi="ar-SA"/>
        </w:rPr>
        <w:t>Επίσης πριν την έγκριση τροποποίησης θα πρέπει να υπάρχει σύμφωνη γνώμη της Δ/κής Αρχής.</w:t>
      </w:r>
    </w:p>
    <w:p>
      <w:pPr>
        <w:pStyle w:val="Normal"/>
        <w:rPr>
          <w:i/>
          <w:i/>
          <w:iCs/>
          <w:color w:val="5B9BD5"/>
          <w:spacing w:val="5"/>
          <w:kern w:val="2"/>
          <w:lang w:val="el-GR"/>
        </w:rPr>
      </w:pPr>
      <w:r>
        <w:rPr>
          <w:i/>
          <w:iCs/>
          <w:color w:val="5B9BD5"/>
          <w:spacing w:val="5"/>
          <w:kern w:val="2"/>
          <w:lang w:val="el-GR"/>
        </w:rPr>
      </w:r>
    </w:p>
    <w:p>
      <w:pPr>
        <w:pStyle w:val="Normal"/>
        <w:rPr>
          <w:iCs/>
          <w:color w:val="5B9BD5"/>
          <w:spacing w:val="5"/>
          <w:kern w:val="2"/>
          <w:lang w:val="el-GR"/>
        </w:rPr>
      </w:pPr>
      <w:r>
        <w:rPr>
          <w:lang w:val="el-GR"/>
        </w:rPr>
        <w:t>Μετά τη λύση της σύμβασης λόγω της έκπτωσης του αναδόχου, σύμφωνα με το άρθρο 203 του ν. 4412/2016 και την παράγραφο 5.2. της παρούσας</w:t>
      </w:r>
      <w:r>
        <w:rPr>
          <w:rStyle w:val="Style19"/>
          <w:vertAlign w:val="superscript"/>
        </w:rPr>
        <w:footnoteReference w:id="154"/>
      </w:r>
      <w:r>
        <w:rPr>
          <w:lang w:val="el-GR"/>
        </w:rPr>
        <w:t>, όπως και σε περίπτωση καταγγελίας για όλους λόγους της παραγράφου 4.6, πλην αυτού της περ. (α),  η αναθέτουσα αρχή δύναται να προσκαλέσει τον επόμενο, κατά σειρά κατάταξης οικονομικό φορέα που συμμετέχει στην παρούσα διαδικασία ανάθεσης της συγκεκριμένης σύμβασης και να του προτείνει να αναλάβει το ανεκτέλεστο αντικείμενο της σύμβασης, με τους ίδιους όρους και προϋποθέσεις και σε τίμημα που δεν θα υπερβαίνει την προσφορά που αυτός είχε υποβάλει (ρήτρα υποκατάστασης)</w:t>
      </w:r>
      <w:r>
        <w:rPr>
          <w:rStyle w:val="Style19"/>
          <w:vertAlign w:val="superscript"/>
          <w:lang w:val="el-GR"/>
        </w:rPr>
        <w:footnoteReference w:id="155"/>
      </w:r>
      <w:r>
        <w:rPr>
          <w:lang w:val="el-GR"/>
        </w:rPr>
        <w:t xml:space="preserve">. Η σύμβαση συνάπτεται εφόσον εντός της ταχθείσας προθεσμίας περιέλθει στην αναθέτουσα αρχή έγγραφη και ανεπιφύλακτη αποδοχή της. Η άπρακτη πάροδος της προθεσμίας θεωρείται ως απόρριψη της πρότασης. </w:t>
      </w:r>
    </w:p>
    <w:p>
      <w:pPr>
        <w:pStyle w:val="2"/>
        <w:rPr>
          <w:bCs/>
          <w:lang w:val="el-GR"/>
        </w:rPr>
      </w:pPr>
      <w:bookmarkStart w:id="60" w:name="_Toc129004449"/>
      <w:r>
        <w:rPr>
          <w:lang w:val="el-GR"/>
        </w:rPr>
        <w:t>4.6</w:t>
        <w:tab/>
        <w:t>Δικαίωμα μονομερούς λύσης της σύμβασης</w:t>
      </w:r>
      <w:r>
        <w:rPr>
          <w:rStyle w:val="Style19"/>
          <w:lang w:val="el-GR"/>
        </w:rPr>
        <w:footnoteReference w:id="156"/>
      </w:r>
      <w:bookmarkEnd w:id="60"/>
      <w:r>
        <w:rPr>
          <w:lang w:val="el-GR"/>
        </w:rPr>
        <w:t xml:space="preserve"> </w:t>
      </w:r>
    </w:p>
    <w:p>
      <w:pPr>
        <w:pStyle w:val="Normal"/>
        <w:rPr>
          <w:lang w:val="el-GR"/>
        </w:rPr>
      </w:pPr>
      <w:r>
        <w:rPr>
          <w:b/>
          <w:bCs/>
          <w:lang w:val="el-GR"/>
        </w:rPr>
        <w:t>4.6.1.</w:t>
      </w:r>
      <w:r>
        <w:rPr>
          <w:lang w:val="el-GR"/>
        </w:rPr>
        <w:t xml:space="preserve"> Η αναθέτουσα αρχή μπορεί, με τις προϋποθέσεις που ορίζουν οι κείμενες διατάξεις, να καταγγείλει τη σύμβαση κατά τη διάρκεια της εκτέλεσής της, εφόσον:</w:t>
      </w:r>
    </w:p>
    <w:p>
      <w:pPr>
        <w:pStyle w:val="Normal"/>
        <w:rPr>
          <w:lang w:val="el-GR"/>
        </w:rPr>
      </w:pPr>
      <w:r>
        <w:rPr>
          <w:lang w:val="el-GR"/>
        </w:rPr>
        <w:t xml:space="preserve">α) η σύμβαση υποστεί ουσιώδη τροποποίηση, κατά την έννοια της παρ. 4 του άρθρου 132 του ν. 4412/2016, που θα απαιτούσε νέα διαδικασία σύναψης σύμβασης </w:t>
      </w:r>
    </w:p>
    <w:p>
      <w:pPr>
        <w:pStyle w:val="Normal"/>
        <w:rPr>
          <w:szCs w:val="22"/>
          <w:lang w:val="el-GR"/>
        </w:rPr>
      </w:pPr>
      <w:r>
        <w:rPr>
          <w:lang w:val="el-GR"/>
        </w:rPr>
        <w:t>β) ο ανάδοχος, κατά τον χρόνο της ανάθεσης της σύμβασης, τελούσε σε μια από τις καταστάσεις που αναφέρονται στην παράγραφο 2.2.3.1 και, ως εκ τούτου, θα έπρεπε να έχει αποκλειστεί από τη διαδικασία σύναψης της σύμβασης,</w:t>
      </w:r>
    </w:p>
    <w:p>
      <w:pPr>
        <w:pStyle w:val="Normal"/>
        <w:rPr>
          <w:szCs w:val="22"/>
          <w:lang w:val="el-GR"/>
        </w:rPr>
      </w:pPr>
      <w:r>
        <w:rPr>
          <w:szCs w:val="22"/>
          <w:lang w:val="el-GR"/>
        </w:rPr>
        <w:t>γ) η σύμβαση δεν έπρεπε να ανατεθεί στον ανάδοχο λόγω σοβαρής παραβίασης των υποχρεώσεων που υπέχει από τις Συνθήκες και την Οδηγία 2014/24/ΕΕ, η οποία έχει αναγνωριστεί με απόφαση του Δικαστηρίου της Ένωσης στο πλαίσιο διαδικασίας δυνάμει του άρθρου 258 της ΣΛΕΕ.</w:t>
      </w:r>
    </w:p>
    <w:p>
      <w:pPr>
        <w:pStyle w:val="Normal"/>
        <w:rPr>
          <w:lang w:val="el-GR"/>
        </w:rPr>
      </w:pPr>
      <w:r>
        <w:rPr>
          <w:lang w:val="el-GR"/>
        </w:rPr>
        <w:t>δ) ο ανάδοχος καταδικαστεί αμετάκλητα, κατά τη διάρκεια εκτέλεσης της σύμβασης, για ένα από τα αδικήματα που αναφέρονται στην παρ. 2.2.3.1 της παρούσας,</w:t>
      </w:r>
    </w:p>
    <w:p>
      <w:pPr>
        <w:pStyle w:val="Normal"/>
        <w:rPr>
          <w:szCs w:val="22"/>
          <w:lang w:val="el-GR" w:eastAsia="zh-CN"/>
        </w:rPr>
      </w:pPr>
      <w:r>
        <w:rPr>
          <w:lang w:val="el-GR"/>
        </w:rPr>
        <w:t xml:space="preserve">ε) ο ανάδοχος πτωχεύσει ή υπαχθεί σε διαδικασία ειδικής εκκαθάρισης ή τεθεί υπό αναγκαστική διαχείριση από εκκαθαριστή ή από το δικαστήριο ή υπαχθεί σε διαδικασία πτωχευτικού συμβιβασμού ή αναστείλει τις επιχειρηματικές του δραστηριότητες ή υπαχθεί σε διαδικασία εξυγίανσης και δεν τηρεί τους όρους αυτής ή εάν βρεθεί σε οποιαδήποτε ανάλογη κατάσταση, προκύπτουσα από παρόμοια διαδικασία, προβλεπόμενη σε εθνικές διατάξεις νόμου. </w:t>
      </w:r>
    </w:p>
    <w:p>
      <w:pPr>
        <w:pStyle w:val="Normal"/>
        <w:rPr>
          <w:szCs w:val="22"/>
          <w:lang w:val="el-GR" w:eastAsia="zh-CN"/>
        </w:rPr>
      </w:pPr>
      <w:r>
        <w:rPr>
          <w:szCs w:val="22"/>
          <w:lang w:val="el-GR" w:eastAsia="zh-CN"/>
        </w:rPr>
        <w:t xml:space="preserve">Η αναθέτουσα αρχή μπορεί να μην καταγγείλει τη σύμβαση, υπό την προϋπόθεση ότι ο ανάδοχος ο οποίος θα βρεθεί σε μία από τις καταστάσεις που αναφέρονται στην περίπτωση αυτή αποδεικνύει ότι είναι σε θέση να εκτελέσει τη σύμβαση, λαμβάνοντας υπόψη τις ισχύουσες διατάξεις και τα μέτρα για τη συνέχιση της επιχειρηματικής του λειτουργίας. </w:t>
      </w:r>
    </w:p>
    <w:p>
      <w:pPr>
        <w:pStyle w:val="Normal"/>
        <w:rPr>
          <w:lang w:val="el-GR"/>
        </w:rPr>
      </w:pPr>
      <w:r>
        <w:rPr>
          <w:lang w:val="el-GR"/>
        </w:rPr>
        <w:t>στ) ο ανάδοχος παραβεί αποδεδειγμένα τις υποχρεώσεις του που απορρέουν από τη δέσμευση ακεραιότητας της παρ. 4.3.3. της παρούσας, όπως αναλυτικά περιγράφονται στο συνημμένο στην παρούσα σχέδιο σύμβασης.</w:t>
      </w:r>
    </w:p>
    <w:p>
      <w:pPr>
        <w:pStyle w:val="Normal"/>
        <w:rPr>
          <w:lang w:val="el-GR"/>
        </w:rPr>
      </w:pPr>
      <w:r>
        <w:rPr>
          <w:lang w:val="el-GR"/>
        </w:rPr>
      </w:r>
    </w:p>
    <w:p>
      <w:pPr>
        <w:pStyle w:val="1"/>
        <w:rPr>
          <w:lang w:val="el-GR"/>
        </w:rPr>
      </w:pPr>
      <w:bookmarkStart w:id="61" w:name="_Toc129004450"/>
      <w:r>
        <w:rPr>
          <w:lang w:val="el-GR"/>
        </w:rPr>
        <w:t>5.</w:t>
        <w:tab/>
        <w:t>ΕΙΔΙΚΟΙ ΟΡΟΙ ΕΚΤΕΛΕΣΗΣ ΤΗΣ ΣΥΜΒΑΣΗΣ</w:t>
      </w:r>
      <w:bookmarkEnd w:id="61"/>
      <w:r>
        <w:rPr>
          <w:lang w:val="el-GR"/>
        </w:rPr>
        <w:t xml:space="preserve"> </w:t>
      </w:r>
    </w:p>
    <w:p>
      <w:pPr>
        <w:pStyle w:val="2"/>
        <w:rPr>
          <w:bCs/>
          <w:lang w:val="el-GR"/>
        </w:rPr>
      </w:pPr>
      <w:bookmarkStart w:id="62" w:name="_Toc129004451"/>
      <w:r>
        <w:rPr>
          <w:lang w:val="el-GR"/>
        </w:rPr>
        <w:t>5.1</w:t>
        <w:tab/>
        <w:t>Τρόπος πληρωμής</w:t>
      </w:r>
      <w:r>
        <w:rPr>
          <w:rStyle w:val="Style19"/>
          <w:lang w:val="el-GR"/>
        </w:rPr>
        <w:footnoteReference w:id="157"/>
      </w:r>
      <w:bookmarkEnd w:id="62"/>
      <w:r>
        <w:rPr>
          <w:lang w:val="el-GR"/>
        </w:rPr>
        <w:t xml:space="preserve"> </w:t>
      </w:r>
    </w:p>
    <w:p>
      <w:pPr>
        <w:pStyle w:val="Normal"/>
        <w:rPr>
          <w:b/>
          <w:b/>
          <w:lang w:val="el-GR"/>
        </w:rPr>
      </w:pPr>
      <w:r>
        <w:rPr>
          <w:b/>
          <w:bCs/>
          <w:lang w:val="el-GR"/>
        </w:rPr>
        <w:t>5.1.1.</w:t>
      </w:r>
      <w:r>
        <w:rPr>
          <w:lang w:val="el-GR"/>
        </w:rPr>
        <w:t xml:space="preserve"> Η πληρωμή του αναδόχου θα πραγματοποιηθεί με τον πιο κάτω τρόπο </w:t>
      </w:r>
      <w:r>
        <w:rPr>
          <w:b/>
          <w:lang w:val="el-GR"/>
        </w:rPr>
        <w:t>:</w:t>
      </w:r>
    </w:p>
    <w:p>
      <w:pPr>
        <w:pStyle w:val="Normal"/>
        <w:rPr>
          <w:b/>
          <w:b/>
          <w:lang w:val="el-GR"/>
        </w:rPr>
      </w:pPr>
      <w:r>
        <w:rPr>
          <w:b/>
          <w:lang w:val="el-GR"/>
        </w:rPr>
        <w:t>α)</w:t>
      </w:r>
      <w:r>
        <w:rPr>
          <w:lang w:val="el-GR"/>
        </w:rPr>
        <w:t xml:space="preserve"> Το </w:t>
      </w:r>
      <w:r>
        <w:rPr>
          <w:b/>
          <w:lang w:val="el-GR"/>
        </w:rPr>
        <w:t>100%</w:t>
      </w:r>
      <w:r>
        <w:rPr>
          <w:lang w:val="el-GR"/>
        </w:rPr>
        <w:t xml:space="preserve"> της συμβατικής αξίας μετά την οριστική παραλαβή των αγαθών</w:t>
      </w:r>
      <w:r>
        <w:rPr>
          <w:b/>
          <w:lang w:val="el-GR"/>
        </w:rPr>
        <w:t xml:space="preserve"> </w:t>
      </w:r>
    </w:p>
    <w:p>
      <w:pPr>
        <w:pStyle w:val="Normal"/>
        <w:rPr>
          <w:b/>
          <w:b/>
          <w:bCs/>
          <w:lang w:val="el-GR"/>
        </w:rPr>
      </w:pPr>
      <w:r>
        <w:rPr>
          <w:lang w:val="el-GR"/>
        </w:rPr>
        <w:t>Η πληρωμή του συμβατικού τιμήματος θα γίνεται με την προσκόμιση των νόμιμων παραστατικών και δικαιολογητικών που προβλέπονται από τις διατάξεις του άρθρου 200 παρ. 4 του ν. 4412/2016</w:t>
      </w:r>
      <w:r>
        <w:rPr>
          <w:rStyle w:val="Style19"/>
          <w:lang w:val="el-GR"/>
        </w:rPr>
        <w:footnoteReference w:id="158"/>
      </w:r>
      <w:r>
        <w:rPr>
          <w:lang w:val="el-GR"/>
        </w:rPr>
        <w:t>, καθώς και κάθε άλλου δικαιολογητικού που τυχόν ήθελε ζητηθεί από τις αρμόδιες υπηρεσίες που διενεργούν τον έλεγχο και την πληρωμή.</w:t>
      </w:r>
      <w:r>
        <w:rPr>
          <w:color w:val="FFFF00"/>
          <w:lang w:val="el-GR"/>
        </w:rPr>
        <w:t xml:space="preserve"> </w:t>
      </w:r>
    </w:p>
    <w:p>
      <w:pPr>
        <w:pStyle w:val="Normal"/>
        <w:rPr>
          <w:lang w:val="el-GR"/>
        </w:rPr>
      </w:pPr>
      <w:r>
        <w:rPr>
          <w:b/>
          <w:bCs/>
          <w:lang w:val="el-GR"/>
        </w:rPr>
        <w:t>5.1.2.</w:t>
      </w:r>
      <w:r>
        <w:rPr>
          <w:lang w:val="el-GR"/>
        </w:rPr>
        <w:t xml:space="preserve"> Toν  ανάδοχο βαρύνουν </w:t>
      </w:r>
      <w:r>
        <w:rPr>
          <w:lang w:val="el-GR" w:eastAsia="el-GR"/>
        </w:rPr>
        <w:t xml:space="preserve">οι υπέρ τρίτων κρατήσεις, καθώς και κάθε άλλη επιβάρυνση, σύμφωνα με την κείμενη νομοθεσία, μη συμπεριλαμβανομένου Φ.Π.Α., για την παράδοση του αγαθού στον τόπο και με τον τρόπο που προβλέπεται στα έγγραφα της σύμβασης. Ιδίως βαρύνεται με τις </w:t>
      </w:r>
      <w:r>
        <w:rPr>
          <w:lang w:val="el-GR"/>
        </w:rPr>
        <w:t xml:space="preserve">ακόλουθες κρατήσεις: </w:t>
      </w:r>
    </w:p>
    <w:p>
      <w:pPr>
        <w:pStyle w:val="Normal"/>
        <w:rPr>
          <w:lang w:val="el-GR"/>
        </w:rPr>
      </w:pPr>
      <w:r>
        <w:rPr>
          <w:lang w:val="el-GR"/>
        </w:rPr>
        <w:t xml:space="preserve">α) Για τις συμβάσεις αξίας </w:t>
      </w:r>
      <w:r>
        <w:rPr>
          <w:rFonts w:ascii="Trebuchet MS" w:hAnsi="Trebuchet MS"/>
          <w:color w:val="000000"/>
          <w:sz w:val="21"/>
          <w:szCs w:val="21"/>
          <w:shd w:fill="FFFFFF" w:val="clear"/>
          <w:lang w:val="el-GR"/>
        </w:rPr>
        <w:t>άνω των χιλίων (1.000) ευρώ, μη συμπεριλαμβανομένου ΦΠΑ,</w:t>
      </w:r>
      <w:r>
        <w:rPr>
          <w:rFonts w:ascii="Trebuchet MS" w:hAnsi="Trebuchet MS"/>
          <w:color w:val="000000"/>
          <w:sz w:val="21"/>
          <w:szCs w:val="21"/>
          <w:shd w:fill="FFFFFF" w:val="clear"/>
        </w:rPr>
        <w:t> </w:t>
      </w:r>
      <w:r>
        <w:rPr>
          <w:rFonts w:ascii="Trebuchet MS" w:hAnsi="Trebuchet MS"/>
          <w:color w:val="000000"/>
          <w:sz w:val="21"/>
          <w:szCs w:val="21"/>
          <w:shd w:fill="FFFFFF" w:val="clear"/>
          <w:lang w:val="el-GR"/>
        </w:rPr>
        <w:t>ανεξαρτήτως της πηγής προέλευσης της χρηματοδότησης,</w:t>
      </w:r>
      <w:r>
        <w:rPr>
          <w:lang w:val="el-GR"/>
        </w:rPr>
        <w:t xml:space="preserve"> κράτηση ύψους 0,1%, η οποία υπολογίζεται επί της αξίας κάθε πληρωμής προ φόρων και κρατήσεων της αρχικής, καθώς και κάθε συμπληρωματικής σύμβασης υπέρ της Ενιαίας Αρχής Δημοσίων Συμβάσεων.</w:t>
      </w:r>
      <w:r>
        <w:rPr>
          <w:rStyle w:val="Style19"/>
          <w:lang w:val="el-GR"/>
        </w:rPr>
        <w:footnoteReference w:id="159"/>
      </w:r>
    </w:p>
    <w:p>
      <w:pPr>
        <w:pStyle w:val="Normal"/>
        <w:rPr>
          <w:lang w:val="el-GR"/>
        </w:rPr>
      </w:pPr>
      <w:r>
        <w:rPr>
          <w:lang w:val="el-GR"/>
        </w:rPr>
        <w:t xml:space="preserve">β) Κράτηση ύψους 0,02% υπέρ της ανάπτυξης και συντήρησης του ΟΠΣ ΕΣΗΔΗΣ, η οποία υπολογίζεται επί της αξίας, εκτός ΦΠΑ, της αρχικής, καθώς και κάθε συμπληρωματικής σύμβασης. Το ποσό αυτό παρακρατείται σε κάθε πληρωμή από την αναθέτουσα αρχή στο όνομα και για λογαριασμό  του Υπουργείου Ψηφιακής Διακυβέρνησης, σύμφωνα με την παρ. 6 του άρθρου 36 του ν. 4412/2016. </w:t>
      </w:r>
      <w:r>
        <w:rPr>
          <w:b/>
          <w:lang w:val="el-GR"/>
        </w:rPr>
        <w:t>Μέχρι την έκδοση της κοινής απόφασης της παρ. 6 του άρθρου 36 του ν. 4412/2016, η ως άνω κράτηση δεν επιβάλλεται</w:t>
      </w:r>
      <w:r>
        <w:rPr>
          <w:vertAlign w:val="superscript"/>
          <w:lang w:val="el-GR" w:eastAsia="zh-CN"/>
        </w:rPr>
        <w:t xml:space="preserve"> </w:t>
      </w:r>
      <w:r>
        <w:rPr>
          <w:rStyle w:val="Style19"/>
          <w:vertAlign w:val="superscript"/>
          <w:lang w:val="el-GR" w:eastAsia="zh-CN"/>
        </w:rPr>
        <w:footnoteReference w:id="160"/>
      </w:r>
      <w:r>
        <w:rPr>
          <w:lang w:val="el-GR"/>
        </w:rPr>
        <w:t>.</w:t>
      </w:r>
    </w:p>
    <w:p>
      <w:pPr>
        <w:pStyle w:val="Normal"/>
        <w:spacing w:before="280" w:after="280"/>
        <w:rPr>
          <w:lang w:val="el-GR"/>
        </w:rPr>
      </w:pPr>
      <w:r>
        <w:rPr>
          <w:lang w:val="el-GR"/>
        </w:rPr>
        <w:t>γ) Κράτηση 0,06%, η οποία υπολογίζεται επί της αξίας κάθε πληρωμής προ φόρων και κρατήσεων της αρχικής καθώς και κάθε συμπληρωματικής σύμβασης υπέρ της Αρχής Εξέτασης Προδικαστικών Προσφυγών (άρθρο 350 παρ. 3 του ν. 4412/2016).</w:t>
      </w:r>
    </w:p>
    <w:p>
      <w:pPr>
        <w:pStyle w:val="Normal"/>
        <w:spacing w:before="280" w:after="280"/>
        <w:rPr>
          <w:rFonts w:ascii="Times New Roman" w:hAnsi="Times New Roman" w:eastAsia="Times New Roman" w:cs="Calibri"/>
          <w:i w:val="false"/>
          <w:i w:val="false"/>
          <w:iCs w:val="false"/>
          <w:color w:val="auto"/>
          <w:kern w:val="0"/>
          <w:sz w:val="22"/>
          <w:szCs w:val="24"/>
          <w:lang w:val="el-GR" w:eastAsia="ar-SA" w:bidi="ar-SA"/>
        </w:rPr>
      </w:pPr>
      <w:r>
        <w:rPr>
          <w:rFonts w:eastAsia="Times New Roman" w:cs="Calibri" w:ascii="Times New Roman" w:hAnsi="Times New Roman"/>
          <w:i w:val="false"/>
          <w:iCs w:val="false"/>
          <w:color w:val="auto"/>
          <w:spacing w:val="5"/>
          <w:kern w:val="0"/>
          <w:sz w:val="22"/>
          <w:szCs w:val="24"/>
          <w:lang w:val="el-GR" w:eastAsia="ar-SA" w:bidi="ar-SA"/>
        </w:rPr>
        <w:t>Οι υπέρ τρίτων κρατήσεις υπόκεινται στο εκάστοτε ισχύον αναλογικό τέλος χαρτοσήμου 3% και στην επ’ αυτού εισφορά υπέρ ΟΓΑ 20%.</w:t>
      </w:r>
    </w:p>
    <w:p>
      <w:pPr>
        <w:pStyle w:val="Normal"/>
        <w:rPr>
          <w:rFonts w:ascii="Calibri" w:hAnsi="Calibri" w:eastAsia="Times New Roman" w:cs="Calibri"/>
          <w:color w:val="auto"/>
          <w:kern w:val="0"/>
          <w:sz w:val="22"/>
          <w:szCs w:val="24"/>
          <w:lang w:val="el-GR" w:eastAsia="ar-SA" w:bidi="ar-SA"/>
        </w:rPr>
      </w:pPr>
      <w:r>
        <w:rPr>
          <w:rFonts w:eastAsia="Times New Roman" w:cs="Calibri"/>
          <w:color w:val="auto"/>
          <w:kern w:val="0"/>
          <w:sz w:val="22"/>
          <w:szCs w:val="24"/>
          <w:lang w:val="el-GR" w:eastAsia="ar-SA" w:bidi="ar-SA"/>
        </w:rPr>
      </w:r>
    </w:p>
    <w:p>
      <w:pPr>
        <w:pStyle w:val="2"/>
        <w:rPr>
          <w:bCs/>
          <w:lang w:val="el-GR"/>
        </w:rPr>
      </w:pPr>
      <w:bookmarkStart w:id="63" w:name="_Toc129004452"/>
      <w:r>
        <w:rPr>
          <w:lang w:val="el-GR"/>
        </w:rPr>
        <w:t>5.2</w:t>
        <w:tab/>
        <w:t>Κήρυξη οικονομικού φορέα εκπτώτου - Κυρώσεις</w:t>
      </w:r>
      <w:bookmarkEnd w:id="63"/>
      <w:r>
        <w:rPr>
          <w:lang w:val="el-GR"/>
        </w:rPr>
        <w:t xml:space="preserve"> </w:t>
      </w:r>
    </w:p>
    <w:p>
      <w:pPr>
        <w:pStyle w:val="Normal"/>
        <w:suppressAutoHyphens w:val="false"/>
        <w:rPr>
          <w:lang w:val="el-GR"/>
        </w:rPr>
      </w:pPr>
      <w:r>
        <w:rPr>
          <w:b/>
          <w:bCs/>
          <w:lang w:val="el-GR"/>
        </w:rPr>
        <w:t>5.2.1.</w:t>
      </w:r>
      <w:r>
        <w:rPr>
          <w:lang w:val="el-GR"/>
        </w:rPr>
        <w:t xml:space="preserve"> Ο ανάδοχος κηρύσσεται υποχρεωτικά έκπτωτος</w:t>
      </w:r>
      <w:r>
        <w:rPr>
          <w:rStyle w:val="Style19"/>
          <w:lang w:val="el-GR"/>
        </w:rPr>
        <w:footnoteReference w:id="161"/>
      </w:r>
      <w:r>
        <w:rPr>
          <w:lang w:val="el-GR"/>
        </w:rPr>
        <w:t xml:space="preserve"> από τη σύμβαση και από κάθε δικαίωμα που απορρέει από αυτήν, με απόφαση της αναθέτουσας αρχής, ύστερα από γνωμοδότηση του αρμόδιου συλλογικού οργάνου (Επιτροπή Παρακολούθησης και Παραλαβής):</w:t>
      </w:r>
    </w:p>
    <w:p>
      <w:pPr>
        <w:pStyle w:val="Normal"/>
        <w:suppressAutoHyphens w:val="false"/>
        <w:rPr>
          <w:lang w:val="el-GR"/>
        </w:rPr>
      </w:pPr>
      <w:r>
        <w:rPr>
          <w:lang w:val="el-GR"/>
        </w:rPr>
        <w:t>α) στην περίπτωση της παρ. 7 του άρθρου 105 περί κατακύρωσης και σύναψης σύμβασης,</w:t>
      </w:r>
    </w:p>
    <w:p>
      <w:pPr>
        <w:pStyle w:val="Normal"/>
        <w:suppressAutoHyphens w:val="false"/>
        <w:rPr>
          <w:lang w:val="el-GR"/>
        </w:rPr>
      </w:pPr>
      <w:r>
        <w:rPr>
          <w:lang w:val="el-GR"/>
        </w:rPr>
        <w:t>β) στην περίπτωση που δεν εκπληρώσει τις υποχρεώσεις του που απορρέουν από τη σύμβαση ή/και δεν συμμορφωθεί με τις σχετικές γραπτές εντολές της υπηρεσίας, που είναι σύμφωνες με τη σύμβαση ή τις κείμενες διατάξεις, εντός του συμφωνημένου χρόνου εκτέλεσης της σύμβασης,</w:t>
      </w:r>
    </w:p>
    <w:p>
      <w:pPr>
        <w:pStyle w:val="Normal"/>
        <w:suppressAutoHyphens w:val="false"/>
        <w:rPr>
          <w:lang w:val="el-GR"/>
        </w:rPr>
      </w:pPr>
      <w:r>
        <w:rPr>
          <w:lang w:val="el-GR"/>
        </w:rPr>
        <w:t>γ) εφόσον δεν φορτώσει, δεν παραδώσει ή δεν αντικαταστήσει τα συμβατικά αγαθά ή δεν επισκευάσει ή δεν συντηρήσει αυτά μέσα στον συμβατικό χρόνο ή στον χρόνο παράτασης που του δόθηκε, σύμφωνα με όσα προβλέπονται στο άρθρο 206 του ν. 4412/2016 .</w:t>
      </w:r>
    </w:p>
    <w:p>
      <w:pPr>
        <w:pStyle w:val="Normal"/>
        <w:suppressAutoHyphens w:val="false"/>
        <w:rPr>
          <w:lang w:val="el-GR"/>
        </w:rPr>
      </w:pPr>
      <w:r>
        <w:rPr>
          <w:lang w:val="el-GR"/>
        </w:rPr>
        <w:t>Στην περίπτωση συνδρομής λόγου έκπτωσης του αναδόχου από σύμβαση κατά την ως άνω περίπτωση γ΄, η αναθέτουσα αρχή κοινοποιεί στον ανάδοχο ειδική όχληση,  στην οποία μνημονεύει τις διατάξεις του άρθρου 203 του ν. 4412/2016</w:t>
      </w:r>
      <w:r>
        <w:rPr>
          <w:rStyle w:val="Style19"/>
        </w:rPr>
        <w:footnoteReference w:id="162"/>
      </w:r>
      <w:r>
        <w:rPr>
          <w:lang w:val="el-GR"/>
        </w:rPr>
        <w:t xml:space="preserve"> και περιλαμβάνει συγκεκριμένη περιγραφή των ενεργειών στις οποίες οφείλει να προβεί ο ανάδοχος, προκειμένου να συμμορφωθεί, μέσα σε προθεσμία 10 ημερών  από την κοινοποίηση της ανωτέρω όχλησης. </w:t>
      </w:r>
      <w:r>
        <w:rPr>
          <w:color w:val="4F81BD"/>
          <w:lang w:val="el-GR"/>
        </w:rPr>
        <w:t xml:space="preserve"> </w:t>
      </w:r>
      <w:r>
        <w:rPr>
          <w:lang w:val="el-GR"/>
        </w:rPr>
        <w:t>Αν η προθεσμία που  τάχθηκε με την ειδική όχληση, παρέλθει, χωρίς ο ανάδοχος να συμμορφωθεί, κηρύσσεται έκπτωτος μέσα σε προθεσμία τριάντα (30) ημερών από την άπρακτη πάροδο της προθεσμίας συμμόρφωσης, με απόφαση της αναθέτουσας αρχής.</w:t>
      </w:r>
    </w:p>
    <w:p>
      <w:pPr>
        <w:pStyle w:val="Normal"/>
        <w:suppressAutoHyphens w:val="false"/>
        <w:rPr>
          <w:lang w:val="el-GR"/>
        </w:rPr>
      </w:pPr>
      <w:r>
        <w:rPr>
          <w:lang w:val="el-GR"/>
        </w:rPr>
        <w:t>Ο ανάδοχος δεν κηρύσσεται έκπτωτος για λόγους που ανάγονται σε υπαιτιότητα του φορέα εκτέλεσης της σύμβασης ή αν συντρέχουν λόγοι ανωτέρας βίας.</w:t>
      </w:r>
    </w:p>
    <w:p>
      <w:pPr>
        <w:pStyle w:val="Normal"/>
        <w:suppressAutoHyphens w:val="false"/>
        <w:rPr>
          <w:lang w:val="el-GR"/>
        </w:rPr>
      </w:pPr>
      <w:r>
        <w:rPr>
          <w:lang w:val="el-GR"/>
        </w:rPr>
        <w:t>Στον οικονομικό φορέα, που κηρύσσεται έκπτωτος από τη σύμβαση, επιβάλλονται, με απόφαση του αποφαινόμενου οργάνου, ύστερα από γνωμοδότηση του αρμόδιου οργάνου, το οποίο υποχρεωτικά καλεί τον ενδιαφερόμενο προς παροχή εξηγήσεων, αθροιστικά οι παρακάτω κυρώσεις:</w:t>
      </w:r>
    </w:p>
    <w:p>
      <w:pPr>
        <w:pStyle w:val="Normal"/>
        <w:suppressAutoHyphens w:val="false"/>
        <w:rPr>
          <w:lang w:val="el-GR"/>
        </w:rPr>
      </w:pPr>
      <w:r>
        <w:rPr>
          <w:lang w:val="el-GR"/>
        </w:rPr>
        <w:t>α) ολική κατάπτωση της εγγύησης συμμετοχής ή καλής εκτέλεσης της σύμβασης κατά περίπτωση,</w:t>
      </w:r>
    </w:p>
    <w:p>
      <w:pPr>
        <w:pStyle w:val="Normal"/>
        <w:suppressAutoHyphens w:val="false"/>
        <w:rPr>
          <w:lang w:val="el-GR"/>
        </w:rPr>
      </w:pPr>
      <w:r>
        <w:rPr>
          <w:lang w:val="el-GR"/>
        </w:rPr>
        <w:t>γ) Καταλογισμός του διαφέροντος, που προκύπτει εις βάρος της αναθέτουσας αρχής, εφόσον αυτή προμηθευτεί τα αγαθά, που δεν προσκομίστηκαν προσηκόντως από τον έκπτωτο οικονομικό φορέα, αναθέτοντας το ανεκτέλεστο αντικείμενο της σύμβασης στον επόμενο κατά σειρά κατάταξης οικονομικό φορέα που είχε λάβει μέρος στη διαδικασία ανάθεσης της σύμβασης. Αν ο οικονομικός φορέας του προηγούμενου εδαφίου δεν αποδεχθεί την ανάθεση της σύμβασης, η αναθέτουσα αρχή μπορεί να προμηθευτεί τα αγαθά, που δεν προσκομίστηκαν προσηκόντως από τον έκπτωτο οικονομικό φορέα, από τρίτο οικονομικό φορέα, είτε με διενέργεια νέας διαδικασίας ανάθεσης σύμβασης, είτε με προσφυγή στη διαδικασία διαπραγμάτευσης, χωρίς προηγούμενη δημοσίευση, εφόσον συντρέχουν οι προϋποθέσεις του άρθρου 32 του ν. 4412/2016. Το διαφέρον υπολογίζεται με τον ακόλουθο τύπο:</w:t>
      </w:r>
    </w:p>
    <w:p>
      <w:pPr>
        <w:pStyle w:val="Normal"/>
        <w:suppressAutoHyphens w:val="false"/>
        <w:rPr>
          <w:lang w:val="el-GR"/>
        </w:rPr>
      </w:pPr>
      <w:r>
        <w:rPr>
          <w:lang w:val="el-GR"/>
        </w:rPr>
        <w:t>Δ = (ΤΚΤ ΤΚΕ) x Π Όπου: Δ = Διαφέρον που θα προκύψει εις βάρος της αναθέτουσας αρχής, εφόσον αυτή προμηθευτεί τα αγαθά που δεν προσκομίστηκαν προσηκόντως από τον έκπτωτο οικονομικό φορέα, σύμφωνα με τα ανωτέρω αναφερόμενα. Το διαφέρον λαμβάνει θετικές τιμές, αλλιώς θεωρείται ίσο με μηδέν.</w:t>
      </w:r>
    </w:p>
    <w:p>
      <w:pPr>
        <w:pStyle w:val="Normal"/>
        <w:suppressAutoHyphens w:val="false"/>
        <w:rPr>
          <w:lang w:val="el-GR"/>
        </w:rPr>
      </w:pPr>
      <w:r>
        <w:rPr>
          <w:lang w:val="el-GR"/>
        </w:rPr>
        <w:t>ΤΚΤ = Τιμή κατακύρωσης της προμήθειας των αγαθών, που δεν προσκομίστηκαν προσηκόντως από τον έκπτωτο οικονομικό φορέα στον νέο ανάδοχο.</w:t>
      </w:r>
    </w:p>
    <w:p>
      <w:pPr>
        <w:pStyle w:val="Normal"/>
        <w:suppressAutoHyphens w:val="false"/>
        <w:rPr>
          <w:lang w:val="el-GR"/>
        </w:rPr>
      </w:pPr>
      <w:r>
        <w:rPr>
          <w:lang w:val="el-GR"/>
        </w:rPr>
        <w:t>ΤΚΕ = Τιμή κατακύρωσης της προμήθειας των αγαθών, που δεν προσκομίστηκαν προσηκόντως από τον έκπτωτο οικονομικό φορέα, σύμφωνα με τη σύμβαση από την οποία κηρύχθηκε έκπτωτος ο οικονομικός φορέας.</w:t>
      </w:r>
    </w:p>
    <w:p>
      <w:pPr>
        <w:pStyle w:val="Normal"/>
        <w:suppressAutoHyphens w:val="false"/>
        <w:rPr>
          <w:i/>
          <w:i/>
          <w:color w:val="4F81BD"/>
          <w:lang w:val="el-GR"/>
        </w:rPr>
      </w:pPr>
      <w:r>
        <w:rPr>
          <w:lang w:val="el-GR"/>
        </w:rPr>
        <w:t xml:space="preserve">Π = Συντελεστής προσαύξησης προσδιορισμού της έμμεσης ζημίας που προκαλείται στην αναθέτουσα αρχή από την έκπτωση του αναδόχου ο οποίος λαμβάνει την τιμή 1,02. </w:t>
      </w:r>
    </w:p>
    <w:p>
      <w:pPr>
        <w:pStyle w:val="Normal"/>
        <w:suppressAutoHyphens w:val="false"/>
        <w:rPr>
          <w:lang w:val="el-GR"/>
        </w:rPr>
      </w:pPr>
      <w:r>
        <w:rPr>
          <w:lang w:val="el-GR"/>
        </w:rPr>
        <w:t>Ο καταλογισμός του διαφέροντος επιβάλλεται στον έκπτωτο οικονομικό φορέα με απόφαση της αναθέτουσας αρχής, που εκδίδεται σε αποκλειστική προθεσμία δεκαοκτώ (18) μηνών μετά την έκδοση και την κοινοποίηση της απόφασης κήρυξης εκπτώτου, και εφόσον κατακυρωθεί η προμήθεια των αγαθών που δεν προσκομίστηκαν προσηκόντως από τον έκπτωτο οικονομικό φορέα σε τρίτο οικονομικό φορέα. Για την είσπραξη του διαφέροντος από τον έκπτωτο οικονομικό φορέα μπορεί να εφαρμόζεται η διαδικασία του Κώδικα Είσπραξης Δημόσιων Εσόδων. Το διαφέρον εισπράττεται υπέρ της αναθέτουσας αρχής.</w:t>
      </w:r>
    </w:p>
    <w:p>
      <w:pPr>
        <w:pStyle w:val="Normal"/>
        <w:suppressAutoHyphens w:val="false"/>
        <w:rPr>
          <w:rFonts w:eastAsia="SimSun"/>
          <w:i/>
          <w:i/>
          <w:iCs/>
          <w:color w:val="5B9BD5"/>
          <w:spacing w:val="5"/>
          <w:szCs w:val="22"/>
          <w:lang w:val="el-GR"/>
        </w:rPr>
      </w:pPr>
      <w:r>
        <w:rPr>
          <w:lang w:val="el-GR"/>
        </w:rPr>
        <w:t>δ) Επιπλέον, μπορεί να επιβληθεί προσωρινός αποκλεισμός του αναδόχου από το σύνολο των συμβάσεων προμηθειών ή υπηρεσιών των φορέων που εμπίπτουν στις διατάξεις του ν. 4412/2016 κατά τα ειδικότερα προβλεπόμενα στο άρθρο 74 του ως άνω νόμου, περί αποκλεισμού οικονομικού φορέα από δημόσιες συμβάσεις.</w:t>
      </w:r>
      <w:r>
        <w:rPr>
          <w:rFonts w:eastAsia="SimSun"/>
          <w:i/>
          <w:iCs/>
          <w:color w:val="5B9BD5"/>
          <w:spacing w:val="5"/>
          <w:szCs w:val="22"/>
          <w:lang w:val="el-GR"/>
        </w:rPr>
        <w:t xml:space="preserve"> </w:t>
      </w:r>
    </w:p>
    <w:p>
      <w:pPr>
        <w:pStyle w:val="Normal"/>
        <w:suppressAutoHyphens w:val="false"/>
        <w:rPr>
          <w:lang w:val="el-GR"/>
        </w:rPr>
      </w:pPr>
      <w:r>
        <w:rPr>
          <w:lang w:val="el-GR"/>
        </w:rPr>
      </w:r>
    </w:p>
    <w:p>
      <w:pPr>
        <w:pStyle w:val="Normal"/>
        <w:suppressAutoHyphens w:val="false"/>
        <w:rPr>
          <w:lang w:val="el-GR"/>
        </w:rPr>
      </w:pPr>
      <w:r>
        <w:rPr>
          <w:b/>
          <w:bCs/>
          <w:lang w:val="el-GR"/>
        </w:rPr>
        <w:t>5.2.2.</w:t>
      </w:r>
      <w:r>
        <w:rPr>
          <w:lang w:val="el-GR"/>
        </w:rPr>
        <w:t xml:space="preserve">  Αν το αγαθό φορτωθεί - παραδοθεί ή αντικατασταθεί μετά τη λήξη του συμβατικού χρόνου και μέχρι τη λήξη του χρόνου της παράτασης που χορηγήθηκε, σύμφωνα με το άρθρο 206 του ν. 4412/16, επιβάλλεται πρόστιμο</w:t>
      </w:r>
      <w:r>
        <w:rPr>
          <w:rStyle w:val="Style19"/>
          <w:lang w:val="el-GR"/>
        </w:rPr>
        <w:footnoteReference w:id="163"/>
      </w:r>
      <w:r>
        <w:rPr>
          <w:lang w:val="el-GR"/>
        </w:rPr>
        <w:t xml:space="preserve"> πέντε τοις εκατό (5%) επί της συμβατικής αξίας της ποσότητας που παραδόθηκε εκπρόθεσμα.</w:t>
      </w:r>
    </w:p>
    <w:p>
      <w:pPr>
        <w:pStyle w:val="Normal"/>
        <w:suppressAutoHyphens w:val="false"/>
        <w:rPr>
          <w:lang w:val="el-GR"/>
        </w:rPr>
      </w:pPr>
      <w:r>
        <w:rPr>
          <w:lang w:val="el-GR"/>
        </w:rPr>
        <w:t>Το παραπάνω πρόστιμο υπολογίζεται επί της συμβατικής αξίας των εκπρόθεσμα παραδοθέντων αγαθών, χωρίς ΦΠΑ. Εάν τα αγαθά που παραδόθηκαν εκπρόθεσμα επηρεάζουν τη χρησιμοποίηση των αγαθών που παραδόθηκαν εμπρόθεσμα, το πρόστιμο υπολογίζεται επί της συμβατικής αξίας της συνολικής ποσότητας αυτών.</w:t>
      </w:r>
    </w:p>
    <w:p>
      <w:pPr>
        <w:pStyle w:val="Normal"/>
        <w:suppressAutoHyphens w:val="false"/>
        <w:rPr>
          <w:lang w:val="el-GR"/>
        </w:rPr>
      </w:pPr>
      <w:r>
        <w:rPr>
          <w:lang w:val="el-GR"/>
        </w:rPr>
        <w:t>Κατά τον υπολογισμό του χρονικού διαστήματος της καθυστέρησης για φόρτωση- παράδοση ή αντικατάσταση των αγαθών, με απόφαση του αποφαινόμενου οργάνου, ύστερα από γνωμοδότηση του αρμόδιου οργάνου, δεν λαμβάνεται υπόψη ο χρόνος που παρήλθε πέραν του εύλογου, κατά τα διάφορα στάδια των διαδικασιών, για τον οποίο δεν ευθύνεται ο ανάδοχος και παρατείνεται, αντίστοιχα, ο χρόνος φόρτωσης - παράδοσης.</w:t>
      </w:r>
    </w:p>
    <w:p>
      <w:pPr>
        <w:pStyle w:val="Normal"/>
        <w:suppressAutoHyphens w:val="false"/>
        <w:rPr>
          <w:i/>
          <w:i/>
          <w:color w:val="4F81BD"/>
          <w:lang w:val="el-GR"/>
        </w:rPr>
      </w:pPr>
      <w:r>
        <w:rPr>
          <w:i/>
          <w:color w:val="4F81BD"/>
          <w:lang w:val="el-GR"/>
        </w:rPr>
      </w:r>
    </w:p>
    <w:p>
      <w:pPr>
        <w:pStyle w:val="2"/>
        <w:suppressAutoHyphens w:val="false"/>
        <w:rPr>
          <w:lang w:val="el-GR"/>
        </w:rPr>
      </w:pPr>
      <w:bookmarkStart w:id="64" w:name="_Toc129004453"/>
      <w:r>
        <w:rPr>
          <w:lang w:val="el-GR"/>
        </w:rPr>
        <w:t>5.3</w:t>
        <w:tab/>
        <w:t>Διοικητικές προσφυγές κατά τη διαδικασία εκτέλεσης των συμβάσεων</w:t>
      </w:r>
      <w:r>
        <w:rPr>
          <w:rStyle w:val="Style19"/>
        </w:rPr>
        <w:footnoteReference w:id="164"/>
      </w:r>
      <w:bookmarkEnd w:id="64"/>
      <w:r>
        <w:rPr>
          <w:lang w:val="el-GR"/>
        </w:rPr>
        <w:t xml:space="preserve">  </w:t>
      </w:r>
    </w:p>
    <w:p>
      <w:pPr>
        <w:pStyle w:val="Normal"/>
        <w:suppressAutoHyphens w:val="false"/>
        <w:rPr>
          <w:lang w:val="el-GR"/>
        </w:rPr>
      </w:pPr>
      <w:r>
        <w:rPr>
          <w:lang w:val="el-GR"/>
        </w:rPr>
        <w:t>Ο ανάδοχος μπορεί κατά των αποφάσεων που επιβάλλουν σε βάρος του κυρώσεις, δυνάμει των όρων των άρθρων 5.2 (Κήρυξη οικονομικού φορέα εκπτώτου - Κυρώσεις), 6.1. (Χρόνος παράδοσης αγαθών), 6.4. (Απόρριψη συμβατικών αγαθών – αντικατάσταση), καθώς και κατ’ εφαρμογή των συμβατικών όρων, να ασκήσει προσφυγή για λόγους νομιμότητας και ουσίας ενώπιον του φορέα που εκτελεί τη σύμβαση μέσα σε ανατρεπτική προθεσμία (30) ημερών από την ημερομηνία της κοινοποίησης ή της πλήρους γνώσης της σχετικής απόφασης. Η εμπρόθεσμη άσκηση της προσφυγής αναστέλλει τις επιβαλλόμενες κυρώσεις. Επί της προσφυγής αποφασίζει το αρμοδίως αποφαινόμενο όργανο, ύστερα από γνωμοδότηση του προβλεπόμενου στο τελευταίο εδάφιο της περίπτωσης β΄ της παραγράφου 11 του άρθρου 221 του ν.4412/2016 οργάνου, εντός προθεσμίας τριάντα (30) ημερών από την άσκησή της, άλλως θεωρείται ως σιωπηρώς απορριφθείσα. Κατά της απόφασης αυτής δεν χωρεί η άσκηση άλλης οποιασδήποτε φύσης διοικητικής προσφυγής. Αν κατά της απόφασης που επιβάλλει κυρώσεις δεν ασκηθεί εμπρόθεσμα η προσφυγή ή αν απορριφθεί αυτή από το αποφαινόμενο αρμοδίως όργανο, η απόφαση καθίσταται οριστική. Αν ασκηθεί εμπρόθεσμα προσφυγή, αναστέλλονται οι συνέπειες της απόφασης μέχρι αυτή να οριστικοποιηθεί.</w:t>
      </w:r>
    </w:p>
    <w:p>
      <w:pPr>
        <w:pStyle w:val="2"/>
        <w:suppressAutoHyphens w:val="false"/>
        <w:rPr>
          <w:lang w:val="el-GR"/>
        </w:rPr>
      </w:pPr>
      <w:bookmarkStart w:id="65" w:name="_Toc129004454"/>
      <w:r>
        <w:rPr>
          <w:lang w:val="el-GR"/>
        </w:rPr>
        <w:t>5.4</w:t>
        <w:tab/>
        <w:t>Δικαστική επίλυση διαφορών</w:t>
      </w:r>
      <w:bookmarkEnd w:id="65"/>
    </w:p>
    <w:p>
      <w:pPr>
        <w:pStyle w:val="Normal"/>
        <w:rPr>
          <w:lang w:val="el-GR"/>
        </w:rPr>
      </w:pPr>
      <w:r>
        <w:rPr>
          <w:szCs w:val="22"/>
          <w:lang w:val="el-GR"/>
        </w:rPr>
        <w:t>Κάθε διαφορά μεταξύ των συμβαλλόμενων μερών που  προκύπτει  από τη σύμβαση  που συνάπτεται στο πλαίσιο της παρούσας Διακήρυξης,  επιλύεται με την άσκηση</w:t>
      </w:r>
      <w:r>
        <w:rPr>
          <w:lang w:val="el-GR"/>
        </w:rPr>
        <w:t xml:space="preserve"> προσφυγής ή αγωγής στο Διοικητικό Εφετείο της Περιφέρειας στην οποία εκτελείται  η  σύμβαση, κατά τα ειδικότερα οριζόμενα στις παρ. 1 έως και 6 του άρθρου 205Α του ν. 4412/2016</w:t>
      </w:r>
      <w:r>
        <w:rPr>
          <w:rStyle w:val="Style19"/>
          <w:lang w:val="el-GR"/>
        </w:rPr>
        <w:footnoteReference w:id="165"/>
      </w:r>
      <w:r>
        <w:rPr>
          <w:lang w:val="el-GR"/>
        </w:rPr>
        <w:t>. Πριν από την άσκηση της προσφυγής στο Διοικητικό Εφετείο προηγείται υποχρεωτικά η τήρηση της ενδικοφανούς διαδικασίας που προβλέπεται στο άρθρο 205 του ν. 4412/2016 και την παράγραφο 5.3 της παρούσας, διαφορετικά η προσφυγή απορρίπτεται ως απαράδεκτη. Αν ο ανάδοχος της σύμβασης είναι κοινοπραξία, η προσφυγή ασκείται είτε από την ίδια είτε από όλα τα μέλη της. Δεν απαιτείται η τήρηση ενδικοφανούς διαδικασίας αν ασκείται από τον ενδιαφερόμενο αγωγή, στο δικόγραφο της οποίας δεν σωρεύεται αίτημα ακύρωσης ή τροποποίησης διοικητικής πράξης ή παράλειψης.</w:t>
      </w:r>
    </w:p>
    <w:p>
      <w:pPr>
        <w:pStyle w:val="1"/>
        <w:tabs>
          <w:tab w:val="clear" w:pos="720"/>
          <w:tab w:val="left" w:pos="851" w:leader="none"/>
        </w:tabs>
        <w:ind w:left="851" w:hanging="851"/>
        <w:rPr>
          <w:lang w:val="el-GR"/>
        </w:rPr>
      </w:pPr>
      <w:bookmarkStart w:id="66" w:name="_Toc129004455"/>
      <w:r>
        <w:rPr>
          <w:lang w:val="el-GR"/>
        </w:rPr>
        <w:t>6.</w:t>
        <w:tab/>
        <w:t>ΧΡΟΝΟΣ ΚΑΙ ΤΡΟΠΟΣ ΕΚΤΕΛΕΣΗΣ</w:t>
      </w:r>
      <w:bookmarkEnd w:id="66"/>
      <w:r>
        <w:rPr>
          <w:lang w:val="el-GR"/>
        </w:rPr>
        <w:t xml:space="preserve"> </w:t>
      </w:r>
    </w:p>
    <w:p>
      <w:pPr>
        <w:pStyle w:val="2"/>
        <w:rPr>
          <w:rFonts w:ascii="Calibri" w:hAnsi="Calibri" w:cs="Calibri"/>
          <w:bCs/>
          <w:sz w:val="22"/>
          <w:lang w:val="el-GR"/>
        </w:rPr>
      </w:pPr>
      <w:bookmarkStart w:id="67" w:name="_Toc129004456"/>
      <w:r>
        <w:rPr>
          <w:lang w:val="el-GR"/>
        </w:rPr>
        <w:t xml:space="preserve">6.1 </w:t>
        <w:tab/>
        <w:t>Χρόνος παράδοσης αγαθών</w:t>
      </w:r>
      <w:bookmarkEnd w:id="67"/>
    </w:p>
    <w:p>
      <w:pPr>
        <w:pStyle w:val="Standard"/>
        <w:widowControl/>
        <w:spacing w:before="0" w:after="120"/>
        <w:jc w:val="both"/>
        <w:textAlignment w:val="auto"/>
        <w:rPr>
          <w:rFonts w:ascii="Calibri" w:hAnsi="Calibri" w:cs="Calibri"/>
          <w:sz w:val="22"/>
          <w:lang w:eastAsia="ar-SA" w:bidi="ar-SA"/>
        </w:rPr>
      </w:pPr>
      <w:r>
        <w:rPr>
          <w:rFonts w:cs="Calibri" w:ascii="Calibri" w:hAnsi="Calibri"/>
          <w:b/>
          <w:bCs/>
          <w:sz w:val="22"/>
          <w:lang w:eastAsia="ar-SA" w:bidi="ar-SA"/>
        </w:rPr>
        <w:t>6.1.1.</w:t>
      </w:r>
      <w:r>
        <w:rPr>
          <w:rFonts w:cs="Calibri" w:ascii="Calibri" w:hAnsi="Calibri"/>
          <w:sz w:val="22"/>
          <w:lang w:eastAsia="ar-SA" w:bidi="ar-SA"/>
        </w:rPr>
        <w:t xml:space="preserve"> Ο ανάδοχος υποχρεούται να παραδώσει τα αγαθά</w:t>
      </w:r>
      <w:r>
        <w:rPr>
          <w:rFonts w:cs="Calibri" w:ascii="Calibri" w:hAnsi="Calibri"/>
          <w:sz w:val="22"/>
          <w:lang w:val="el-GR" w:eastAsia="ar-SA" w:bidi="ar-SA"/>
        </w:rPr>
        <w:t xml:space="preserve"> σε εξήντα(60) ημέρες από την ημερομηνία υπογραφής της σύμβασης στο αμαξοστάσιο του Δήμου.(περιφερειακή οδός,πλησίον λαχαναγοράς)</w:t>
      </w:r>
    </w:p>
    <w:p>
      <w:pPr>
        <w:pStyle w:val="Standard"/>
        <w:jc w:val="both"/>
        <w:rPr>
          <w:rFonts w:ascii="Calibri" w:hAnsi="Calibri" w:cs="Calibri"/>
          <w:sz w:val="22"/>
          <w:lang w:eastAsia="ar-SA" w:bidi="ar-SA"/>
        </w:rPr>
      </w:pPr>
      <w:r>
        <w:rPr>
          <w:rFonts w:cs="Calibri" w:ascii="Calibri" w:hAnsi="Calibri"/>
          <w:sz w:val="22"/>
          <w:lang w:eastAsia="ar-SA" w:bidi="ar-SA"/>
        </w:rPr>
        <w:t>Ο συμβατικός χρόνος παράδοσης των αγαθών μπορεί να παρατείνεται, πριν από τη λήξη του αρχικού συμβατικού χρόνου παράδοσης, υπό τις ακόλουθες σωρευτικές προϋποθέσεις: α) τηρούνται οι όροι του  άρθρου 132 περί τροποποίησης συμβάσεων κατά τη διάρκειά τους, β) έχει εκδοθεί αιτιολογημένη απόφαση του αρμόδιου αποφαινόμενου οργάνου της αναθέτουσας αρχής μετά από γνωμοδότηση αρμόδιου συλλογικού οργάνου, είτε με πρωτοβουλία της αναθέτουσας αρχής και εφόσον συμφωνεί ο ανάδοχος, είτε ύστερα από σχετικό αίτημα του αναδόχου, το οποίο υποβάλλεται υποχρεωτικά πριν από τη λήξη του συμβατικού χρόνου, γ) το χρονικό διάστημα της παράτασης είναι ίσο ή μικρότερο από τον αρχικό συμβατικό χρόνο παράδοσης.  Στην περίπτωση παράτασης του συμβατικού χρόνου παράδοσης, ο χρόνος παράτασης δεν συνυπολογίζεται στον συμβατικό χρόνο παράδοσης</w:t>
      </w:r>
      <w:r>
        <w:rPr>
          <w:rStyle w:val="Style19"/>
          <w:rFonts w:cs="Calibri" w:ascii="Calibri" w:hAnsi="Calibri"/>
          <w:sz w:val="22"/>
          <w:lang w:eastAsia="ar-SA" w:bidi="ar-SA"/>
        </w:rPr>
        <w:footnoteReference w:id="166"/>
      </w:r>
      <w:r>
        <w:rPr>
          <w:rFonts w:cs="Calibri" w:ascii="Calibri" w:hAnsi="Calibri"/>
          <w:sz w:val="22"/>
          <w:lang w:eastAsia="ar-SA" w:bidi="ar-SA"/>
        </w:rPr>
        <w:t>.</w:t>
      </w:r>
    </w:p>
    <w:p>
      <w:pPr>
        <w:pStyle w:val="Standard"/>
        <w:jc w:val="both"/>
        <w:rPr>
          <w:rFonts w:ascii="Calibri" w:hAnsi="Calibri" w:cs="Calibri"/>
          <w:sz w:val="22"/>
          <w:lang w:eastAsia="ar-SA" w:bidi="ar-SA"/>
        </w:rPr>
      </w:pPr>
      <w:r>
        <w:rPr>
          <w:rFonts w:cs="Calibri" w:ascii="Calibri" w:hAnsi="Calibri"/>
          <w:sz w:val="22"/>
          <w:lang w:eastAsia="ar-SA" w:bidi="ar-SA"/>
        </w:rPr>
        <w:t>Στην περίπτωση παράτασης του συμβατικού χρόνου παράδοσης έπειτα από αίτημα του αναδόχου, επιβάλλονται οι κυρώσεις που προβλέπονται στην παράγραφο 5.2.2 της παρούσας.</w:t>
      </w:r>
    </w:p>
    <w:p>
      <w:pPr>
        <w:pStyle w:val="Standard"/>
        <w:widowControl/>
        <w:spacing w:before="0" w:after="120"/>
        <w:jc w:val="both"/>
        <w:textAlignment w:val="auto"/>
        <w:rPr>
          <w:rFonts w:ascii="Calibri" w:hAnsi="Calibri" w:cs="Calibri"/>
          <w:b/>
          <w:b/>
          <w:bCs/>
          <w:sz w:val="22"/>
          <w:lang w:eastAsia="ar-SA" w:bidi="ar-SA"/>
        </w:rPr>
      </w:pPr>
      <w:r>
        <w:rPr>
          <w:rFonts w:cs="Calibri" w:ascii="Calibri" w:hAnsi="Calibri"/>
          <w:sz w:val="22"/>
          <w:lang w:eastAsia="ar-SA" w:bidi="ar-SA"/>
        </w:rPr>
        <w:t>Με αιτιολογημένη απόφαση του αρμόδιου αποφαινόμενου οργάνου, η οποία εκδίδεται ύστερα από γνωμοδότηση του οργάνου της περ. β’ της παρ. 11 του άρθρου 221 του ν. 4412/2016, ο συμβατικός χρόνος φόρτωσης παράδοσης των αγαθών μπορεί να μετατίθεται. Μετάθεση επιτρέπεται μόνο όταν συντρέχουν λόγοι ανωτέρας βίας ή άλλοι ιδιαιτέρως σοβαροί λόγοι, που καθιστούν αντικειμενικώς αδύνατη την εμπρόθεσμη παράδοση των συμβατικών ειδών. Στις περιπτώσεις μετάθεσης του συμβατικού χρόνου φόρτωσης παράδοσης δεν επιβάλλονται κυρώσεις.</w:t>
      </w:r>
    </w:p>
    <w:p>
      <w:pPr>
        <w:pStyle w:val="Standard"/>
        <w:widowControl/>
        <w:spacing w:before="0" w:after="120"/>
        <w:jc w:val="both"/>
        <w:textAlignment w:val="auto"/>
        <w:rPr>
          <w:rFonts w:ascii="Calibri" w:hAnsi="Calibri" w:cs="Calibri"/>
          <w:b/>
          <w:b/>
          <w:bCs/>
          <w:sz w:val="22"/>
          <w:lang w:eastAsia="ar-SA" w:bidi="ar-SA"/>
        </w:rPr>
      </w:pPr>
      <w:r>
        <w:rPr>
          <w:rFonts w:cs="Calibri" w:ascii="Calibri" w:hAnsi="Calibri"/>
          <w:b/>
          <w:bCs/>
          <w:sz w:val="22"/>
          <w:lang w:eastAsia="ar-SA" w:bidi="ar-SA"/>
        </w:rPr>
        <w:t xml:space="preserve">6.1.2. </w:t>
      </w:r>
      <w:r>
        <w:rPr>
          <w:rFonts w:cs="Calibri" w:ascii="Calibri" w:hAnsi="Calibri"/>
          <w:sz w:val="22"/>
          <w:lang w:eastAsia="ar-SA" w:bidi="ar-SA"/>
        </w:rPr>
        <w:t>Εάν λήξει ο συμβατικός χρόνος παράδοσης, χωρίς να υποβληθεί εγκαίρως αίτημα παράτασης ή, εάν λήξει ο παραταθείς, κατά τα ανωτέρω, χρόνος, χωρίς να παραδοθεί το αγαθό, ο ανάδοχος κηρύσσεται έκπτωτος.</w:t>
      </w:r>
    </w:p>
    <w:p>
      <w:pPr>
        <w:pStyle w:val="Standard"/>
        <w:widowControl/>
        <w:spacing w:before="0" w:after="120"/>
        <w:jc w:val="both"/>
        <w:textAlignment w:val="auto"/>
        <w:rPr>
          <w:rFonts w:ascii="Calibri" w:hAnsi="Calibri" w:cs="Calibri"/>
          <w:sz w:val="22"/>
          <w:lang w:eastAsia="ar-SA" w:bidi="ar-SA"/>
        </w:rPr>
      </w:pPr>
      <w:r>
        <w:rPr>
          <w:rFonts w:cs="Calibri" w:ascii="Calibri" w:hAnsi="Calibri"/>
          <w:b/>
          <w:bCs/>
          <w:sz w:val="22"/>
          <w:lang w:eastAsia="ar-SA" w:bidi="ar-SA"/>
        </w:rPr>
        <w:t>6.1.3.</w:t>
      </w:r>
      <w:r>
        <w:rPr>
          <w:rFonts w:cs="Calibri" w:ascii="Calibri" w:hAnsi="Calibri"/>
          <w:sz w:val="22"/>
          <w:lang w:eastAsia="ar-SA" w:bidi="ar-SA"/>
        </w:rPr>
        <w:t xml:space="preserve"> Ο ανάδοχος υποχρεούται να ειδοποιεί την υπηρεσία που εκτελεί την προμήθεια, την αποθήκη υποδοχής των αγαθών και την επιτροπή παραλαβής, για την ημερομηνία που προτίθεται να παραδώσει το αγαθό, τουλάχιστον πέντε (5) εργάσιμες ημέρες νωρίτερα.</w:t>
      </w:r>
    </w:p>
    <w:p>
      <w:pPr>
        <w:pStyle w:val="Standard"/>
        <w:widowControl/>
        <w:spacing w:before="0" w:after="120"/>
        <w:jc w:val="both"/>
        <w:textAlignment w:val="auto"/>
        <w:rPr/>
      </w:pPr>
      <w:r>
        <w:rPr>
          <w:rFonts w:cs="Calibri" w:ascii="Calibri" w:hAnsi="Calibri"/>
          <w:sz w:val="22"/>
          <w:lang w:eastAsia="ar-SA" w:bidi="ar-SA"/>
        </w:rPr>
        <w:t>Μετά από κάθε προσκόμιση αγαθού στην αποθήκη υποδοχής αυτών, ο ανάδοχος υποχρεούται να υποβάλει στην υπηρεσία αποδεικτικό, θεωρημένο από τον υπεύθυνο της αποθήκης, στο οποίο αναφέρεται η ημερομηνία προσκόμισης, το αγαθό, η ποσότητα και ο αριθμός της σύμβασης σε εκτέλεση της οποίας προσκομίστηκε.</w:t>
      </w:r>
    </w:p>
    <w:p>
      <w:pPr>
        <w:pStyle w:val="2"/>
        <w:ind w:left="0" w:hanging="0"/>
        <w:rPr>
          <w:lang w:val="el-GR"/>
        </w:rPr>
      </w:pPr>
      <w:bookmarkStart w:id="68" w:name="_Toc129004457"/>
      <w:r>
        <w:rPr>
          <w:lang w:val="el-GR"/>
        </w:rPr>
        <w:t xml:space="preserve">6.2 </w:t>
        <w:tab/>
        <w:t>Παραλαβή αγαθών - Χρόνος και τρόπος παραλαβής αγαθών</w:t>
      </w:r>
      <w:bookmarkEnd w:id="68"/>
    </w:p>
    <w:p>
      <w:pPr>
        <w:pStyle w:val="Normal"/>
        <w:rPr>
          <w:lang w:val="el-GR"/>
        </w:rPr>
      </w:pPr>
      <w:r>
        <w:rPr>
          <w:b/>
          <w:lang w:val="el-GR"/>
        </w:rPr>
        <w:t>6.2.1.</w:t>
      </w:r>
      <w:r>
        <w:rPr>
          <w:lang w:val="el-GR"/>
        </w:rPr>
        <w:t xml:space="preserve"> H παραλαβή των αγαθών γίνεται από επιτροπές, πρωτοβάθμιες ή και δευτεροβάθμιες, που συγκροτούνται σύμφωνα με την παρ. 11 περ. β του άρθρου 221 του ν. 4412/16</w:t>
      </w:r>
      <w:r>
        <w:rPr>
          <w:rStyle w:val="Style19"/>
          <w:lang w:val="el-GR"/>
        </w:rPr>
        <w:footnoteReference w:id="167"/>
      </w:r>
      <w:r>
        <w:rPr>
          <w:lang w:val="el-GR"/>
        </w:rPr>
        <w:t xml:space="preserve"> κατά τα οριζόμενα στο άρθρο 208 του ως άνω νόμου </w:t>
      </w:r>
      <w:r>
        <w:rPr>
          <w:rFonts w:eastAsia="SimSun"/>
          <w:i/>
          <w:iCs/>
          <w:color w:val="5B9BD5"/>
          <w:spacing w:val="5"/>
          <w:kern w:val="2"/>
          <w:lang w:val="el-GR"/>
        </w:rPr>
        <w:t>.</w:t>
      </w:r>
      <w:r>
        <w:rPr>
          <w:lang w:val="el-GR"/>
        </w:rPr>
        <w:t xml:space="preserve"> Κατά την διαδικασία παραλαβής των αγαθών διενεργείται ποσοτικός και ποιοτικός έλεγχος και εφόσον το επιθυμεί μπορεί να παραστεί και ο προμηθευτής. </w:t>
      </w:r>
    </w:p>
    <w:p>
      <w:pPr>
        <w:pStyle w:val="Normal"/>
        <w:rPr>
          <w:lang w:val="el-GR"/>
        </w:rPr>
      </w:pPr>
      <w:r>
        <w:rPr>
          <w:lang w:val="el-GR"/>
        </w:rPr>
        <w:t>Το κόστος της διενέργειας των ελέγχων βαρύνει τον ανάδοχο.</w:t>
      </w:r>
    </w:p>
    <w:p>
      <w:pPr>
        <w:pStyle w:val="Normal"/>
        <w:rPr>
          <w:lang w:val="el-GR"/>
        </w:rPr>
      </w:pPr>
      <w:r>
        <w:rPr>
          <w:lang w:val="el-GR"/>
        </w:rPr>
        <w:t>Η επιτροπή παραλαβής, μετά τους προβλεπόμενους ελέγχους συντάσσει πρωτόκολλα (μακροσκοπικό – οριστικό- παραλαβής του αγαθού με παρατηρήσεις –απόρριψης  των αγαθών) σύμφωνα με την παρ.3 του άρθρου 208 του ν. 4412/16.</w:t>
      </w:r>
    </w:p>
    <w:p>
      <w:pPr>
        <w:pStyle w:val="Normal"/>
        <w:rPr>
          <w:lang w:val="el-GR"/>
        </w:rPr>
      </w:pPr>
      <w:r>
        <w:rPr>
          <w:lang w:val="el-GR"/>
        </w:rPr>
        <w:t>Τα πρωτόκολλα που συντάσσονται από τις επιτροπές (πρωτοβάθμιες – δευτεροβάθμιες) κοινοποιούνται υποχρεωτικά και στους αναδόχους.</w:t>
      </w:r>
    </w:p>
    <w:p>
      <w:pPr>
        <w:pStyle w:val="Normal"/>
        <w:rPr>
          <w:lang w:val="el-GR"/>
        </w:rPr>
      </w:pPr>
      <w:r>
        <w:rPr>
          <w:lang w:val="el-GR"/>
        </w:rPr>
        <w:t>Αγαθά που απορρίφθηκαν ή κρίθηκαν παραληπτέα με έκπτωση επί της συμβατικής τιμής, με βάση τους ελέγχους που πραγματοποίησε η πρωτοβάθμια επιτροπή παραλαβής, μπορούν να παραπέμπονται για επανεξέταση σε δευτεροβάθμια επιτροπή παραλαβής ύστερα από αίτημα του αναδόχου ή αυτεπάγγελτα σύμφωνα με την παρ. 5 του άρθρου 208 του ν.4412/16. Τα έξοδα βαρύνουν σε κάθε περίπτωση τον ανάδοχο.</w:t>
      </w:r>
    </w:p>
    <w:p>
      <w:pPr>
        <w:pStyle w:val="Normal"/>
        <w:rPr>
          <w:lang w:val="el-GR"/>
        </w:rPr>
      </w:pPr>
      <w:r>
        <w:rPr>
          <w:lang w:val="el-GR"/>
        </w:rPr>
        <w:t>Επίσης, εάν ο τελευταίος διαφωνεί με τα αποτελέσματα των εργαστηριακών εξετάσεων που  διενεργήθηκαν από πρωτοβάθμιες ή δευτεροβάθμιες επιτροπές παραλαβής μπορεί να ζητήσει εγγράφως εξέταση κατ΄έφεση των οικείων αντιδειγμάτων, μέσα σε ανατρεπτική προθεσμία είκοσι (20) ημερών από την γνωστοποίηση σε αυτόν των αποτελεσμάτων της αρχικής εξέτασης,  με τον τρόπο  που περιγράφεται στην παρ. 8 του άρθρου 208 του ν. 4412/2016.</w:t>
      </w:r>
    </w:p>
    <w:p>
      <w:pPr>
        <w:pStyle w:val="Normal"/>
        <w:rPr>
          <w:lang w:val="el-GR"/>
        </w:rPr>
      </w:pPr>
      <w:r>
        <w:rPr>
          <w:lang w:val="el-GR"/>
        </w:rPr>
        <w:t>Το αποτέλεσμα  της κατ’ έφεση εξέτασης είναι υποχρεωτικό και τελεσίδικο και για τα δύο μέρη.</w:t>
      </w:r>
    </w:p>
    <w:p>
      <w:pPr>
        <w:pStyle w:val="Normal"/>
        <w:rPr>
          <w:b/>
          <w:b/>
          <w:lang w:val="el-GR"/>
        </w:rPr>
      </w:pPr>
      <w:r>
        <w:rPr>
          <w:lang w:val="el-GR"/>
        </w:rPr>
        <w:t>Ο ανάδοχος δεν μπορεί να ζητήσει παραπομπή σε δευτεροβάθμια επιτροπή παραλαβής μετά τα αποτελέσματα της κατ’ έφεση εξέτασης.</w:t>
      </w:r>
    </w:p>
    <w:p>
      <w:pPr>
        <w:pStyle w:val="Normal"/>
        <w:rPr>
          <w:i/>
          <w:i/>
          <w:iCs/>
          <w:color w:val="5B9BD5"/>
          <w:spacing w:val="5"/>
          <w:kern w:val="2"/>
          <w:lang w:val="el-GR"/>
        </w:rPr>
      </w:pPr>
      <w:r>
        <w:rPr>
          <w:b/>
          <w:lang w:val="el-GR"/>
        </w:rPr>
        <w:t>6.2.2.</w:t>
      </w:r>
      <w:r>
        <w:rPr>
          <w:lang w:val="el-GR"/>
        </w:rPr>
        <w:t xml:space="preserve"> Η παραλαβή των αγαθών και η έκδοση των σχετικών πρωτοκόλλων παραλαβής πραγματοποιείται μέσα στους κατωτέρω καθοριζόμενους χρόνους: ....</w:t>
      </w:r>
    </w:p>
    <w:p>
      <w:pPr>
        <w:pStyle w:val="Normal"/>
        <w:rPr>
          <w:lang w:val="el-GR"/>
        </w:rPr>
      </w:pPr>
      <w:r>
        <w:rPr>
          <w:lang w:val="el-GR"/>
        </w:rPr>
        <w:t>Αν η παραλαβή των αγαθών και η σύνταξη του σχετικού πρωτοκόλλου δεν πραγματοποιηθεί από την επιτροπή παρακολούθησης και παραλαβής μέσα στον οριζόμενο από τη σύμβαση χρόνο,  θεωρείται ότι η παραλαβή συντελέστηκε αυτοδίκαια, με κάθε επιφύλαξη των δικαιωμάτων του Δημοσίου και εκδίδεται προς τούτο σχετική απόφαση του αρμόδιου αποφαινόμενου οργάνου, με βάση μόνο το θεωρημένο από την υπηρεσία που παραλαμβάνει τα αγαθά αποδεικτικό προσκόμισης τούτων, σύμφωνα δε με την απόφαση αυτή η αποθήκη του φορέα εκδίδει δελτίο εισαγωγής του αγαθού και εγγραφής του στα βιβλία της, προκειμένου να πραγματοποιηθεί η πληρωμή του αναδόχου.</w:t>
      </w:r>
    </w:p>
    <w:p>
      <w:pPr>
        <w:pStyle w:val="Normal"/>
        <w:rPr>
          <w:lang w:val="el-GR"/>
        </w:rPr>
      </w:pPr>
      <w:r>
        <w:rPr>
          <w:lang w:val="el-GR"/>
        </w:rPr>
        <w:t>Ανεξάρτητα από την, κατά τα ανωτέρω, αυτοδίκαιη παραλαβή και την πληρωμή του αναδόχου, πραγματοποιούνται οι προβλεπόμενοι από τη σύμβαση έλεγχοι από επιτροπή που συγκροτείται με απόφαση του αρμόδιου αποφαινόμενου οργάνου, στην οποία δεν μπορεί να συμμετέχουν ο πρόεδρος και τα μέλη της επιτροπής που δεν πραγματοποίησε την παραλαβή στον προβλεπόμενο από τη σύμβαση χρόνο. Η παραπάνω επιτροπή παραλαβής προβαίνει σε όλες τις διαδικασίες παραλαβής που προβλέπονται από την ως άνω παράγραφο 1 και το άρθρο 208 του ν. 4412/2016 και συντάσσει τα σχετικά πρωτόκολλα. Οι εγγυητικές επιστολές προκαταβολής και καλής εκτέλεσης δεν επιστρέφονται πριν από την ολοκλήρωση όλων των προβλεπόμενων από τη σύμβαση ελέγχων και τη σύνταξη των σχετικών πρωτοκόλλων.</w:t>
      </w:r>
      <w:r>
        <w:rPr>
          <w:rStyle w:val="Style19"/>
          <w:lang w:val="el-GR"/>
        </w:rPr>
        <w:footnoteReference w:id="168"/>
      </w:r>
    </w:p>
    <w:p>
      <w:pPr>
        <w:pStyle w:val="2"/>
        <w:tabs>
          <w:tab w:val="clear" w:pos="567"/>
          <w:tab w:val="left" w:pos="563" w:leader="none"/>
        </w:tabs>
        <w:rPr>
          <w:i/>
          <w:i/>
          <w:iCs/>
          <w:color w:val="5B9BD5"/>
          <w:spacing w:val="5"/>
          <w:kern w:val="2"/>
          <w:lang w:val="el-GR"/>
        </w:rPr>
      </w:pPr>
      <w:bookmarkStart w:id="69" w:name="_Toc129004458"/>
      <w:r>
        <w:rPr>
          <w:lang w:val="el-GR"/>
        </w:rPr>
        <w:t xml:space="preserve">6.3 </w:t>
        <w:tab/>
        <w:t>Ειδικοί όροι ναύλωσης – ασφάλισης - ανακοίνωσης φόρτωσης και ποιοτικού ελέγχου στο εξωτερικό</w:t>
      </w:r>
      <w:bookmarkEnd w:id="69"/>
    </w:p>
    <w:p>
      <w:pPr>
        <w:pStyle w:val="Normal"/>
        <w:rPr>
          <w:lang w:val="el-GR"/>
        </w:rPr>
      </w:pPr>
      <w:r>
        <w:rPr>
          <w:lang w:val="el-GR"/>
        </w:rPr>
      </w:r>
    </w:p>
    <w:p>
      <w:pPr>
        <w:pStyle w:val="2"/>
        <w:rPr>
          <w:rFonts w:eastAsia="SimSun"/>
          <w:bCs/>
          <w:lang w:val="el-GR"/>
        </w:rPr>
      </w:pPr>
      <w:bookmarkStart w:id="70" w:name="_Toc129004459"/>
      <w:r>
        <w:rPr>
          <w:lang w:val="el-GR"/>
        </w:rPr>
        <w:t xml:space="preserve">6.4 </w:t>
        <w:tab/>
        <w:t>Απόρριψη συμβατικών αγαθών – Αντικατάσταση</w:t>
      </w:r>
      <w:bookmarkEnd w:id="70"/>
    </w:p>
    <w:p>
      <w:pPr>
        <w:pStyle w:val="Normal"/>
        <w:rPr>
          <w:rFonts w:eastAsia="SimSun"/>
          <w:b/>
          <w:b/>
          <w:bCs/>
          <w:szCs w:val="22"/>
          <w:lang w:val="el-GR"/>
        </w:rPr>
      </w:pPr>
      <w:r>
        <w:rPr>
          <w:rFonts w:eastAsia="SimSun"/>
          <w:b/>
          <w:bCs/>
          <w:szCs w:val="22"/>
          <w:lang w:val="el-GR"/>
        </w:rPr>
        <w:t>6.4.1.</w:t>
      </w:r>
      <w:r>
        <w:rPr>
          <w:rFonts w:eastAsia="SimSun"/>
          <w:szCs w:val="22"/>
          <w:lang w:val="el-GR"/>
        </w:rPr>
        <w:t xml:space="preserve"> Σε περίπτωση οριστικής απόρριψης ολόκληρης ή μέρους της συμβατικής ποσότητας των αγαθών, με απόφαση του αποφαινόμενου οργάνου ύστερα από γνωμοδότηση του αρμόδιου οργάνου, μπορεί να εγκρίνεται αντικατάστασή της με άλλη, που να είναι σύμφωνη με τους όρους της σύμβασης, μέσα σε τακτή προθεσμία που ορίζεται από την απόφαση αυτή.</w:t>
      </w:r>
    </w:p>
    <w:p>
      <w:pPr>
        <w:pStyle w:val="Normal"/>
        <w:rPr>
          <w:rFonts w:eastAsia="SimSun"/>
          <w:b/>
          <w:b/>
          <w:bCs/>
          <w:szCs w:val="22"/>
          <w:lang w:val="el-GR"/>
        </w:rPr>
      </w:pPr>
      <w:r>
        <w:rPr>
          <w:rFonts w:eastAsia="SimSun"/>
          <w:b/>
          <w:bCs/>
          <w:szCs w:val="22"/>
          <w:lang w:val="el-GR"/>
        </w:rPr>
        <w:t>6.4.2.</w:t>
      </w:r>
      <w:r>
        <w:rPr>
          <w:rFonts w:eastAsia="SimSun"/>
          <w:szCs w:val="22"/>
          <w:lang w:val="el-GR"/>
        </w:rPr>
        <w:t xml:space="preserve"> Αν η αντικατάσταση γίνεται μετά τη λήξη του συμβατικού χρόνου, η προθεσμία που ορίζεται για την αντικατάσταση δεν μπορεί να είναι μεγαλύτερη του 1/2 του συνολικού συμβατικού χρόνου, ο δε ανάδοχος θεωρείται ως εκπρόθεσμος και υπόκειται σε κυρώσεις λόγω εκπρόθεσμης παράδοσης.</w:t>
        <w:br/>
        <w:t>Αν ο ανάδοχος δεν αντικαταστήσει τα αγαθά που απορρίφθηκαν μέσα στην προθεσμία που του τάχθηκε και εφόσον έχει λήξει ο συμβατικός χρόνος, κηρύσσεται έκπτωτος και υπόκειται στις προβλεπόμενες κυρώσεις.</w:t>
      </w:r>
    </w:p>
    <w:p>
      <w:pPr>
        <w:pStyle w:val="Normal"/>
        <w:rPr>
          <w:lang w:val="el-GR"/>
        </w:rPr>
      </w:pPr>
      <w:r>
        <w:rPr>
          <w:rFonts w:eastAsia="SimSun"/>
          <w:b/>
          <w:bCs/>
          <w:szCs w:val="22"/>
          <w:lang w:val="el-GR"/>
        </w:rPr>
        <w:t>6.4.3.</w:t>
      </w:r>
      <w:r>
        <w:rPr>
          <w:rFonts w:eastAsia="SimSun"/>
          <w:szCs w:val="22"/>
          <w:lang w:val="el-GR"/>
        </w:rPr>
        <w:t xml:space="preserve"> Η επιστροφή των αγαθών που απορρίφθηκαν γίνεται σύμφωνα με τα προβλεπόμενα στις παρ. 2 και 3  του άρθρου 213 του ν. 4412/2016.</w:t>
      </w:r>
    </w:p>
    <w:p>
      <w:pPr>
        <w:pStyle w:val="2"/>
        <w:rPr>
          <w:i/>
          <w:i/>
          <w:iCs/>
          <w:color w:val="5B9BD5"/>
          <w:spacing w:val="5"/>
          <w:kern w:val="2"/>
          <w:lang w:val="el-GR"/>
        </w:rPr>
      </w:pPr>
      <w:bookmarkStart w:id="71" w:name="_Toc129004460"/>
      <w:r>
        <w:rPr>
          <w:lang w:val="el-GR"/>
        </w:rPr>
        <w:t xml:space="preserve">6.5 </w:t>
        <w:tab/>
        <w:t>Δείγματα – Δειγματοληψία – Εργαστηριακές εξετάσεις</w:t>
      </w:r>
      <w:bookmarkEnd w:id="71"/>
    </w:p>
    <w:p>
      <w:pPr>
        <w:pStyle w:val="Normal"/>
        <w:rPr>
          <w:lang w:val="el-GR"/>
        </w:rPr>
      </w:pPr>
      <w:r>
        <w:rPr>
          <w:lang w:val="el-GR"/>
        </w:rPr>
      </w:r>
    </w:p>
    <w:p>
      <w:pPr>
        <w:pStyle w:val="2"/>
        <w:rPr>
          <w:i/>
          <w:i/>
          <w:iCs/>
          <w:color w:val="5B9BD5"/>
          <w:spacing w:val="5"/>
          <w:kern w:val="2"/>
          <w:lang w:val="el-GR"/>
        </w:rPr>
      </w:pPr>
      <w:bookmarkStart w:id="72" w:name="_Toc129004461"/>
      <w:r>
        <w:rPr>
          <w:lang w:val="el-GR"/>
        </w:rPr>
        <w:t xml:space="preserve">6.6 </w:t>
        <w:tab/>
        <w:t>Εγγυημένη λειτουργία προμήθειας</w:t>
      </w:r>
      <w:r>
        <w:rPr>
          <w:rStyle w:val="Style19"/>
          <w:lang w:val="el-GR"/>
        </w:rPr>
        <w:footnoteReference w:id="169"/>
      </w:r>
      <w:bookmarkEnd w:id="72"/>
      <w:r>
        <w:rPr>
          <w:lang w:val="el-GR"/>
        </w:rPr>
        <w:t xml:space="preserve"> </w:t>
      </w:r>
    </w:p>
    <w:p>
      <w:pPr>
        <w:pStyle w:val="Normal"/>
        <w:rPr>
          <w:i/>
          <w:i/>
          <w:iCs/>
          <w:color w:val="5B9BD5"/>
          <w:spacing w:val="5"/>
          <w:kern w:val="2"/>
          <w:lang w:val="el-GR"/>
        </w:rPr>
      </w:pPr>
      <w:r>
        <w:rPr>
          <w:i/>
          <w:iCs/>
          <w:color w:val="5B9BD5"/>
          <w:spacing w:val="5"/>
          <w:kern w:val="2"/>
          <w:lang w:val="el-GR"/>
        </w:rPr>
      </w:r>
    </w:p>
    <w:p>
      <w:pPr>
        <w:pStyle w:val="Normal"/>
        <w:rPr>
          <w:lang w:val="el-GR"/>
        </w:rPr>
      </w:pPr>
      <w:r>
        <w:rPr>
          <w:i/>
          <w:iCs/>
          <w:color w:val="5B9BD5"/>
          <w:spacing w:val="5"/>
          <w:kern w:val="2"/>
          <w:lang w:val="el-GR"/>
        </w:rPr>
        <w:t xml:space="preserve"> </w:t>
      </w:r>
      <w:r>
        <w:rPr>
          <w:lang w:val="el-GR"/>
        </w:rPr>
        <w:t>Κατά την περίοδο της εγγυημένης λειτουργίας, ο ανάδοχος ευθύνεται για την καλή λειτουργία του αντικειμένου της προμήθειας. Επίσης, οφείλει κατά τον χρόνο της εγγυημένης λειτουργίας να προβαίνει στην προβλεπόμενη συντήρηση και να αποκαταστήσει οποιαδήποτε βλάβη με τρόπο και σε χρόνο που περιγράφονται στις τεχνικές προδιαγραφές και στα λοιπά τεύχη της σύμβασης.</w:t>
      </w:r>
    </w:p>
    <w:p>
      <w:pPr>
        <w:pStyle w:val="Normal"/>
        <w:rPr>
          <w:lang w:val="el-GR"/>
        </w:rPr>
      </w:pPr>
      <w:r>
        <w:rPr>
          <w:lang w:val="el-GR"/>
        </w:rPr>
        <w:t>Για την παρακολούθηση της εκπλήρωσης των συμβατικών υποχρεώσεων του αναδόχου η επιτροπή παρακολούθησης και παραλαβής ή η ειδική επιτροπή που ορίζεται για τον σκοπό αυτόν από την αναθέτουσα αρχή</w:t>
      </w:r>
      <w:r>
        <w:rPr>
          <w:rStyle w:val="Style19"/>
          <w:lang w:val="el-GR"/>
        </w:rPr>
        <w:footnoteReference w:id="170"/>
      </w:r>
      <w:r>
        <w:rPr>
          <w:lang w:val="el-GR"/>
        </w:rPr>
        <w:t xml:space="preserve"> προβαίνει στον απαιτούμενο έλεγχο της συμμόρφωσης του αναδόχου στα προβλεπόμενα στη σύμβαση για την εγγυημένη λειτουργία καθ’ όλον τον χρόνο ισχύος της τηρώντας σχετικά πρακτικά. Σε περίπτωση μη συμμόρφωσης του αναδόχου προς τις συμβατικές του υποχρεώσεις,  η επιτροπή εισηγείται στο αποφαινόμενο όργανο της σύμβασης την έκπτωση του αναδόχου.</w:t>
      </w:r>
    </w:p>
    <w:p>
      <w:pPr>
        <w:pStyle w:val="Normal"/>
        <w:rPr>
          <w:lang w:val="el-GR"/>
        </w:rPr>
      </w:pPr>
      <w:r>
        <w:rPr>
          <w:lang w:val="el-GR"/>
        </w:rPr>
        <w:t xml:space="preserve">Μέσα σε ένα (1) μήνα από τη λήξη του προβλεπόμενου χρόνου της εγγυημένης λειτουργίας </w:t>
      </w:r>
      <w:r>
        <w:rPr>
          <w:color w:val="000000"/>
          <w:lang w:val="el-GR"/>
        </w:rPr>
        <w:t xml:space="preserve">η ως άνω επιτροπή </w:t>
      </w:r>
      <w:r>
        <w:rPr>
          <w:lang w:val="el-GR"/>
        </w:rPr>
        <w:t>συντάσσει σχετικό πρωτόκολλο παραλαβής της εγγυημένης λειτουργίας, στο οποίο αποφαίνεται για τη συμμόρφωση του αναδόχου στις απαιτήσεις της σύμβασης. Σε περίπτωση μη συμμόρφωσης, ολικής ή μερικής, του αναδόχου, το συλλογικό όργανο μπορεί να προτείνει την  κατάπτωση της εγγύησης καλής λειτουργίας που προβλέπεται στο άρθρο 72 του ν. 4412/2016 περί εγγυήσεων και στην παράγραφο 4.1.2 της παρούσας. Το πρωτόκολλο εγκρίνεται από το αρμόδιο αποφαινόμενο όργανο.</w:t>
      </w:r>
    </w:p>
    <w:p>
      <w:pPr>
        <w:pStyle w:val="2"/>
        <w:rPr>
          <w:i/>
          <w:i/>
          <w:iCs/>
          <w:color w:val="5B9BD5"/>
          <w:spacing w:val="5"/>
          <w:kern w:val="2"/>
          <w:lang w:val="el-GR"/>
        </w:rPr>
      </w:pPr>
      <w:bookmarkStart w:id="73" w:name="_Toc129004462"/>
      <w:r>
        <w:rPr>
          <w:lang w:val="el-GR"/>
        </w:rPr>
        <w:t xml:space="preserve">6.7 </w:t>
        <w:tab/>
        <w:t>Αναπροσαρμογή τιμής</w:t>
      </w:r>
      <w:r>
        <w:rPr>
          <w:rStyle w:val="Style19"/>
          <w:lang w:val="el-GR"/>
        </w:rPr>
        <w:footnoteReference w:id="171"/>
      </w:r>
      <w:bookmarkEnd w:id="73"/>
      <w:r>
        <w:rPr>
          <w:lang w:val="el-GR"/>
        </w:rPr>
        <w:t xml:space="preserve"> </w:t>
      </w:r>
    </w:p>
    <w:p>
      <w:pPr>
        <w:pStyle w:val="Normal"/>
        <w:rPr>
          <w:i/>
          <w:i/>
          <w:iCs/>
          <w:color w:val="5B9BD5"/>
          <w:spacing w:val="5"/>
          <w:kern w:val="2"/>
          <w:lang w:val="el-GR"/>
        </w:rPr>
      </w:pPr>
      <w:r>
        <w:rPr>
          <w:i/>
          <w:iCs/>
          <w:color w:val="5B9BD5"/>
          <w:spacing w:val="5"/>
          <w:kern w:val="2"/>
          <w:lang w:val="el-GR"/>
        </w:rPr>
      </w:r>
    </w:p>
    <w:p>
      <w:pPr>
        <w:pStyle w:val="Normal"/>
        <w:rPr>
          <w:lang w:val="el-GR"/>
        </w:rPr>
      </w:pPr>
      <w:r>
        <w:rPr>
          <w:lang w:val="el-GR"/>
        </w:rPr>
      </w:r>
    </w:p>
    <w:p>
      <w:pPr>
        <w:pStyle w:val="Normal"/>
        <w:keepNext w:val="true"/>
        <w:numPr>
          <w:ilvl w:val="0"/>
          <w:numId w:val="0"/>
        </w:numPr>
        <w:pBdr>
          <w:bottom w:val="single" w:sz="8" w:space="1" w:color="000080"/>
        </w:pBdr>
        <w:tabs>
          <w:tab w:val="clear" w:pos="720"/>
          <w:tab w:val="left" w:pos="567" w:leader="none"/>
        </w:tabs>
        <w:spacing w:before="240" w:after="80"/>
        <w:ind w:left="567" w:hanging="567"/>
        <w:outlineLvl w:val="1"/>
        <w:rPr>
          <w:rFonts w:ascii="Arial" w:hAnsi="Arial" w:cs="Arial"/>
          <w:b/>
          <w:b/>
          <w:color w:val="002060"/>
          <w:sz w:val="24"/>
          <w:szCs w:val="22"/>
          <w:lang w:val="el-GR"/>
        </w:rPr>
      </w:pPr>
      <w:r>
        <w:rPr>
          <w:rFonts w:cs="Arial" w:ascii="Arial" w:hAnsi="Arial"/>
          <w:b/>
          <w:color w:val="002060"/>
          <w:sz w:val="24"/>
          <w:szCs w:val="22"/>
          <w:lang w:val="el-GR"/>
        </w:rPr>
        <w:t xml:space="preserve">6.8 </w:t>
        <w:tab/>
        <w:t xml:space="preserve">Επικαιροποίηση τεχνικών προδιαγραφών κατά την εκτέλεση της σύμβασης </w:t>
      </w:r>
      <w:r>
        <w:rPr>
          <w:rStyle w:val="Style19"/>
          <w:rFonts w:cs="Arial" w:ascii="Arial" w:hAnsi="Arial"/>
          <w:b/>
          <w:color w:val="002060"/>
          <w:sz w:val="24"/>
          <w:szCs w:val="22"/>
          <w:lang w:val="el-GR"/>
        </w:rPr>
        <w:footnoteReference w:id="172"/>
      </w:r>
      <w:r>
        <w:rPr>
          <w:rFonts w:cs="Arial" w:ascii="Arial" w:hAnsi="Arial"/>
          <w:b/>
          <w:color w:val="002060"/>
          <w:sz w:val="24"/>
          <w:szCs w:val="22"/>
          <w:lang w:val="el-GR"/>
        </w:rPr>
        <w:t xml:space="preserve"> </w:t>
      </w:r>
    </w:p>
    <w:p>
      <w:pPr>
        <w:pStyle w:val="Normal"/>
        <w:rPr>
          <w:lang w:val="el-GR"/>
        </w:rPr>
      </w:pPr>
      <w:r>
        <w:rPr>
          <w:iCs/>
          <w:lang w:val="el-GR"/>
        </w:rPr>
        <w:t>Εφόσον, μετά τη σύναψη της σύμβασης έχουν αντικατασταθεί, από τον κατασκευαστή, κάποια εκ των προσφερόμενων αγαθών  με νεότερα είδη/ μοντέλα / εκδόσεις, ο ανάδοχος υποβάλλει στην αναθέτουσα αρχή πρόταση επικαιροποίησης, η οποία υπόκειται στην έγκριση της αναθέτουσας αρχής, κατόπιν γνωμοδότησης της Επιτροπής Παρακολούθησης- Παραλαβής. Στο πλαίσιο της πρότασης επικαιροποίησης, τα αγαθά που θα αντικαταστήσουν εκείνα που προσφέρθηκαν και αξιολογήθηκαν πρέπει είναι τουλάχιστον ισοδύναμα με τα προσφερθέντα. Εφόσον εγκριθεί η πρόταση, ο ανάδοχος υποχρεούται να προμηθεύσει τα επικαιροποιημένα αγαθά αντί των αρχικά προσφερθέντων, χωρίς πρόσθετη οικονομική επιβάρυνση της αναθέτουσας αρχής</w:t>
      </w:r>
      <w:r>
        <w:rPr>
          <w:iCs/>
          <w:color w:val="FF0000"/>
          <w:lang w:val="el-GR"/>
        </w:rPr>
        <w:t xml:space="preserve"> </w:t>
      </w:r>
      <w:r>
        <w:rPr>
          <w:iCs/>
          <w:lang w:val="el-GR"/>
        </w:rPr>
        <w:t>και χωρίς</w:t>
      </w:r>
      <w:r>
        <w:rPr>
          <w:iCs/>
          <w:color w:val="FF0000"/>
          <w:lang w:val="el-GR"/>
        </w:rPr>
        <w:t xml:space="preserve"> </w:t>
      </w:r>
      <w:r>
        <w:rPr>
          <w:iCs/>
          <w:lang w:val="el-GR"/>
        </w:rPr>
        <w:t xml:space="preserve">μεταβολή των όρων πληρωμής. Ο χρόνος παράδοσης των επικαιροποιημένων αγαθών, όπως έχει οριστεί στην παρ. 6.1.1. της παρούσας, εκκινεί από την κοινοποίηση της εγκριτικής απόφασης της αναθέτουσας αρχής </w:t>
      </w:r>
      <w:r>
        <w:rPr>
          <w:lang w:val="el-GR"/>
        </w:rPr>
        <w:t xml:space="preserve">στον ανάδοχο. </w:t>
      </w:r>
    </w:p>
    <w:p>
      <w:pPr>
        <w:pStyle w:val="Normal"/>
        <w:rPr>
          <w:lang w:val="el-GR"/>
        </w:rPr>
      </w:pPr>
      <w:r>
        <w:rPr>
          <w:lang w:val="el-GR"/>
        </w:rPr>
      </w:r>
    </w:p>
    <w:p>
      <w:pPr>
        <w:pStyle w:val="Normal"/>
        <w:rPr>
          <w:lang w:val="el-GR"/>
        </w:rPr>
      </w:pPr>
      <w:r>
        <w:rPr>
          <w:lang w:val="el-GR"/>
        </w:rPr>
      </w:r>
    </w:p>
    <w:p>
      <w:pPr>
        <w:pStyle w:val="Normal"/>
        <w:jc w:val="center"/>
        <w:rPr>
          <w:lang w:val="el-GR"/>
        </w:rPr>
      </w:pPr>
      <w:r>
        <w:rPr>
          <w:lang w:val="el-GR"/>
        </w:rPr>
        <w:t>Ο ΔΗΜΑΡΧΟΣ</w:t>
      </w:r>
    </w:p>
    <w:p>
      <w:pPr>
        <w:pStyle w:val="Normal"/>
        <w:jc w:val="center"/>
        <w:rPr>
          <w:lang w:val="el-GR"/>
        </w:rPr>
      </w:pPr>
      <w:r>
        <w:rPr>
          <w:lang w:val="el-GR"/>
        </w:rPr>
      </w:r>
    </w:p>
    <w:p>
      <w:pPr>
        <w:pStyle w:val="Normal"/>
        <w:jc w:val="center"/>
        <w:rPr>
          <w:lang w:val="el-GR"/>
        </w:rPr>
      </w:pPr>
      <w:r>
        <w:rPr>
          <w:lang w:val="el-GR"/>
        </w:rPr>
      </w:r>
    </w:p>
    <w:p>
      <w:pPr>
        <w:pStyle w:val="Normal"/>
        <w:jc w:val="center"/>
        <w:rPr>
          <w:lang w:val="el-GR"/>
        </w:rPr>
      </w:pPr>
      <w:r>
        <w:rPr>
          <w:lang w:val="el-GR"/>
        </w:rPr>
        <w:t>ΤΣΙΑΚΟΣ ΒΑΣΙΛΕΙΟΣ</w:t>
      </w:r>
    </w:p>
    <w:p>
      <w:pPr>
        <w:pStyle w:val="1"/>
        <w:spacing w:before="57" w:after="57"/>
        <w:rPr>
          <w:lang w:val="el-GR"/>
        </w:rPr>
      </w:pPr>
      <w:bookmarkStart w:id="74" w:name="_Toc129004463"/>
      <w:r>
        <w:rPr>
          <w:rFonts w:cs="Calibri" w:ascii="Calibri" w:hAnsi="Calibri"/>
          <w:lang w:val="el-GR"/>
        </w:rPr>
        <w:t>ΠΑΡΑΡΤΗΜΑΤΑ</w:t>
      </w:r>
      <w:bookmarkEnd w:id="74"/>
    </w:p>
    <w:p>
      <w:pPr>
        <w:pStyle w:val="Normal"/>
        <w:rPr>
          <w:lang w:val="el-GR"/>
        </w:rPr>
      </w:pPr>
      <w:r>
        <w:rPr>
          <w:lang w:val="el-GR"/>
        </w:rPr>
      </w:r>
    </w:p>
    <w:p>
      <w:pPr>
        <w:pStyle w:val="2"/>
        <w:tabs>
          <w:tab w:val="clear" w:pos="567"/>
          <w:tab w:val="left" w:pos="0" w:leader="none"/>
        </w:tabs>
        <w:spacing w:before="57" w:after="57"/>
        <w:ind w:left="0" w:hanging="0"/>
        <w:rPr>
          <w:rFonts w:eastAsia="SimSun"/>
          <w:i/>
          <w:i/>
          <w:iCs/>
          <w:color w:val="5B9BD5"/>
          <w:lang w:val="el-GR"/>
        </w:rPr>
      </w:pPr>
      <w:bookmarkStart w:id="75" w:name="_Toc129004464"/>
      <w:r>
        <w:rPr>
          <w:lang w:val="el-GR"/>
        </w:rPr>
        <w:t>ΠΑΡΑΡΤΗΜΑ Ι – Αναλυτική Περιγραφή Φυσικού και Οικονομικού Αντικειμένου της Σύμβασης (προσαρμοσμένο από την Αναθέτουσα Αρχή)</w:t>
      </w:r>
      <w:bookmarkEnd w:id="75"/>
    </w:p>
    <w:p>
      <w:pPr>
        <w:pStyle w:val="Normal"/>
        <w:rPr>
          <w:rFonts w:ascii="Calibri" w:hAnsi="Calibri" w:cs="Calibri"/>
          <w:b/>
          <w:b/>
          <w:bCs/>
          <w:sz w:val="32"/>
          <w:szCs w:val="32"/>
        </w:rPr>
      </w:pPr>
      <w:r>
        <w:rPr>
          <w:rFonts w:cs="Calibri"/>
          <w:b/>
          <w:bCs/>
          <w:sz w:val="32"/>
          <w:szCs w:val="32"/>
        </w:rPr>
      </w:r>
    </w:p>
    <w:p>
      <w:pPr>
        <w:pStyle w:val="Normal"/>
        <w:spacing w:lineRule="auto" w:line="360"/>
        <w:jc w:val="center"/>
        <w:rPr>
          <w:rFonts w:ascii="Tahoma" w:hAnsi="Tahoma" w:cs="Tahoma"/>
          <w:b/>
          <w:b/>
          <w:bCs/>
          <w:sz w:val="2"/>
          <w:szCs w:val="2"/>
        </w:rPr>
      </w:pPr>
      <w:r>
        <w:rPr>
          <w:rFonts w:cs="Tahoma" w:ascii="Tahoma" w:hAnsi="Tahoma"/>
          <w:b/>
          <w:bCs/>
          <w:sz w:val="2"/>
          <w:szCs w:val="2"/>
        </w:rPr>
      </w:r>
    </w:p>
    <w:tbl>
      <w:tblPr>
        <w:tblW w:w="9288" w:type="dxa"/>
        <w:jc w:val="left"/>
        <w:tblInd w:w="0" w:type="dxa"/>
        <w:tblLayout w:type="fixed"/>
        <w:tblCellMar>
          <w:top w:w="0" w:type="dxa"/>
          <w:left w:w="108" w:type="dxa"/>
          <w:bottom w:w="0" w:type="dxa"/>
          <w:right w:w="108" w:type="dxa"/>
        </w:tblCellMar>
      </w:tblPr>
      <w:tblGrid>
        <w:gridCol w:w="4968"/>
        <w:gridCol w:w="4319"/>
      </w:tblGrid>
      <w:tr>
        <w:trPr/>
        <w:tc>
          <w:tcPr>
            <w:tcW w:w="4968" w:type="dxa"/>
            <w:tcBorders/>
          </w:tcPr>
          <w:p>
            <w:pPr>
              <w:pStyle w:val="Normal"/>
              <w:widowControl w:val="false"/>
              <w:rPr>
                <w:rFonts w:ascii="Calibri" w:hAnsi="Calibri" w:cs="Calibri"/>
                <w:b/>
                <w:b/>
                <w:bCs/>
                <w:sz w:val="24"/>
                <w:szCs w:val="24"/>
              </w:rPr>
            </w:pPr>
            <w:r>
              <w:rPr>
                <w:rFonts w:cs="Calibri"/>
                <w:b/>
                <w:bCs/>
                <w:sz w:val="24"/>
                <w:szCs w:val="24"/>
              </w:rPr>
              <w:t>ΕΛΛΗΝΙΚΗ ΔΗΜΟΚΡΑΤΙΑ</w:t>
            </w:r>
          </w:p>
          <w:p>
            <w:pPr>
              <w:pStyle w:val="Normal"/>
              <w:widowControl w:val="false"/>
              <w:rPr>
                <w:rFonts w:ascii="Calibri" w:hAnsi="Calibri" w:cs="Calibri"/>
                <w:b/>
                <w:b/>
                <w:bCs/>
                <w:sz w:val="24"/>
                <w:szCs w:val="24"/>
              </w:rPr>
            </w:pPr>
            <w:r>
              <w:rPr>
                <w:rFonts w:cs="Calibri"/>
                <w:b/>
                <w:bCs/>
                <w:sz w:val="24"/>
                <w:szCs w:val="24"/>
              </w:rPr>
              <w:t>ΔΗΜΟΣ ΚΑΡΔΙΤΣΑΣ</w:t>
            </w:r>
          </w:p>
          <w:p>
            <w:pPr>
              <w:pStyle w:val="Normal"/>
              <w:widowControl w:val="false"/>
              <w:rPr>
                <w:rFonts w:ascii="Calibri" w:hAnsi="Calibri" w:cs="Calibri"/>
                <w:b/>
                <w:b/>
                <w:bCs/>
                <w:sz w:val="24"/>
                <w:szCs w:val="24"/>
              </w:rPr>
            </w:pPr>
            <w:r>
              <w:rPr>
                <w:rFonts w:cs="Calibri"/>
                <w:b/>
                <w:bCs/>
                <w:sz w:val="24"/>
                <w:szCs w:val="24"/>
              </w:rPr>
              <w:t>ΔΙΕΥΘΥΝΣΗ ΠΡΟΓΡΑΜΜΑΤΙΣΜΟΥ,</w:t>
            </w:r>
          </w:p>
          <w:p>
            <w:pPr>
              <w:pStyle w:val="Normal"/>
              <w:widowControl w:val="false"/>
              <w:rPr>
                <w:rFonts w:ascii="Calibri" w:hAnsi="Calibri" w:cs="Calibri"/>
                <w:b/>
                <w:b/>
                <w:bCs/>
                <w:sz w:val="24"/>
                <w:szCs w:val="24"/>
              </w:rPr>
            </w:pPr>
            <w:r>
              <w:rPr>
                <w:rFonts w:cs="Calibri"/>
                <w:b/>
                <w:bCs/>
                <w:sz w:val="24"/>
                <w:szCs w:val="24"/>
              </w:rPr>
              <w:t>ΠΛΗΡΟΦΟΡΙΚΗΣ ΚΑΙ ΔΙΑΦΑΝΕΙΑΣ</w:t>
            </w:r>
          </w:p>
          <w:p>
            <w:pPr>
              <w:pStyle w:val="Normal"/>
              <w:widowControl w:val="false"/>
              <w:rPr>
                <w:rFonts w:ascii="Calibri" w:hAnsi="Calibri" w:cs="Calibri"/>
                <w:b/>
                <w:b/>
                <w:bCs/>
                <w:sz w:val="24"/>
                <w:szCs w:val="24"/>
              </w:rPr>
            </w:pPr>
            <w:r>
              <w:rPr>
                <w:rFonts w:cs="Calibri"/>
                <w:b/>
                <w:bCs/>
                <w:sz w:val="24"/>
                <w:szCs w:val="24"/>
              </w:rPr>
              <w:t>ΤΜΗΜΑ ΠΡΟΓΡΑΜΜΑΤΙΣΜΟΥ</w:t>
            </w:r>
          </w:p>
          <w:p>
            <w:pPr>
              <w:pStyle w:val="Normal"/>
              <w:widowControl w:val="false"/>
              <w:rPr>
                <w:rFonts w:ascii="Calibri" w:hAnsi="Calibri" w:cs="Calibri"/>
                <w:b/>
                <w:b/>
                <w:bCs/>
                <w:sz w:val="28"/>
                <w:szCs w:val="28"/>
              </w:rPr>
            </w:pPr>
            <w:r>
              <w:rPr>
                <w:rFonts w:cs="Calibri"/>
                <w:b/>
                <w:bCs/>
                <w:sz w:val="28"/>
                <w:szCs w:val="28"/>
              </w:rPr>
            </w:r>
          </w:p>
          <w:p>
            <w:pPr>
              <w:pStyle w:val="Normal"/>
              <w:widowControl w:val="false"/>
              <w:rPr>
                <w:rFonts w:ascii="Calibri" w:hAnsi="Calibri" w:cs="Calibri"/>
                <w:bCs/>
              </w:rPr>
            </w:pPr>
            <w:r>
              <w:rPr>
                <w:rFonts w:cs="Calibri"/>
                <w:bCs/>
              </w:rPr>
              <w:t>Δ/νση : Αρτεσιανού 1, Καρδίτσα</w:t>
            </w:r>
          </w:p>
          <w:p>
            <w:pPr>
              <w:pStyle w:val="Normal"/>
              <w:widowControl w:val="false"/>
              <w:rPr>
                <w:rFonts w:ascii="Calibri" w:hAnsi="Calibri" w:cs="Calibri"/>
                <w:bCs/>
              </w:rPr>
            </w:pPr>
            <w:r>
              <w:rPr>
                <w:rFonts w:cs="Calibri"/>
                <w:bCs/>
              </w:rPr>
              <w:t>Ταχ. Κώδικας : 43131</w:t>
            </w:r>
          </w:p>
          <w:p>
            <w:pPr>
              <w:pStyle w:val="Normal"/>
              <w:widowControl w:val="false"/>
              <w:rPr>
                <w:rFonts w:ascii="Calibri" w:hAnsi="Calibri" w:cs="Calibri"/>
                <w:bCs/>
              </w:rPr>
            </w:pPr>
            <w:r>
              <w:rPr>
                <w:rFonts w:cs="Calibri"/>
                <w:bCs/>
              </w:rPr>
              <w:t>Πληροφορίες : Ναταλία Τζέλλου</w:t>
            </w:r>
          </w:p>
          <w:p>
            <w:pPr>
              <w:pStyle w:val="Normal"/>
              <w:widowControl w:val="false"/>
              <w:spacing w:before="0" w:after="120"/>
              <w:rPr>
                <w:rFonts w:eastAsia="Calibri" w:cs="Calibri"/>
                <w:lang w:val="en-US"/>
              </w:rPr>
            </w:pPr>
            <w:r>
              <w:rPr>
                <w:rFonts w:eastAsia="Calibri" w:cs="Calibri"/>
                <w:lang w:val="en-US"/>
              </w:rPr>
            </w:r>
          </w:p>
        </w:tc>
        <w:tc>
          <w:tcPr>
            <w:tcW w:w="4319" w:type="dxa"/>
            <w:tcBorders/>
          </w:tcPr>
          <w:p>
            <w:pPr>
              <w:pStyle w:val="Normal"/>
              <w:widowControl w:val="false"/>
              <w:rPr>
                <w:sz w:val="24"/>
                <w:szCs w:val="24"/>
              </w:rPr>
            </w:pPr>
            <w:r>
              <w:rPr>
                <w:rFonts w:cs="Calibri"/>
                <w:b/>
                <w:bCs/>
                <w:sz w:val="24"/>
                <w:szCs w:val="24"/>
              </w:rPr>
              <w:t xml:space="preserve">ΕΡΓΟ: </w:t>
            </w:r>
            <w:r>
              <w:rPr>
                <w:rFonts w:cs="Calibri"/>
                <w:bCs/>
                <w:sz w:val="24"/>
                <w:szCs w:val="24"/>
              </w:rPr>
              <w:t>“</w:t>
            </w:r>
            <w:r>
              <w:rPr>
                <w:rFonts w:cs="Calibri"/>
                <w:sz w:val="24"/>
                <w:szCs w:val="24"/>
              </w:rPr>
              <w:t>Κατασκευή κτιρίου και προμήθεια εξοπλισμού για πολυχώρο κοινωνικής αλληλεγγύης (κοινωνικό παντοπωλείο &amp; δομή υποστηριζόμενων διαμερισμάτων) - προμήθεια</w:t>
            </w:r>
            <w:r>
              <w:rPr>
                <w:rFonts w:cs="Calibri"/>
                <w:bCs/>
                <w:sz w:val="24"/>
                <w:szCs w:val="24"/>
              </w:rPr>
              <w:t>”</w:t>
            </w:r>
          </w:p>
          <w:p>
            <w:pPr>
              <w:pStyle w:val="Normal"/>
              <w:widowControl w:val="false"/>
              <w:rPr>
                <w:rFonts w:ascii="Calibri" w:hAnsi="Calibri" w:cs="Calibri"/>
                <w:b/>
                <w:b/>
                <w:bCs/>
                <w:sz w:val="28"/>
                <w:szCs w:val="28"/>
              </w:rPr>
            </w:pPr>
            <w:r>
              <w:rPr>
                <w:rFonts w:cs="Calibri"/>
                <w:b/>
                <w:bCs/>
                <w:sz w:val="28"/>
                <w:szCs w:val="28"/>
              </w:rPr>
            </w:r>
          </w:p>
          <w:p>
            <w:pPr>
              <w:pStyle w:val="Normal"/>
              <w:widowControl w:val="false"/>
              <w:spacing w:before="0" w:after="120"/>
              <w:rPr>
                <w:rFonts w:ascii="Calibri" w:hAnsi="Calibri" w:cs="Calibri"/>
                <w:b/>
                <w:b/>
                <w:bCs/>
                <w:sz w:val="28"/>
                <w:szCs w:val="28"/>
              </w:rPr>
            </w:pPr>
            <w:r>
              <w:rPr>
                <w:rFonts w:cs="Calibri"/>
                <w:b/>
                <w:bCs/>
                <w:sz w:val="28"/>
                <w:szCs w:val="28"/>
              </w:rPr>
            </w:r>
          </w:p>
        </w:tc>
      </w:tr>
    </w:tbl>
    <w:p>
      <w:pPr>
        <w:pStyle w:val="Normal"/>
        <w:rPr>
          <w:rFonts w:ascii="Tahoma" w:hAnsi="Tahoma" w:cs="Tahoma"/>
          <w:b/>
          <w:b/>
          <w:bCs/>
          <w:sz w:val="22"/>
          <w:szCs w:val="22"/>
        </w:rPr>
      </w:pPr>
      <w:r>
        <w:rPr>
          <w:rFonts w:cs="Tahoma" w:ascii="Tahoma" w:hAnsi="Tahoma"/>
          <w:b/>
          <w:bCs/>
          <w:sz w:val="22"/>
          <w:szCs w:val="22"/>
        </w:rPr>
      </w:r>
    </w:p>
    <w:p>
      <w:pPr>
        <w:pStyle w:val="Normal"/>
        <w:jc w:val="center"/>
        <w:rPr>
          <w:rFonts w:ascii="Calibri" w:hAnsi="Calibri" w:cs="Calibri"/>
          <w:b/>
          <w:b/>
          <w:sz w:val="36"/>
          <w:szCs w:val="36"/>
        </w:rPr>
      </w:pPr>
      <w:r>
        <w:rPr>
          <w:rFonts w:cs="Calibri"/>
          <w:b/>
          <w:sz w:val="36"/>
          <w:szCs w:val="36"/>
        </w:rPr>
        <w:t>ΤΕΧΝΙΚΗ ΕΚΘΕΣΗ</w:t>
      </w:r>
    </w:p>
    <w:p>
      <w:pPr>
        <w:pStyle w:val="Normal"/>
        <w:tabs>
          <w:tab w:val="clear" w:pos="720"/>
          <w:tab w:val="left" w:pos="4800" w:leader="none"/>
        </w:tabs>
        <w:ind w:firstLine="567"/>
        <w:jc w:val="both"/>
        <w:rPr/>
      </w:pPr>
      <w:r>
        <w:rPr>
          <w:rFonts w:eastAsia="Calibri" w:cs="Calibri"/>
        </w:rPr>
        <w:t>Με την παρούσα έκθεση, προδιαγράφεται η προμήθεια του έργου με τίτλο</w:t>
      </w:r>
      <w:r>
        <w:rPr>
          <w:rFonts w:eastAsia="Calibri" w:cs="Calibri"/>
          <w:b/>
        </w:rPr>
        <w:t xml:space="preserve"> «Κατασκευή κτιρίου και προμήθεια εξοπλισμού για πολυχώρο κοινωνικής αλληλεγγύης (κοινωνικό παντοπωλείο &amp; δομή υποστηριζόμενων διαμερισμάτων) - προμήθεια»</w:t>
      </w:r>
      <w:r>
        <w:rPr>
          <w:rFonts w:eastAsia="Calibri" w:cs="Calibri"/>
        </w:rPr>
        <w:t>, όπως περιγράφεται αναλυτικά παρακάτω, αιτούμενης συνολικής πίστωσης</w:t>
      </w:r>
      <w:r>
        <w:rPr>
          <w:rFonts w:eastAsia="Calibri" w:cs="Calibri"/>
          <w:b/>
        </w:rPr>
        <w:t xml:space="preserve"> 21.674,64 € </w:t>
      </w:r>
      <w:r>
        <w:rPr>
          <w:rFonts w:eastAsia="Calibri" w:cs="Calibri"/>
        </w:rPr>
        <w:t>συμπεριλαμβανομένου του Φ.Π.Α. 24%.</w:t>
      </w:r>
    </w:p>
    <w:p>
      <w:pPr>
        <w:pStyle w:val="Normal"/>
        <w:tabs>
          <w:tab w:val="clear" w:pos="720"/>
          <w:tab w:val="left" w:pos="4800" w:leader="none"/>
        </w:tabs>
        <w:ind w:firstLine="567"/>
        <w:jc w:val="both"/>
        <w:rPr>
          <w:rFonts w:ascii="Calibri" w:hAnsi="Calibri" w:eastAsia="Calibri" w:cs="Calibri"/>
        </w:rPr>
      </w:pPr>
      <w:r>
        <w:rPr>
          <w:rFonts w:eastAsia="Calibri" w:cs="Calibri"/>
        </w:rPr>
      </w:r>
    </w:p>
    <w:p>
      <w:pPr>
        <w:pStyle w:val="Normal"/>
        <w:jc w:val="center"/>
        <w:rPr>
          <w:rFonts w:ascii="Calibri" w:hAnsi="Calibri" w:cs="Calibri"/>
          <w:b/>
          <w:b/>
          <w:u w:val="single"/>
        </w:rPr>
      </w:pPr>
      <w:r>
        <w:rPr>
          <w:rFonts w:cs="Calibri"/>
          <w:b/>
          <w:u w:val="single"/>
        </w:rPr>
        <w:t>Γενικά</w:t>
      </w:r>
    </w:p>
    <w:p>
      <w:pPr>
        <w:pStyle w:val="Normal"/>
        <w:tabs>
          <w:tab w:val="clear" w:pos="720"/>
          <w:tab w:val="left" w:pos="4901" w:leader="dot"/>
        </w:tabs>
        <w:jc w:val="both"/>
        <w:rPr/>
      </w:pPr>
      <w:r>
        <w:rPr>
          <w:rFonts w:cs="Calibri"/>
          <w:lang w:val="en-US"/>
        </w:rPr>
        <w:t>O</w:t>
      </w:r>
      <w:r>
        <w:rPr>
          <w:rFonts w:cs="Calibri"/>
        </w:rPr>
        <w:t xml:space="preserve"> Δήμος Καρδίτσας προτίθεται να προβεί στην κατασκευή κτιρίου για την στέγαση:</w:t>
      </w:r>
    </w:p>
    <w:p>
      <w:pPr>
        <w:pStyle w:val="Normal"/>
        <w:tabs>
          <w:tab w:val="clear" w:pos="720"/>
          <w:tab w:val="left" w:pos="4901" w:leader="dot"/>
        </w:tabs>
        <w:jc w:val="both"/>
        <w:rPr>
          <w:rFonts w:ascii="Calibri" w:hAnsi="Calibri" w:cs="Calibri"/>
        </w:rPr>
      </w:pPr>
      <w:r>
        <w:rPr>
          <w:rFonts w:cs="Calibri"/>
        </w:rPr>
        <w:t>-της δομής του Κοινωνικού Παντοπωλείου στο ισόγειο, το οποίο σήμερα στεγάζεται προσωρινά, σε χώρους στο κτίριο της Δημοτικής Ααγοράς</w:t>
      </w:r>
    </w:p>
    <w:p>
      <w:pPr>
        <w:pStyle w:val="Normal"/>
        <w:tabs>
          <w:tab w:val="clear" w:pos="720"/>
          <w:tab w:val="left" w:pos="4901" w:leader="dot"/>
        </w:tabs>
        <w:jc w:val="both"/>
        <w:rPr>
          <w:rFonts w:ascii="Calibri" w:hAnsi="Calibri" w:cs="Calibri"/>
        </w:rPr>
      </w:pPr>
      <w:r>
        <w:rPr>
          <w:rFonts w:cs="Calibri"/>
        </w:rPr>
        <w:t>-της δομής των υποστηριζόμενων διαμερισμάτων στον όροφο για την φιλοξενία αστέγων και (όταν υπάρχει ανάγκη) γυναικών θυμάτων βίας, στην οποία θα περιλαμβάνεται και ο πλήρης εξοπλισμός των διαμερισμάτων.</w:t>
      </w:r>
    </w:p>
    <w:p>
      <w:pPr>
        <w:pStyle w:val="Normal"/>
        <w:tabs>
          <w:tab w:val="clear" w:pos="720"/>
          <w:tab w:val="left" w:pos="4901" w:leader="dot"/>
        </w:tabs>
        <w:jc w:val="both"/>
        <w:rPr>
          <w:rFonts w:ascii="Calibri" w:hAnsi="Calibri" w:cs="Calibri"/>
          <w:b/>
          <w:b/>
        </w:rPr>
      </w:pPr>
      <w:r>
        <w:rPr>
          <w:rFonts w:cs="Calibri"/>
          <w:b/>
        </w:rPr>
      </w:r>
    </w:p>
    <w:p>
      <w:pPr>
        <w:pStyle w:val="Normal"/>
        <w:tabs>
          <w:tab w:val="clear" w:pos="720"/>
          <w:tab w:val="left" w:pos="4901" w:leader="dot"/>
        </w:tabs>
        <w:jc w:val="both"/>
        <w:rPr>
          <w:rFonts w:ascii="Calibri" w:hAnsi="Calibri" w:cs="Calibri"/>
        </w:rPr>
      </w:pPr>
      <w:r>
        <w:rPr>
          <w:rFonts w:cs="Calibri"/>
        </w:rPr>
        <w:t>Το κτίριο πρόκειται να κατασκευαστεί στο Ο.Τ. 398, στην συμβολή των οδών Μπούσδρα και Ποσειδώνος, σε ιδιόκτητο οικόπεδο του Δήμου Καρδίτσας που είναι χαρακτηρισμένο στο ΓΠΣ με χρήση Πρόνοιας.</w:t>
      </w:r>
    </w:p>
    <w:p>
      <w:pPr>
        <w:pStyle w:val="Normal"/>
        <w:tabs>
          <w:tab w:val="clear" w:pos="720"/>
          <w:tab w:val="left" w:pos="4901" w:leader="dot"/>
        </w:tabs>
        <w:jc w:val="both"/>
        <w:rPr/>
      </w:pPr>
      <w:r>
        <w:rPr>
          <w:rFonts w:cs="Calibri"/>
        </w:rPr>
        <w:t xml:space="preserve">Στο </w:t>
      </w:r>
      <w:r>
        <w:rPr>
          <w:rFonts w:cs="Calibri"/>
          <w:b/>
        </w:rPr>
        <w:t>ισόγειο</w:t>
      </w:r>
      <w:r>
        <w:rPr>
          <w:rFonts w:cs="Calibri"/>
        </w:rPr>
        <w:t xml:space="preserve"> του κτιρίου πρόκειται να στεγαστεί το Κοινωνικό Παντοπωλείο του Δήμου Καρδίτσας, που θα αποτελείται από:</w:t>
      </w:r>
    </w:p>
    <w:p>
      <w:pPr>
        <w:pStyle w:val="Normal"/>
        <w:tabs>
          <w:tab w:val="clear" w:pos="720"/>
          <w:tab w:val="left" w:pos="4901" w:leader="dot"/>
        </w:tabs>
        <w:jc w:val="both"/>
        <w:rPr/>
      </w:pPr>
      <w:r>
        <w:rPr>
          <w:rFonts w:cs="Calibri"/>
        </w:rPr>
        <w:t>-την αίθουσα αναμονής των εξυπηρετούμενων 18,00 μ</w:t>
      </w:r>
      <w:r>
        <w:rPr>
          <w:rFonts w:cs="Calibri"/>
          <w:vertAlign w:val="superscript"/>
        </w:rPr>
        <w:t>2</w:t>
      </w:r>
      <w:r>
        <w:rPr>
          <w:rFonts w:cs="Calibri"/>
        </w:rPr>
        <w:t>,</w:t>
      </w:r>
    </w:p>
    <w:p>
      <w:pPr>
        <w:pStyle w:val="Normal"/>
        <w:tabs>
          <w:tab w:val="clear" w:pos="720"/>
          <w:tab w:val="left" w:pos="4901" w:leader="dot"/>
        </w:tabs>
        <w:jc w:val="both"/>
        <w:rPr/>
      </w:pPr>
      <w:r>
        <w:rPr>
          <w:rFonts w:cs="Calibri"/>
        </w:rPr>
        <w:t>-το γραφείο των υπαλλήλων 17,50 μ</w:t>
      </w:r>
      <w:r>
        <w:rPr>
          <w:rFonts w:cs="Calibri"/>
          <w:vertAlign w:val="superscript"/>
        </w:rPr>
        <w:t>2</w:t>
      </w:r>
      <w:r>
        <w:rPr>
          <w:rFonts w:cs="Calibri"/>
        </w:rPr>
        <w:t>,</w:t>
      </w:r>
    </w:p>
    <w:p>
      <w:pPr>
        <w:pStyle w:val="Normal"/>
        <w:tabs>
          <w:tab w:val="clear" w:pos="720"/>
          <w:tab w:val="left" w:pos="4901" w:leader="dot"/>
        </w:tabs>
        <w:jc w:val="both"/>
        <w:rPr/>
      </w:pPr>
      <w:r>
        <w:rPr>
          <w:rFonts w:cs="Calibri"/>
        </w:rPr>
        <w:t>-WC για τους υπαλλήλους 5,50 μ</w:t>
      </w:r>
      <w:r>
        <w:rPr>
          <w:rFonts w:cs="Calibri"/>
          <w:vertAlign w:val="superscript"/>
        </w:rPr>
        <w:t>2</w:t>
      </w:r>
      <w:r>
        <w:rPr>
          <w:rFonts w:cs="Calibri"/>
        </w:rPr>
        <w:t>,</w:t>
      </w:r>
    </w:p>
    <w:p>
      <w:pPr>
        <w:pStyle w:val="Normal"/>
        <w:tabs>
          <w:tab w:val="clear" w:pos="720"/>
          <w:tab w:val="left" w:pos="4901" w:leader="dot"/>
        </w:tabs>
        <w:jc w:val="both"/>
        <w:rPr/>
      </w:pPr>
      <w:r>
        <w:rPr>
          <w:rFonts w:cs="Calibri"/>
        </w:rPr>
        <w:t>-WC για το κοινό 17,50 μ</w:t>
      </w:r>
      <w:r>
        <w:rPr>
          <w:rFonts w:cs="Calibri"/>
          <w:vertAlign w:val="superscript"/>
        </w:rPr>
        <w:t>2</w:t>
      </w:r>
      <w:r>
        <w:rPr>
          <w:rFonts w:cs="Calibri"/>
        </w:rPr>
        <w:t xml:space="preserve"> (συμπεριλαμβανομένου και ενός WC για ΑΜΕΑ),</w:t>
      </w:r>
    </w:p>
    <w:p>
      <w:pPr>
        <w:pStyle w:val="Normal"/>
        <w:tabs>
          <w:tab w:val="clear" w:pos="720"/>
          <w:tab w:val="left" w:pos="4901" w:leader="dot"/>
        </w:tabs>
        <w:jc w:val="both"/>
        <w:rPr/>
      </w:pPr>
      <w:r>
        <w:rPr>
          <w:rFonts w:cs="Calibri"/>
        </w:rPr>
        <w:t>-μία μεγάλη αίθουσα τροφίμων 60,50 μ</w:t>
      </w:r>
      <w:r>
        <w:rPr>
          <w:rFonts w:cs="Calibri"/>
          <w:vertAlign w:val="superscript"/>
        </w:rPr>
        <w:t>2</w:t>
      </w:r>
      <w:r>
        <w:rPr>
          <w:rFonts w:cs="Calibri"/>
        </w:rPr>
        <w:t xml:space="preserve"> (τρόφιμα και είδη παντοπωλείου συσκευασμένα, είδη ατομικής υγιεινής, κατεψυγμένα προϊόντα), στην οποία υπάρχει πρόσβαση από την αίθουσα αναμονής μέσω ενός διαδρόμου, αλλά και απευθείας από τον εξωτερικό χώρο-δρόμο για την εύκολη φορτοεκφόρτωση των προϊόντων.</w:t>
      </w:r>
    </w:p>
    <w:p>
      <w:pPr>
        <w:pStyle w:val="Normal"/>
        <w:tabs>
          <w:tab w:val="clear" w:pos="720"/>
          <w:tab w:val="left" w:pos="4901" w:leader="dot"/>
        </w:tabs>
        <w:jc w:val="both"/>
        <w:rPr/>
      </w:pPr>
      <w:r>
        <w:rPr>
          <w:rFonts w:cs="Calibri"/>
        </w:rPr>
        <w:t>-Μια αίθουσα για είδη ένδυσης και υπόδησης, χρησιμοποιούμενα και μη και είδη οικιακού εξοπλισμού 45,00 μ</w:t>
      </w:r>
      <w:r>
        <w:rPr>
          <w:rFonts w:cs="Calibri"/>
          <w:vertAlign w:val="superscript"/>
        </w:rPr>
        <w:t>2</w:t>
      </w:r>
      <w:r>
        <w:rPr>
          <w:rFonts w:cs="Calibri"/>
        </w:rPr>
        <w:t>.</w:t>
      </w:r>
    </w:p>
    <w:p>
      <w:pPr>
        <w:pStyle w:val="Normal"/>
        <w:tabs>
          <w:tab w:val="clear" w:pos="720"/>
          <w:tab w:val="left" w:pos="4901" w:leader="dot"/>
        </w:tabs>
        <w:jc w:val="both"/>
        <w:rPr>
          <w:rFonts w:ascii="Calibri" w:hAnsi="Calibri" w:cs="Calibri"/>
        </w:rPr>
      </w:pPr>
      <w:r>
        <w:rPr>
          <w:rFonts w:cs="Calibri"/>
        </w:rPr>
      </w:r>
    </w:p>
    <w:p>
      <w:pPr>
        <w:pStyle w:val="Normal"/>
        <w:tabs>
          <w:tab w:val="clear" w:pos="720"/>
          <w:tab w:val="left" w:pos="4901" w:leader="dot"/>
        </w:tabs>
        <w:jc w:val="both"/>
        <w:rPr/>
      </w:pPr>
      <w:r>
        <w:rPr>
          <w:rFonts w:cs="Calibri"/>
        </w:rPr>
        <w:t xml:space="preserve">Στον </w:t>
      </w:r>
      <w:r>
        <w:rPr>
          <w:rFonts w:cs="Calibri"/>
          <w:b/>
        </w:rPr>
        <w:t>1ο όροφο</w:t>
      </w:r>
      <w:r>
        <w:rPr>
          <w:rFonts w:cs="Calibri"/>
        </w:rPr>
        <w:t xml:space="preserve"> του κτιρίου θα κατασκευαστούν :</w:t>
      </w:r>
    </w:p>
    <w:p>
      <w:pPr>
        <w:pStyle w:val="Normal"/>
        <w:tabs>
          <w:tab w:val="clear" w:pos="720"/>
          <w:tab w:val="left" w:pos="4901" w:leader="dot"/>
        </w:tabs>
        <w:jc w:val="both"/>
        <w:rPr/>
      </w:pPr>
      <w:r>
        <w:rPr>
          <w:rFonts w:cs="Calibri"/>
        </w:rPr>
        <w:t>-μία αίθουσα του κοινωνικού παντοπωλείου 44,50 μ</w:t>
      </w:r>
      <w:r>
        <w:rPr>
          <w:rFonts w:cs="Calibri"/>
          <w:vertAlign w:val="superscript"/>
        </w:rPr>
        <w:t>2</w:t>
      </w:r>
    </w:p>
    <w:p>
      <w:pPr>
        <w:pStyle w:val="Normal"/>
        <w:tabs>
          <w:tab w:val="clear" w:pos="720"/>
          <w:tab w:val="left" w:pos="4901" w:leader="dot"/>
        </w:tabs>
        <w:jc w:val="both"/>
        <w:rPr>
          <w:rFonts w:ascii="Calibri" w:hAnsi="Calibri" w:cs="Calibri"/>
        </w:rPr>
      </w:pPr>
      <w:r>
        <w:rPr>
          <w:rFonts w:cs="Calibri"/>
        </w:rPr>
        <w:t>-τρία αυτόνομα διαμερίσματα για τη λειτουργία της δομής των υποστηριζόμενων διαμερισμάτων που πρόκειται να δημιουργηθεί. Ο σχεδιασμός των διαμερισμάτων έγινε σύμφωνα με την ΚΥΑ Δ23/οικ. 19061 – 1457 (ΦΕΚ 1336 Β/12.5.2016) «Καθορισμός πλαισίου ελάχιστων προδιαγραφών για Δομές Παροχής Υπηρεσιών για Αστέγους».</w:t>
      </w:r>
    </w:p>
    <w:p>
      <w:pPr>
        <w:pStyle w:val="Normal"/>
        <w:tabs>
          <w:tab w:val="clear" w:pos="720"/>
          <w:tab w:val="left" w:pos="4901" w:leader="dot"/>
        </w:tabs>
        <w:jc w:val="both"/>
        <w:rPr/>
      </w:pPr>
      <w:r>
        <w:rPr>
          <w:rFonts w:cs="Calibri"/>
        </w:rPr>
        <w:t>Όλα τα διαμερίσματα είναι διακριτά μεταξύ τους, έχουν καθιστικό, υπνοδωμάτιο, κουζίνα, μπάνιο και αποθηκευτικό χώρο και έχουν εμβαδό 49,00 μ</w:t>
      </w:r>
      <w:r>
        <w:rPr>
          <w:rFonts w:cs="Calibri"/>
          <w:vertAlign w:val="superscript"/>
        </w:rPr>
        <w:t>2</w:t>
      </w:r>
      <w:r>
        <w:rPr>
          <w:rFonts w:cs="Calibri"/>
        </w:rPr>
        <w:t>, 48,00 μ</w:t>
      </w:r>
      <w:r>
        <w:rPr>
          <w:rFonts w:cs="Calibri"/>
          <w:vertAlign w:val="superscript"/>
        </w:rPr>
        <w:t>2</w:t>
      </w:r>
      <w:r>
        <w:rPr>
          <w:rFonts w:cs="Calibri"/>
        </w:rPr>
        <w:t xml:space="preserve"> και 36,00 μ</w:t>
      </w:r>
      <w:r>
        <w:rPr>
          <w:rFonts w:cs="Calibri"/>
          <w:vertAlign w:val="superscript"/>
        </w:rPr>
        <w:t>2</w:t>
      </w:r>
      <w:r>
        <w:rPr>
          <w:rFonts w:cs="Calibri"/>
        </w:rPr>
        <w:t>. Τα διαμερίσματα θα είναι πλήρως εξοπλισμένα με έπιπλα, ηλεκτρικές οικιακές συσκευές και κλινοσκεπάσματα κ.α. Χωροθετούνται σε περιοχή κατοικίας, μέσα στον αστικό ιστό της πόλης και υπάρχει ασανσέρ και ράμπα για πρόσβαση των ΑΜΕΑ. Τα διαμερίσματα είναι άμεσα προσβάσιμα: από την οδό Μπούσδρα διέρχεται ποδηλατόδρομος και με την ολοκλήρωση της κατασκευής του κτιρίου θα δημιουργηθεί γραμμή αστικού λεωφορείου για την ευκολότερη πρόσβαση των εξυπηρετούμενων.</w:t>
      </w:r>
    </w:p>
    <w:p>
      <w:pPr>
        <w:pStyle w:val="Normal"/>
        <w:ind w:firstLine="720"/>
        <w:jc w:val="both"/>
        <w:rPr>
          <w:rFonts w:ascii="Calibri" w:hAnsi="Calibri" w:eastAsia="Calibri" w:cs="Calibri"/>
        </w:rPr>
      </w:pPr>
      <w:r>
        <w:rPr>
          <w:rFonts w:eastAsia="Calibri" w:cs="Calibri"/>
        </w:rPr>
      </w:r>
    </w:p>
    <w:p>
      <w:pPr>
        <w:pStyle w:val="Normal"/>
        <w:jc w:val="center"/>
        <w:rPr>
          <w:rFonts w:ascii="Tahoma" w:hAnsi="Tahoma" w:cs="Tahoma"/>
          <w:b/>
          <w:b/>
          <w:sz w:val="28"/>
          <w:szCs w:val="28"/>
        </w:rPr>
      </w:pPr>
      <w:r>
        <w:rPr>
          <w:rFonts w:cs="Tahoma" w:ascii="Tahoma" w:hAnsi="Tahoma"/>
          <w:b/>
          <w:sz w:val="28"/>
          <w:szCs w:val="28"/>
        </w:rPr>
        <w:t>ΤΕΧΝΙΚΕΣ ΠΡΟΔΙΑΓΡΑΦΕΣ</w:t>
      </w:r>
    </w:p>
    <w:p>
      <w:pPr>
        <w:pStyle w:val="Normal"/>
        <w:rPr>
          <w:szCs w:val="22"/>
        </w:rPr>
      </w:pPr>
      <w:r>
        <w:rPr>
          <w:szCs w:val="22"/>
        </w:rPr>
        <w:t>Τα προς προμήθεια είδη κατατάσσονται στους ακόλουθους κωδικούς του Κοινού Λεξιλογίου δημοσίων συμβάσεων (CPV):</w:t>
      </w:r>
    </w:p>
    <w:tbl>
      <w:tblPr>
        <w:tblW w:w="7863" w:type="dxa"/>
        <w:jc w:val="center"/>
        <w:tblInd w:w="0" w:type="dxa"/>
        <w:tblLayout w:type="fixed"/>
        <w:tblCellMar>
          <w:top w:w="0" w:type="dxa"/>
          <w:left w:w="108" w:type="dxa"/>
          <w:bottom w:w="0" w:type="dxa"/>
          <w:right w:w="108" w:type="dxa"/>
        </w:tblCellMar>
      </w:tblPr>
      <w:tblGrid>
        <w:gridCol w:w="6100"/>
        <w:gridCol w:w="1762"/>
      </w:tblGrid>
      <w:tr>
        <w:trPr/>
        <w:tc>
          <w:tcPr>
            <w:tcW w:w="6100" w:type="dxa"/>
            <w:tcBorders>
              <w:top w:val="single" w:sz="4" w:space="0" w:color="000000"/>
              <w:left w:val="single" w:sz="4" w:space="0" w:color="000000"/>
              <w:bottom w:val="single" w:sz="4" w:space="0" w:color="000000"/>
            </w:tcBorders>
            <w:shd w:fill="E5E5E5" w:val="clear"/>
          </w:tcPr>
          <w:p>
            <w:pPr>
              <w:pStyle w:val="Normal"/>
              <w:widowControl w:val="false"/>
              <w:spacing w:before="0" w:after="120"/>
              <w:ind w:left="66" w:hanging="0"/>
              <w:rPr>
                <w:rFonts w:ascii="Calibri" w:hAnsi="Calibri" w:eastAsia="Calibri" w:cs="Calibri"/>
                <w:b/>
                <w:b/>
                <w:szCs w:val="22"/>
              </w:rPr>
            </w:pPr>
            <w:r>
              <w:rPr>
                <w:rFonts w:eastAsia="Calibri" w:cs="Calibri"/>
                <w:b/>
                <w:szCs w:val="22"/>
              </w:rPr>
              <w:t>Είδος</w:t>
            </w:r>
          </w:p>
        </w:tc>
        <w:tc>
          <w:tcPr>
            <w:tcW w:w="1762" w:type="dxa"/>
            <w:tcBorders>
              <w:top w:val="single" w:sz="4" w:space="0" w:color="000000"/>
              <w:left w:val="single" w:sz="4" w:space="0" w:color="000000"/>
              <w:bottom w:val="single" w:sz="4" w:space="0" w:color="000000"/>
              <w:right w:val="single" w:sz="4" w:space="0" w:color="000000"/>
            </w:tcBorders>
            <w:shd w:fill="E5E5E5" w:val="clear"/>
          </w:tcPr>
          <w:p>
            <w:pPr>
              <w:pStyle w:val="Normal"/>
              <w:widowControl w:val="false"/>
              <w:spacing w:before="0" w:after="120"/>
              <w:rPr>
                <w:rFonts w:ascii="Calibri" w:hAnsi="Calibri" w:eastAsia="Calibri" w:cs="Calibri"/>
                <w:b/>
                <w:b/>
                <w:szCs w:val="22"/>
              </w:rPr>
            </w:pPr>
            <w:r>
              <w:rPr>
                <w:rFonts w:eastAsia="Calibri" w:cs="Calibri"/>
                <w:b/>
                <w:szCs w:val="22"/>
              </w:rPr>
              <w:t>Κωδικός CPV</w:t>
            </w:r>
          </w:p>
        </w:tc>
      </w:tr>
      <w:tr>
        <w:trPr/>
        <w:tc>
          <w:tcPr>
            <w:tcW w:w="6100" w:type="dxa"/>
            <w:tcBorders>
              <w:top w:val="single" w:sz="4" w:space="0" w:color="000000"/>
              <w:left w:val="single" w:sz="4" w:space="0" w:color="000000"/>
              <w:bottom w:val="single" w:sz="4" w:space="0" w:color="000000"/>
            </w:tcBorders>
          </w:tcPr>
          <w:p>
            <w:pPr>
              <w:pStyle w:val="Normal"/>
              <w:widowControl w:val="false"/>
              <w:spacing w:before="0" w:after="120"/>
              <w:rPr/>
            </w:pPr>
            <w:r>
              <w:rPr>
                <w:rFonts w:eastAsia="Calibri" w:cs="Calibri"/>
                <w:b/>
                <w:szCs w:val="22"/>
              </w:rPr>
              <w:t>Ηλεκτρικές οικιακές συσκευές</w:t>
            </w:r>
            <w:r>
              <w:rPr>
                <w:rFonts w:eastAsia="Calibri" w:cs="Calibri"/>
                <w:szCs w:val="22"/>
              </w:rPr>
              <w:t xml:space="preserve"> (ηλεκτρικό ψυγείο, ηλεκτρική κουζίνα, πλυντήριο ρούχων,</w:t>
            </w:r>
            <w:r>
              <w:rPr>
                <w:rFonts w:eastAsia="Calibri" w:cs="Calibri"/>
                <w:color w:val="C9211E"/>
                <w:szCs w:val="22"/>
              </w:rPr>
              <w:t xml:space="preserve"> </w:t>
            </w:r>
            <w:r>
              <w:rPr>
                <w:rFonts w:eastAsia="Calibri" w:cs="Calibri"/>
                <w:szCs w:val="22"/>
              </w:rPr>
              <w:t>ψηφιακή τηλεόραση, επιτοίχια βάση τηλεόρασης, σαντουιτσιέρα - τοστιέρα, καφετιέρα φίλτρου, ατμοσίδερο, βραστήρας, πολυκόπτης, ηλεκτρική σκούπα)</w:t>
            </w:r>
          </w:p>
        </w:tc>
        <w:tc>
          <w:tcPr>
            <w:tcW w:w="1762"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before="0" w:after="120"/>
              <w:jc w:val="center"/>
              <w:rPr>
                <w:rFonts w:ascii="Calibri" w:hAnsi="Calibri" w:cs="Calibri"/>
              </w:rPr>
            </w:pPr>
            <w:r>
              <w:rPr>
                <w:rFonts w:cs="Calibri"/>
              </w:rPr>
              <w:t>39710000-2</w:t>
            </w:r>
          </w:p>
        </w:tc>
      </w:tr>
      <w:tr>
        <w:trPr/>
        <w:tc>
          <w:tcPr>
            <w:tcW w:w="6100" w:type="dxa"/>
            <w:tcBorders>
              <w:top w:val="single" w:sz="4" w:space="0" w:color="000000"/>
              <w:left w:val="single" w:sz="4" w:space="0" w:color="000000"/>
              <w:bottom w:val="single" w:sz="4" w:space="0" w:color="000000"/>
            </w:tcBorders>
          </w:tcPr>
          <w:p>
            <w:pPr>
              <w:pStyle w:val="Normal"/>
              <w:widowControl w:val="false"/>
              <w:spacing w:before="0" w:after="120"/>
              <w:rPr/>
            </w:pPr>
            <w:r>
              <w:rPr>
                <w:rFonts w:cs="Calibri"/>
                <w:b/>
              </w:rPr>
              <w:t>Έπιπλα</w:t>
            </w:r>
            <w:r>
              <w:rPr>
                <w:rFonts w:cs="Calibri"/>
              </w:rPr>
              <w:t xml:space="preserve"> (κ</w:t>
            </w:r>
            <w:r>
              <w:rPr>
                <w:rFonts w:eastAsia="Calibri" w:cs="Calibri"/>
                <w:szCs w:val="22"/>
              </w:rPr>
              <w:t>ρεβάτι διπλό, κρεβάτι μονό, στρώμα ύπνου διπλό, στρώμα ύπνου μονό, κομοδίνο, καναπές τριθέσιος – κρεβάτι, τ</w:t>
            </w:r>
            <w:r>
              <w:rPr>
                <w:rFonts w:cs="Calibri"/>
                <w:szCs w:val="22"/>
              </w:rPr>
              <w:t>ραπέζι φαγητού, κ</w:t>
            </w:r>
            <w:r>
              <w:rPr>
                <w:rFonts w:cs="Calibri"/>
              </w:rPr>
              <w:t>αρέκλα τραπεζαρίας, συρταριέρα</w:t>
            </w:r>
            <w:r>
              <w:rPr>
                <w:rFonts w:eastAsia="Calibri" w:cs="Calibri"/>
                <w:szCs w:val="22"/>
              </w:rPr>
              <w:t>)</w:t>
            </w:r>
          </w:p>
        </w:tc>
        <w:tc>
          <w:tcPr>
            <w:tcW w:w="1762"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before="0" w:after="120"/>
              <w:jc w:val="center"/>
              <w:rPr>
                <w:rFonts w:ascii="Calibri" w:hAnsi="Calibri" w:cs="Calibri"/>
                <w:lang w:eastAsia="el-GR"/>
              </w:rPr>
            </w:pPr>
            <w:r>
              <w:rPr>
                <w:rFonts w:cs="Calibri"/>
                <w:lang w:eastAsia="el-GR"/>
              </w:rPr>
              <w:t>39143000-6</w:t>
            </w:r>
          </w:p>
        </w:tc>
      </w:tr>
      <w:tr>
        <w:trPr/>
        <w:tc>
          <w:tcPr>
            <w:tcW w:w="6100" w:type="dxa"/>
            <w:tcBorders>
              <w:top w:val="single" w:sz="4" w:space="0" w:color="000000"/>
              <w:left w:val="single" w:sz="4" w:space="0" w:color="000000"/>
              <w:bottom w:val="single" w:sz="4" w:space="0" w:color="000000"/>
            </w:tcBorders>
          </w:tcPr>
          <w:p>
            <w:pPr>
              <w:pStyle w:val="Normal"/>
              <w:widowControl w:val="false"/>
              <w:snapToGrid w:val="false"/>
              <w:spacing w:before="0" w:after="120"/>
              <w:rPr>
                <w:rFonts w:ascii="Calibri" w:hAnsi="Calibri" w:eastAsia="Calibri" w:cs="Calibri"/>
                <w:szCs w:val="22"/>
              </w:rPr>
            </w:pPr>
            <w:r>
              <w:rPr>
                <w:rFonts w:eastAsia="Calibri" w:cs="Calibri"/>
                <w:szCs w:val="22"/>
              </w:rPr>
              <w:t>Μαξιλάρια ύπνου</w:t>
            </w:r>
          </w:p>
        </w:tc>
        <w:tc>
          <w:tcPr>
            <w:tcW w:w="1762"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before="0" w:after="120"/>
              <w:jc w:val="center"/>
              <w:rPr>
                <w:rFonts w:ascii="Calibri" w:hAnsi="Calibri" w:cs="Calibri"/>
                <w:lang w:eastAsia="el-GR"/>
              </w:rPr>
            </w:pPr>
            <w:r>
              <w:rPr>
                <w:rFonts w:cs="Calibri"/>
                <w:lang w:eastAsia="el-GR"/>
              </w:rPr>
              <w:t>39516120-9</w:t>
            </w:r>
          </w:p>
        </w:tc>
      </w:tr>
      <w:tr>
        <w:trPr/>
        <w:tc>
          <w:tcPr>
            <w:tcW w:w="6100" w:type="dxa"/>
            <w:tcBorders>
              <w:top w:val="single" w:sz="4" w:space="0" w:color="000000"/>
              <w:left w:val="single" w:sz="4" w:space="0" w:color="000000"/>
              <w:bottom w:val="single" w:sz="4" w:space="0" w:color="000000"/>
            </w:tcBorders>
          </w:tcPr>
          <w:p>
            <w:pPr>
              <w:pStyle w:val="Normal"/>
              <w:widowControl w:val="false"/>
              <w:spacing w:before="0" w:after="120"/>
              <w:rPr/>
            </w:pPr>
            <w:r>
              <w:rPr>
                <w:rFonts w:cs="Calibri"/>
                <w:b/>
              </w:rPr>
              <w:t>Φωτιστικά σώματα</w:t>
            </w:r>
            <w:r>
              <w:rPr>
                <w:rFonts w:cs="Calibri"/>
              </w:rPr>
              <w:t xml:space="preserve"> (κρεμαστά φωτιστικά οροφής μεγάλα, κρεμαστά φωτιστικά οροφής μικρά)</w:t>
            </w:r>
          </w:p>
        </w:tc>
        <w:tc>
          <w:tcPr>
            <w:tcW w:w="1762"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before="0" w:after="120"/>
              <w:jc w:val="center"/>
              <w:rPr>
                <w:rFonts w:ascii="Calibri" w:hAnsi="Calibri" w:cs="Calibri"/>
                <w:lang w:eastAsia="el-GR"/>
              </w:rPr>
            </w:pPr>
            <w:r>
              <w:rPr>
                <w:rFonts w:cs="Calibri"/>
                <w:lang w:eastAsia="el-GR"/>
              </w:rPr>
              <w:t>31524120-2</w:t>
            </w:r>
          </w:p>
        </w:tc>
      </w:tr>
      <w:tr>
        <w:trPr/>
        <w:tc>
          <w:tcPr>
            <w:tcW w:w="6100" w:type="dxa"/>
            <w:tcBorders>
              <w:top w:val="single" w:sz="4" w:space="0" w:color="000000"/>
              <w:left w:val="single" w:sz="4" w:space="0" w:color="000000"/>
              <w:bottom w:val="single" w:sz="4" w:space="0" w:color="000000"/>
            </w:tcBorders>
          </w:tcPr>
          <w:p>
            <w:pPr>
              <w:pStyle w:val="Normal"/>
              <w:widowControl w:val="false"/>
              <w:snapToGrid w:val="false"/>
              <w:spacing w:before="0" w:after="120"/>
              <w:rPr>
                <w:rFonts w:ascii="Calibri" w:hAnsi="Calibri" w:cs="Calibri"/>
              </w:rPr>
            </w:pPr>
            <w:r>
              <w:rPr>
                <w:rFonts w:cs="Calibri"/>
              </w:rPr>
              <w:t>Πορτατίφ κομοδίνου</w:t>
            </w:r>
          </w:p>
        </w:tc>
        <w:tc>
          <w:tcPr>
            <w:tcW w:w="1762"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before="0" w:after="120"/>
              <w:jc w:val="center"/>
              <w:rPr>
                <w:rFonts w:ascii="Calibri" w:hAnsi="Calibri" w:cs="Calibri"/>
                <w:lang w:eastAsia="el-GR"/>
              </w:rPr>
            </w:pPr>
            <w:r>
              <w:rPr>
                <w:rFonts w:cs="Calibri"/>
                <w:lang w:eastAsia="el-GR"/>
              </w:rPr>
              <w:t>31521100-5</w:t>
            </w:r>
          </w:p>
        </w:tc>
      </w:tr>
      <w:tr>
        <w:trPr/>
        <w:tc>
          <w:tcPr>
            <w:tcW w:w="6100" w:type="dxa"/>
            <w:tcBorders>
              <w:top w:val="single" w:sz="4" w:space="0" w:color="000000"/>
              <w:left w:val="single" w:sz="4" w:space="0" w:color="000000"/>
              <w:bottom w:val="single" w:sz="4" w:space="0" w:color="000000"/>
            </w:tcBorders>
          </w:tcPr>
          <w:p>
            <w:pPr>
              <w:pStyle w:val="Normal"/>
              <w:widowControl w:val="false"/>
              <w:snapToGrid w:val="false"/>
              <w:spacing w:before="0" w:after="120"/>
              <w:rPr/>
            </w:pPr>
            <w:r>
              <w:rPr>
                <w:rFonts w:eastAsia="Calibri" w:cs="Calibri"/>
                <w:b/>
                <w:szCs w:val="22"/>
              </w:rPr>
              <w:t>Κλινοσκεπάσματα</w:t>
            </w:r>
            <w:r>
              <w:rPr>
                <w:rFonts w:eastAsia="Calibri" w:cs="Calibri"/>
                <w:szCs w:val="22"/>
              </w:rPr>
              <w:t xml:space="preserve"> (σεντόνια υπέρδιπλα, σεντόνια διπλά, σεντόνια μονά, κουβέρτα διπλή, κουβέρτα διπλή πικέ, κουβέρτα μονή, κουβέρτα ημίδιπλη πικέ, πάπλωμα υπέρδιπλο, πάπλωμα διπλό, πάπλωμα μονό, παπλωματοθήκη υπέρδιπλη, παπλωματοθήκη διπλή, παπλωματοθήκη μονή)</w:t>
            </w:r>
          </w:p>
        </w:tc>
        <w:tc>
          <w:tcPr>
            <w:tcW w:w="1762"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before="0" w:after="120"/>
              <w:jc w:val="center"/>
              <w:rPr>
                <w:rFonts w:ascii="Calibri" w:hAnsi="Calibri" w:cs="Calibri"/>
                <w:lang w:eastAsia="el-GR"/>
              </w:rPr>
            </w:pPr>
            <w:r>
              <w:rPr>
                <w:rFonts w:cs="Calibri"/>
                <w:lang w:eastAsia="el-GR"/>
              </w:rPr>
              <w:t>39512000-4</w:t>
            </w:r>
          </w:p>
        </w:tc>
      </w:tr>
      <w:tr>
        <w:trPr/>
        <w:tc>
          <w:tcPr>
            <w:tcW w:w="6100" w:type="dxa"/>
            <w:tcBorders>
              <w:top w:val="single" w:sz="4" w:space="0" w:color="000000"/>
              <w:left w:val="single" w:sz="4" w:space="0" w:color="000000"/>
              <w:bottom w:val="single" w:sz="4" w:space="0" w:color="000000"/>
            </w:tcBorders>
          </w:tcPr>
          <w:p>
            <w:pPr>
              <w:pStyle w:val="Normal"/>
              <w:widowControl w:val="false"/>
              <w:snapToGrid w:val="false"/>
              <w:spacing w:before="0" w:after="120"/>
              <w:rPr/>
            </w:pPr>
            <w:r>
              <w:rPr>
                <w:rFonts w:cs="Calibri"/>
                <w:b/>
                <w:lang w:eastAsia="el-GR"/>
              </w:rPr>
              <w:t>Πετσέτες μπάνιου και κουζίνας</w:t>
            </w:r>
            <w:r>
              <w:rPr>
                <w:rFonts w:cs="Calibri"/>
                <w:lang w:eastAsia="el-GR"/>
              </w:rPr>
              <w:t xml:space="preserve"> (Σετ πετσέτες μπάνιου, Σετ πετσέτες κουζίνας</w:t>
            </w:r>
          </w:p>
        </w:tc>
        <w:tc>
          <w:tcPr>
            <w:tcW w:w="1762"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before="0" w:after="120"/>
              <w:jc w:val="center"/>
              <w:rPr>
                <w:rFonts w:ascii="Calibri" w:hAnsi="Calibri" w:cs="Calibri"/>
                <w:lang w:eastAsia="el-GR"/>
              </w:rPr>
            </w:pPr>
            <w:r>
              <w:rPr>
                <w:rFonts w:cs="Calibri"/>
                <w:lang w:eastAsia="el-GR"/>
              </w:rPr>
              <w:t>39514000-8</w:t>
            </w:r>
          </w:p>
        </w:tc>
      </w:tr>
      <w:tr>
        <w:trPr/>
        <w:tc>
          <w:tcPr>
            <w:tcW w:w="6100" w:type="dxa"/>
            <w:tcBorders>
              <w:top w:val="single" w:sz="4" w:space="0" w:color="000000"/>
              <w:left w:val="single" w:sz="4" w:space="0" w:color="000000"/>
              <w:bottom w:val="single" w:sz="4" w:space="0" w:color="000000"/>
            </w:tcBorders>
          </w:tcPr>
          <w:p>
            <w:pPr>
              <w:pStyle w:val="Normal"/>
              <w:widowControl w:val="false"/>
              <w:snapToGrid w:val="false"/>
              <w:spacing w:before="0" w:after="120"/>
              <w:rPr/>
            </w:pPr>
            <w:r>
              <w:rPr/>
              <w:t>Τραπεζομάντηλο φαγητού &amp; τραπεζομάντηλο φιγούρας</w:t>
            </w:r>
          </w:p>
        </w:tc>
        <w:tc>
          <w:tcPr>
            <w:tcW w:w="1762"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before="0" w:after="120"/>
              <w:jc w:val="center"/>
              <w:rPr>
                <w:rFonts w:ascii="Calibri" w:hAnsi="Calibri" w:cs="Calibri"/>
                <w:lang w:eastAsia="el-GR"/>
              </w:rPr>
            </w:pPr>
            <w:r>
              <w:rPr>
                <w:rFonts w:cs="Calibri"/>
                <w:lang w:eastAsia="el-GR"/>
              </w:rPr>
              <w:t>39513100-2</w:t>
            </w:r>
          </w:p>
        </w:tc>
      </w:tr>
      <w:tr>
        <w:trPr/>
        <w:tc>
          <w:tcPr>
            <w:tcW w:w="6100" w:type="dxa"/>
            <w:tcBorders>
              <w:top w:val="single" w:sz="4" w:space="0" w:color="000000"/>
              <w:left w:val="single" w:sz="4" w:space="0" w:color="000000"/>
              <w:bottom w:val="single" w:sz="4" w:space="0" w:color="000000"/>
            </w:tcBorders>
          </w:tcPr>
          <w:p>
            <w:pPr>
              <w:pStyle w:val="Normal"/>
              <w:widowControl w:val="false"/>
              <w:snapToGrid w:val="false"/>
              <w:spacing w:before="0" w:after="120"/>
              <w:rPr/>
            </w:pPr>
            <w:r>
              <w:rPr>
                <w:rFonts w:cs="Calibri"/>
                <w:b/>
                <w:lang w:eastAsia="el-GR"/>
              </w:rPr>
              <w:t xml:space="preserve">Εξοπλισμός κουζίνας, είδη οικιακής χρήσης και αναλώσιμα τροφοδοσίας </w:t>
            </w:r>
            <w:r>
              <w:rPr>
                <w:rFonts w:cs="Calibri"/>
                <w:lang w:eastAsia="el-GR"/>
              </w:rPr>
              <w:t>(Σετ πιάτα 20 τμχ, Σετ ποτήρια νερού 6 τμχ, Κούπες, Μαχαιροπίρουνα, Πιατοθήκη, Σετ δοχεία τροφίμων, Σετ αντικολλητικά μαγειρικά σκεύη, Μπρίκι για ηλεκτρική κουζίνα)</w:t>
            </w:r>
          </w:p>
        </w:tc>
        <w:tc>
          <w:tcPr>
            <w:tcW w:w="1762"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before="0" w:after="120"/>
              <w:jc w:val="center"/>
              <w:rPr>
                <w:rFonts w:ascii="Calibri" w:hAnsi="Calibri" w:cs="Calibri"/>
                <w:lang w:eastAsia="el-GR"/>
              </w:rPr>
            </w:pPr>
            <w:r>
              <w:rPr>
                <w:rFonts w:cs="Calibri"/>
                <w:lang w:eastAsia="el-GR"/>
              </w:rPr>
              <w:t>39220000-0</w:t>
            </w:r>
          </w:p>
        </w:tc>
      </w:tr>
      <w:tr>
        <w:trPr/>
        <w:tc>
          <w:tcPr>
            <w:tcW w:w="6100" w:type="dxa"/>
            <w:tcBorders>
              <w:top w:val="single" w:sz="4" w:space="0" w:color="000000"/>
              <w:left w:val="single" w:sz="4" w:space="0" w:color="000000"/>
              <w:bottom w:val="single" w:sz="4" w:space="0" w:color="000000"/>
            </w:tcBorders>
          </w:tcPr>
          <w:p>
            <w:pPr>
              <w:pStyle w:val="Normal"/>
              <w:widowControl w:val="false"/>
              <w:snapToGrid w:val="false"/>
              <w:spacing w:before="0" w:after="120"/>
              <w:rPr>
                <w:rFonts w:ascii="Calibri" w:hAnsi="Calibri" w:cs="Calibri"/>
                <w:lang w:eastAsia="el-GR"/>
              </w:rPr>
            </w:pPr>
            <w:r>
              <w:rPr>
                <w:rFonts w:cs="Calibri"/>
                <w:lang w:eastAsia="el-GR"/>
              </w:rPr>
              <w:t>Κρεμάστρες ρούχων πλαστικές</w:t>
            </w:r>
          </w:p>
        </w:tc>
        <w:tc>
          <w:tcPr>
            <w:tcW w:w="1762"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before="0" w:after="120"/>
              <w:jc w:val="center"/>
              <w:rPr>
                <w:rFonts w:ascii="Calibri" w:hAnsi="Calibri" w:cs="Calibri"/>
                <w:sz w:val="22"/>
                <w:szCs w:val="22"/>
                <w:lang w:eastAsia="el-GR"/>
              </w:rPr>
            </w:pPr>
            <w:r>
              <w:rPr>
                <w:rFonts w:cs="Calibri"/>
                <w:sz w:val="22"/>
                <w:szCs w:val="22"/>
                <w:lang w:eastAsia="el-GR"/>
              </w:rPr>
              <w:t>39136000-4</w:t>
            </w:r>
          </w:p>
        </w:tc>
      </w:tr>
      <w:tr>
        <w:trPr/>
        <w:tc>
          <w:tcPr>
            <w:tcW w:w="6100" w:type="dxa"/>
            <w:tcBorders>
              <w:left w:val="single" w:sz="4" w:space="0" w:color="000000"/>
              <w:bottom w:val="single" w:sz="4" w:space="0" w:color="000000"/>
            </w:tcBorders>
          </w:tcPr>
          <w:p>
            <w:pPr>
              <w:pStyle w:val="Normal"/>
              <w:widowControl w:val="false"/>
              <w:snapToGrid w:val="false"/>
              <w:spacing w:before="0" w:after="120"/>
              <w:rPr/>
            </w:pPr>
            <w:r>
              <w:rPr>
                <w:rFonts w:cs="Calibri"/>
                <w:b/>
              </w:rPr>
              <w:t>Σκούπες και βούρτσες και άλλα είδη για την οικιακή καθαριότητα</w:t>
            </w:r>
            <w:r>
              <w:rPr>
                <w:rFonts w:cs="Calibri"/>
              </w:rPr>
              <w:t xml:space="preserve"> (σκούπα, φαράσι πλαστικό, σφουγγαρίστρα, κοντάρι σφουγγαρίστρας – σκούπας, κουβάς, σετ μπάνιου (καλάθι κ πιγκάλ), σετ νιπτήρα μπάνιου (4 τεμάχια))</w:t>
            </w:r>
          </w:p>
        </w:tc>
        <w:tc>
          <w:tcPr>
            <w:tcW w:w="1762" w:type="dxa"/>
            <w:tcBorders>
              <w:left w:val="single" w:sz="4" w:space="0" w:color="000000"/>
              <w:bottom w:val="single" w:sz="4" w:space="0" w:color="000000"/>
              <w:right w:val="single" w:sz="4" w:space="0" w:color="000000"/>
            </w:tcBorders>
          </w:tcPr>
          <w:p>
            <w:pPr>
              <w:pStyle w:val="Normal"/>
              <w:widowControl w:val="false"/>
              <w:snapToGrid w:val="false"/>
              <w:spacing w:before="0" w:after="120"/>
              <w:jc w:val="center"/>
              <w:rPr>
                <w:rFonts w:ascii="Calibri" w:hAnsi="Calibri" w:cs="Calibri"/>
                <w:lang w:eastAsia="el-GR"/>
              </w:rPr>
            </w:pPr>
            <w:r>
              <w:rPr>
                <w:rFonts w:cs="Calibri"/>
                <w:lang w:eastAsia="el-GR"/>
              </w:rPr>
              <w:t>39224300-1</w:t>
            </w:r>
          </w:p>
        </w:tc>
      </w:tr>
      <w:tr>
        <w:trPr/>
        <w:tc>
          <w:tcPr>
            <w:tcW w:w="6100" w:type="dxa"/>
            <w:tcBorders>
              <w:top w:val="single" w:sz="4" w:space="0" w:color="000000"/>
              <w:left w:val="single" w:sz="4" w:space="0" w:color="000000"/>
              <w:bottom w:val="single" w:sz="4" w:space="0" w:color="000000"/>
            </w:tcBorders>
          </w:tcPr>
          <w:p>
            <w:pPr>
              <w:pStyle w:val="Normal"/>
              <w:widowControl w:val="false"/>
              <w:snapToGrid w:val="false"/>
              <w:spacing w:before="0" w:after="120"/>
              <w:rPr>
                <w:rFonts w:ascii="Calibri" w:hAnsi="Calibri" w:eastAsia="Calibri" w:cs="Calibri"/>
                <w:szCs w:val="22"/>
              </w:rPr>
            </w:pPr>
            <w:r>
              <w:rPr>
                <w:rFonts w:eastAsia="Calibri" w:cs="Calibri"/>
                <w:szCs w:val="22"/>
              </w:rPr>
              <w:t>Σιδερώστρα</w:t>
            </w:r>
          </w:p>
        </w:tc>
        <w:tc>
          <w:tcPr>
            <w:tcW w:w="1762"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before="0" w:after="120"/>
              <w:jc w:val="center"/>
              <w:rPr>
                <w:rFonts w:ascii="Calibri" w:hAnsi="Calibri" w:cs="Calibri"/>
              </w:rPr>
            </w:pPr>
            <w:r>
              <w:rPr>
                <w:rFonts w:cs="Calibri"/>
              </w:rPr>
              <w:t>42717000-5</w:t>
            </w:r>
          </w:p>
        </w:tc>
      </w:tr>
      <w:tr>
        <w:trPr/>
        <w:tc>
          <w:tcPr>
            <w:tcW w:w="6100" w:type="dxa"/>
            <w:tcBorders>
              <w:top w:val="single" w:sz="4" w:space="0" w:color="000000"/>
              <w:left w:val="single" w:sz="4" w:space="0" w:color="000000"/>
              <w:bottom w:val="single" w:sz="4" w:space="0" w:color="000000"/>
            </w:tcBorders>
          </w:tcPr>
          <w:p>
            <w:pPr>
              <w:pStyle w:val="Normal"/>
              <w:widowControl w:val="false"/>
              <w:snapToGrid w:val="false"/>
              <w:spacing w:before="0" w:after="120"/>
              <w:rPr/>
            </w:pPr>
            <w:r>
              <w:rPr>
                <w:rFonts w:cs="Calibri"/>
                <w:szCs w:val="22"/>
              </w:rPr>
              <w:t xml:space="preserve">Απλώστρα </w:t>
            </w:r>
            <w:r>
              <w:rPr>
                <w:rFonts w:cs="Calibri"/>
              </w:rPr>
              <w:t>εσωτερικού χώρου µε φτερά στο πλάι, ανοξείδωτη</w:t>
            </w:r>
          </w:p>
        </w:tc>
        <w:tc>
          <w:tcPr>
            <w:tcW w:w="1762"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before="0" w:after="120"/>
              <w:jc w:val="center"/>
              <w:rPr>
                <w:rFonts w:ascii="Calibri" w:hAnsi="Calibri" w:cs="Calibri"/>
              </w:rPr>
            </w:pPr>
            <w:r>
              <w:rPr>
                <w:rFonts w:cs="Calibri"/>
              </w:rPr>
              <w:t>42716110-2</w:t>
            </w:r>
          </w:p>
        </w:tc>
      </w:tr>
      <w:tr>
        <w:trPr/>
        <w:tc>
          <w:tcPr>
            <w:tcW w:w="6100" w:type="dxa"/>
            <w:tcBorders>
              <w:top w:val="single" w:sz="4" w:space="0" w:color="000000"/>
              <w:left w:val="single" w:sz="4" w:space="0" w:color="000000"/>
              <w:bottom w:val="single" w:sz="4" w:space="0" w:color="000000"/>
            </w:tcBorders>
          </w:tcPr>
          <w:p>
            <w:pPr>
              <w:pStyle w:val="Normal"/>
              <w:widowControl w:val="false"/>
              <w:snapToGrid w:val="false"/>
              <w:spacing w:before="0" w:after="120"/>
              <w:rPr>
                <w:rFonts w:ascii="Calibri" w:hAnsi="Calibri" w:cs="Calibri"/>
              </w:rPr>
            </w:pPr>
            <w:r>
              <w:rPr>
                <w:rFonts w:cs="Calibri"/>
              </w:rPr>
              <w:t>Μανταλάκια πλαστικά, ανθεκτικά σε συσκευασία 24 τµχ</w:t>
            </w:r>
          </w:p>
        </w:tc>
        <w:tc>
          <w:tcPr>
            <w:tcW w:w="1762"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before="0" w:after="120"/>
              <w:jc w:val="center"/>
              <w:rPr>
                <w:rFonts w:ascii="Calibri" w:hAnsi="Calibri" w:cs="Calibri"/>
              </w:rPr>
            </w:pPr>
            <w:r>
              <w:rPr>
                <w:rFonts w:cs="Calibri"/>
              </w:rPr>
              <w:t>42716110-2</w:t>
            </w:r>
          </w:p>
        </w:tc>
      </w:tr>
      <w:tr>
        <w:trPr/>
        <w:tc>
          <w:tcPr>
            <w:tcW w:w="6100" w:type="dxa"/>
            <w:tcBorders>
              <w:top w:val="single" w:sz="4" w:space="0" w:color="000000"/>
              <w:left w:val="single" w:sz="4" w:space="0" w:color="000000"/>
              <w:bottom w:val="single" w:sz="4" w:space="0" w:color="000000"/>
            </w:tcBorders>
          </w:tcPr>
          <w:p>
            <w:pPr>
              <w:pStyle w:val="Normal"/>
              <w:widowControl w:val="false"/>
              <w:snapToGrid w:val="false"/>
              <w:spacing w:before="0" w:after="120"/>
              <w:rPr>
                <w:rFonts w:ascii="Calibri" w:hAnsi="Calibri" w:cs="Calibri"/>
              </w:rPr>
            </w:pPr>
            <w:r>
              <w:rPr>
                <w:rFonts w:cs="Calibri"/>
              </w:rPr>
              <w:t>Κουρτίνα μπάνιου, κουρτινόξυλο μπάνιου</w:t>
            </w:r>
          </w:p>
        </w:tc>
        <w:tc>
          <w:tcPr>
            <w:tcW w:w="1762"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before="0" w:after="120"/>
              <w:jc w:val="center"/>
              <w:rPr>
                <w:rFonts w:ascii="Calibri" w:hAnsi="Calibri" w:cs="Calibri"/>
                <w:highlight w:val="white"/>
              </w:rPr>
            </w:pPr>
            <w:r>
              <w:rPr>
                <w:rFonts w:cs="Calibri"/>
                <w:highlight w:val="white"/>
              </w:rPr>
              <w:t>39515100-6</w:t>
            </w:r>
          </w:p>
        </w:tc>
      </w:tr>
      <w:tr>
        <w:trPr/>
        <w:tc>
          <w:tcPr>
            <w:tcW w:w="6100" w:type="dxa"/>
            <w:tcBorders>
              <w:top w:val="single" w:sz="4" w:space="0" w:color="000000"/>
              <w:left w:val="single" w:sz="4" w:space="0" w:color="000000"/>
              <w:bottom w:val="single" w:sz="4" w:space="0" w:color="000000"/>
            </w:tcBorders>
          </w:tcPr>
          <w:p>
            <w:pPr>
              <w:pStyle w:val="Normal"/>
              <w:widowControl w:val="false"/>
              <w:snapToGrid w:val="false"/>
              <w:spacing w:before="0" w:after="120"/>
              <w:rPr>
                <w:rFonts w:ascii="Calibri" w:hAnsi="Calibri" w:cs="Calibri"/>
              </w:rPr>
            </w:pPr>
            <w:r>
              <w:rPr>
                <w:rFonts w:cs="Calibri"/>
              </w:rPr>
              <w:t>Φορητός Ηλεκτρονικός Υπολογιστής</w:t>
            </w:r>
          </w:p>
        </w:tc>
        <w:tc>
          <w:tcPr>
            <w:tcW w:w="1762"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before="0" w:after="120"/>
              <w:jc w:val="center"/>
              <w:rPr>
                <w:rFonts w:ascii="Calibri" w:hAnsi="Calibri" w:eastAsia="Calibri" w:cs="Calibri"/>
                <w:szCs w:val="22"/>
              </w:rPr>
            </w:pPr>
            <w:r>
              <w:rPr>
                <w:rFonts w:eastAsia="Calibri" w:cs="Calibri"/>
                <w:szCs w:val="22"/>
              </w:rPr>
              <w:t>30213100-6</w:t>
            </w:r>
          </w:p>
        </w:tc>
      </w:tr>
      <w:tr>
        <w:trPr/>
        <w:tc>
          <w:tcPr>
            <w:tcW w:w="6100" w:type="dxa"/>
            <w:tcBorders>
              <w:top w:val="single" w:sz="4" w:space="0" w:color="000000"/>
              <w:left w:val="single" w:sz="4" w:space="0" w:color="000000"/>
              <w:bottom w:val="single" w:sz="4" w:space="0" w:color="000000"/>
            </w:tcBorders>
          </w:tcPr>
          <w:p>
            <w:pPr>
              <w:pStyle w:val="Normal"/>
              <w:widowControl w:val="false"/>
              <w:tabs>
                <w:tab w:val="clear" w:pos="720"/>
                <w:tab w:val="left" w:pos="2409" w:leader="none"/>
              </w:tabs>
              <w:snapToGrid w:val="false"/>
              <w:spacing w:before="0" w:after="120"/>
              <w:rPr>
                <w:rFonts w:ascii="Calibri" w:hAnsi="Calibri" w:cs="Calibri"/>
                <w:szCs w:val="22"/>
              </w:rPr>
            </w:pPr>
            <w:r>
              <w:rPr>
                <w:rFonts w:cs="Calibri"/>
                <w:szCs w:val="22"/>
              </w:rPr>
              <w:t>Ποντίκι ασύρματο</w:t>
            </w:r>
          </w:p>
        </w:tc>
        <w:tc>
          <w:tcPr>
            <w:tcW w:w="1762"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before="0" w:after="120"/>
              <w:jc w:val="center"/>
              <w:rPr>
                <w:rFonts w:ascii="Calibri" w:hAnsi="Calibri" w:eastAsia="Calibri" w:cs="Calibri"/>
                <w:szCs w:val="22"/>
              </w:rPr>
            </w:pPr>
            <w:r>
              <w:rPr>
                <w:rFonts w:eastAsia="Calibri" w:cs="Calibri"/>
                <w:szCs w:val="22"/>
              </w:rPr>
              <w:t>30237410-6</w:t>
            </w:r>
          </w:p>
        </w:tc>
      </w:tr>
    </w:tbl>
    <w:p>
      <w:pPr>
        <w:pStyle w:val="Normal"/>
        <w:rPr>
          <w:szCs w:val="22"/>
          <w:lang w:val="en-US"/>
        </w:rPr>
      </w:pPr>
      <w:r>
        <w:rPr>
          <w:szCs w:val="22"/>
          <w:lang w:val="en-US"/>
        </w:rPr>
      </w:r>
    </w:p>
    <w:p>
      <w:pPr>
        <w:pStyle w:val="Normal"/>
        <w:rPr>
          <w:szCs w:val="22"/>
        </w:rPr>
      </w:pPr>
      <w:r>
        <w:rPr>
          <w:szCs w:val="22"/>
        </w:rPr>
        <w:t>Οι προδιαγραφές των προς προμήθεια ειδών, περιγράφονται ως εξής:</w:t>
      </w:r>
    </w:p>
    <w:p>
      <w:pPr>
        <w:pStyle w:val="Normal"/>
        <w:jc w:val="center"/>
        <w:rPr>
          <w:rFonts w:ascii="Tahoma" w:hAnsi="Tahoma" w:cs="Tahoma"/>
          <w:b/>
          <w:b/>
          <w:sz w:val="28"/>
          <w:szCs w:val="28"/>
        </w:rPr>
      </w:pPr>
      <w:r>
        <w:rPr>
          <w:rFonts w:cs="Tahoma" w:ascii="Tahoma" w:hAnsi="Tahoma"/>
          <w:b/>
          <w:sz w:val="28"/>
          <w:szCs w:val="28"/>
        </w:rPr>
      </w:r>
    </w:p>
    <w:p>
      <w:pPr>
        <w:pStyle w:val="Normal"/>
        <w:ind w:left="1080" w:hanging="0"/>
        <w:rPr>
          <w:rFonts w:ascii="Calibri" w:hAnsi="Calibri" w:eastAsia="Calibri" w:cs="Calibri"/>
          <w:b/>
          <w:b/>
          <w:bCs/>
        </w:rPr>
      </w:pPr>
      <w:r>
        <w:rPr>
          <w:rFonts w:eastAsia="Calibri" w:cs="Calibri"/>
          <w:b/>
          <w:bCs/>
        </w:rPr>
        <w:t>1. Ηλεκτρικό ψυγείο δίπορτο</w:t>
      </w:r>
    </w:p>
    <w:tbl>
      <w:tblPr>
        <w:tblW w:w="9810" w:type="dxa"/>
        <w:jc w:val="left"/>
        <w:tblInd w:w="-65" w:type="dxa"/>
        <w:tblLayout w:type="fixed"/>
        <w:tblCellMar>
          <w:top w:w="0" w:type="dxa"/>
          <w:left w:w="108" w:type="dxa"/>
          <w:bottom w:w="0" w:type="dxa"/>
          <w:right w:w="108" w:type="dxa"/>
        </w:tblCellMar>
      </w:tblPr>
      <w:tblGrid>
        <w:gridCol w:w="3285"/>
        <w:gridCol w:w="3901"/>
        <w:gridCol w:w="2624"/>
      </w:tblGrid>
      <w:tr>
        <w:trPr/>
        <w:tc>
          <w:tcPr>
            <w:tcW w:w="3285" w:type="dxa"/>
            <w:tcBorders>
              <w:top w:val="single" w:sz="4" w:space="0" w:color="000000"/>
              <w:left w:val="single" w:sz="4" w:space="0" w:color="000000"/>
              <w:bottom w:val="single" w:sz="4" w:space="0" w:color="000000"/>
            </w:tcBorders>
            <w:shd w:fill="F2F2F2" w:val="clear"/>
          </w:tcPr>
          <w:p>
            <w:pPr>
              <w:pStyle w:val="Style25"/>
              <w:widowControl w:val="false"/>
              <w:tabs>
                <w:tab w:val="clear" w:pos="720"/>
                <w:tab w:val="left" w:pos="-540" w:leader="none"/>
              </w:tabs>
              <w:spacing w:before="0" w:after="240"/>
              <w:jc w:val="left"/>
              <w:rPr>
                <w:rFonts w:ascii="Calibri" w:hAnsi="Calibri" w:eastAsia="Calibri" w:cs="Calibri"/>
                <w:b/>
                <w:b/>
                <w:sz w:val="22"/>
                <w:szCs w:val="22"/>
              </w:rPr>
            </w:pPr>
            <w:bookmarkStart w:id="76" w:name="_Hlk25752374"/>
            <w:bookmarkEnd w:id="76"/>
            <w:r>
              <w:rPr>
                <w:rFonts w:eastAsia="Calibri" w:cs="Calibri"/>
                <w:b/>
                <w:sz w:val="22"/>
                <w:szCs w:val="22"/>
              </w:rPr>
              <w:t>Χαρακτηριστικό</w:t>
            </w:r>
          </w:p>
        </w:tc>
        <w:tc>
          <w:tcPr>
            <w:tcW w:w="3901" w:type="dxa"/>
            <w:tcBorders>
              <w:top w:val="single" w:sz="4" w:space="0" w:color="000000"/>
              <w:left w:val="single" w:sz="4" w:space="0" w:color="000000"/>
              <w:bottom w:val="single" w:sz="4" w:space="0" w:color="000000"/>
            </w:tcBorders>
            <w:shd w:fill="F2F2F2" w:val="clear"/>
          </w:tcPr>
          <w:p>
            <w:pPr>
              <w:pStyle w:val="Style25"/>
              <w:widowControl w:val="false"/>
              <w:tabs>
                <w:tab w:val="clear" w:pos="720"/>
                <w:tab w:val="left" w:pos="-540" w:leader="none"/>
              </w:tabs>
              <w:spacing w:before="0" w:after="240"/>
              <w:jc w:val="left"/>
              <w:rPr>
                <w:rFonts w:ascii="Calibri" w:hAnsi="Calibri" w:eastAsia="Calibri" w:cs="Calibri"/>
                <w:b/>
                <w:b/>
                <w:sz w:val="22"/>
                <w:szCs w:val="22"/>
              </w:rPr>
            </w:pPr>
            <w:r>
              <w:rPr>
                <w:rFonts w:eastAsia="Calibri" w:cs="Calibri"/>
                <w:b/>
                <w:sz w:val="22"/>
                <w:szCs w:val="22"/>
              </w:rPr>
              <w:t>Απαίτηση</w:t>
            </w:r>
          </w:p>
        </w:tc>
        <w:tc>
          <w:tcPr>
            <w:tcW w:w="2624" w:type="dxa"/>
            <w:tcBorders>
              <w:top w:val="single" w:sz="4" w:space="0" w:color="000000"/>
              <w:left w:val="single" w:sz="4" w:space="0" w:color="000000"/>
              <w:bottom w:val="single" w:sz="4" w:space="0" w:color="000000"/>
              <w:right w:val="single" w:sz="4" w:space="0" w:color="000000"/>
            </w:tcBorders>
            <w:shd w:fill="F2F2F2" w:val="clear"/>
          </w:tcPr>
          <w:p>
            <w:pPr>
              <w:pStyle w:val="Style25"/>
              <w:widowControl w:val="false"/>
              <w:tabs>
                <w:tab w:val="clear" w:pos="720"/>
                <w:tab w:val="left" w:pos="-540" w:leader="none"/>
              </w:tabs>
              <w:spacing w:before="0" w:after="240"/>
              <w:jc w:val="left"/>
              <w:rPr>
                <w:rFonts w:ascii="Calibri" w:hAnsi="Calibri" w:eastAsia="Calibri" w:cs="Calibri"/>
                <w:b/>
                <w:b/>
                <w:sz w:val="22"/>
                <w:szCs w:val="22"/>
              </w:rPr>
            </w:pPr>
            <w:r>
              <w:rPr>
                <w:rFonts w:eastAsia="Calibri" w:cs="Calibri"/>
                <w:b/>
                <w:sz w:val="22"/>
                <w:szCs w:val="22"/>
              </w:rPr>
              <w:t>Παρατηρήσεις</w:t>
            </w:r>
          </w:p>
        </w:tc>
      </w:tr>
      <w:tr>
        <w:trPr>
          <w:trHeight w:val="227" w:hRule="atLeast"/>
        </w:trPr>
        <w:tc>
          <w:tcPr>
            <w:tcW w:w="3285" w:type="dxa"/>
            <w:tcBorders>
              <w:top w:val="single" w:sz="4" w:space="0" w:color="000000"/>
              <w:left w:val="single" w:sz="4" w:space="0" w:color="000000"/>
              <w:bottom w:val="single" w:sz="4" w:space="0" w:color="000000"/>
            </w:tcBorders>
          </w:tcPr>
          <w:p>
            <w:pPr>
              <w:pStyle w:val="Style25"/>
              <w:widowControl w:val="false"/>
              <w:tabs>
                <w:tab w:val="clear" w:pos="720"/>
                <w:tab w:val="left" w:pos="-540" w:leader="none"/>
              </w:tabs>
              <w:spacing w:before="0" w:after="240"/>
              <w:jc w:val="left"/>
              <w:rPr>
                <w:rFonts w:ascii="Calibri" w:hAnsi="Calibri" w:eastAsia="Calibri" w:cs="Calibri"/>
                <w:sz w:val="21"/>
                <w:szCs w:val="21"/>
              </w:rPr>
            </w:pPr>
            <w:r>
              <w:rPr>
                <w:rFonts w:eastAsia="Calibri" w:cs="Calibri"/>
                <w:sz w:val="21"/>
                <w:szCs w:val="21"/>
              </w:rPr>
              <w:t>Κατηγορία</w:t>
            </w:r>
          </w:p>
        </w:tc>
        <w:tc>
          <w:tcPr>
            <w:tcW w:w="3901" w:type="dxa"/>
            <w:tcBorders>
              <w:top w:val="single" w:sz="4" w:space="0" w:color="000000"/>
              <w:left w:val="single" w:sz="4" w:space="0" w:color="000000"/>
              <w:bottom w:val="single" w:sz="4" w:space="0" w:color="000000"/>
            </w:tcBorders>
          </w:tcPr>
          <w:p>
            <w:pPr>
              <w:pStyle w:val="Style25"/>
              <w:widowControl w:val="false"/>
              <w:tabs>
                <w:tab w:val="clear" w:pos="720"/>
                <w:tab w:val="left" w:pos="-540" w:leader="none"/>
              </w:tabs>
              <w:spacing w:before="0" w:after="240"/>
              <w:jc w:val="left"/>
              <w:rPr>
                <w:rFonts w:ascii="Calibri" w:hAnsi="Calibri" w:eastAsia="Calibri" w:cs="Calibri"/>
                <w:sz w:val="21"/>
                <w:szCs w:val="21"/>
              </w:rPr>
            </w:pPr>
            <w:r>
              <w:rPr>
                <w:rFonts w:eastAsia="Calibri" w:cs="Calibri"/>
                <w:sz w:val="21"/>
                <w:szCs w:val="21"/>
              </w:rPr>
              <w:t>Μεσαίο μέγεθος</w:t>
            </w:r>
          </w:p>
        </w:tc>
        <w:tc>
          <w:tcPr>
            <w:tcW w:w="2624" w:type="dxa"/>
            <w:tcBorders>
              <w:top w:val="single" w:sz="4" w:space="0" w:color="000000"/>
              <w:left w:val="single" w:sz="4" w:space="0" w:color="000000"/>
              <w:bottom w:val="single" w:sz="4" w:space="0" w:color="000000"/>
              <w:right w:val="single" w:sz="4" w:space="0" w:color="000000"/>
            </w:tcBorders>
          </w:tcPr>
          <w:p>
            <w:pPr>
              <w:pStyle w:val="Style25"/>
              <w:widowControl w:val="false"/>
              <w:tabs>
                <w:tab w:val="clear" w:pos="720"/>
                <w:tab w:val="left" w:pos="-540" w:leader="none"/>
              </w:tabs>
              <w:snapToGrid w:val="false"/>
              <w:spacing w:before="0" w:after="240"/>
              <w:jc w:val="left"/>
              <w:rPr>
                <w:rFonts w:ascii="Calibri" w:hAnsi="Calibri" w:eastAsia="Calibri" w:cs="Calibri"/>
                <w:sz w:val="21"/>
                <w:szCs w:val="21"/>
              </w:rPr>
            </w:pPr>
            <w:r>
              <w:rPr>
                <w:rFonts w:eastAsia="Calibri" w:cs="Calibri"/>
                <w:sz w:val="21"/>
                <w:szCs w:val="21"/>
              </w:rPr>
              <w:t>Ελεύθερο, όχι εντοιχιζόμενο</w:t>
            </w:r>
          </w:p>
        </w:tc>
      </w:tr>
      <w:tr>
        <w:trPr>
          <w:trHeight w:val="227" w:hRule="atLeast"/>
        </w:trPr>
        <w:tc>
          <w:tcPr>
            <w:tcW w:w="3285" w:type="dxa"/>
            <w:tcBorders>
              <w:left w:val="single" w:sz="4" w:space="0" w:color="000000"/>
              <w:bottom w:val="single" w:sz="4" w:space="0" w:color="000000"/>
            </w:tcBorders>
          </w:tcPr>
          <w:p>
            <w:pPr>
              <w:pStyle w:val="Style25"/>
              <w:widowControl w:val="false"/>
              <w:tabs>
                <w:tab w:val="clear" w:pos="720"/>
                <w:tab w:val="left" w:pos="-540" w:leader="none"/>
              </w:tabs>
              <w:spacing w:before="0" w:after="240"/>
              <w:jc w:val="left"/>
              <w:rPr>
                <w:rFonts w:ascii="Calibri" w:hAnsi="Calibri" w:eastAsia="Calibri" w:cs="Calibri"/>
                <w:sz w:val="21"/>
                <w:szCs w:val="21"/>
              </w:rPr>
            </w:pPr>
            <w:r>
              <w:rPr>
                <w:rFonts w:eastAsia="Calibri" w:cs="Calibri"/>
                <w:sz w:val="21"/>
                <w:szCs w:val="21"/>
              </w:rPr>
              <w:t>Χωρητικότητα</w:t>
            </w:r>
          </w:p>
        </w:tc>
        <w:tc>
          <w:tcPr>
            <w:tcW w:w="3901" w:type="dxa"/>
            <w:tcBorders>
              <w:left w:val="single" w:sz="4" w:space="0" w:color="000000"/>
              <w:bottom w:val="single" w:sz="4" w:space="0" w:color="000000"/>
            </w:tcBorders>
          </w:tcPr>
          <w:p>
            <w:pPr>
              <w:pStyle w:val="Style25"/>
              <w:widowControl w:val="false"/>
              <w:tabs>
                <w:tab w:val="clear" w:pos="720"/>
                <w:tab w:val="left" w:pos="-540" w:leader="none"/>
              </w:tabs>
              <w:spacing w:before="0" w:after="240"/>
              <w:jc w:val="left"/>
              <w:rPr>
                <w:sz w:val="21"/>
                <w:szCs w:val="21"/>
              </w:rPr>
            </w:pPr>
            <w:r>
              <w:rPr>
                <w:rFonts w:eastAsia="Calibri" w:cs="Calibri"/>
                <w:sz w:val="21"/>
                <w:szCs w:val="21"/>
              </w:rPr>
              <w:t xml:space="preserve">Από 250 έως </w:t>
            </w:r>
            <w:r>
              <w:rPr>
                <w:rFonts w:eastAsia="Calibri" w:cs="Calibri"/>
                <w:sz w:val="21"/>
                <w:szCs w:val="21"/>
                <w:lang w:val="en-US"/>
              </w:rPr>
              <w:t>280Lt</w:t>
            </w:r>
          </w:p>
        </w:tc>
        <w:tc>
          <w:tcPr>
            <w:tcW w:w="2624" w:type="dxa"/>
            <w:tcBorders>
              <w:left w:val="single" w:sz="4" w:space="0" w:color="000000"/>
              <w:bottom w:val="single" w:sz="4" w:space="0" w:color="000000"/>
              <w:right w:val="single" w:sz="4" w:space="0" w:color="000000"/>
            </w:tcBorders>
          </w:tcPr>
          <w:p>
            <w:pPr>
              <w:pStyle w:val="Style25"/>
              <w:widowControl w:val="false"/>
              <w:tabs>
                <w:tab w:val="clear" w:pos="720"/>
                <w:tab w:val="left" w:pos="-540" w:leader="none"/>
              </w:tabs>
              <w:snapToGrid w:val="false"/>
              <w:spacing w:before="0" w:after="240"/>
              <w:jc w:val="left"/>
              <w:rPr>
                <w:rFonts w:ascii="Calibri" w:hAnsi="Calibri" w:eastAsia="Calibri" w:cs="Calibri"/>
                <w:sz w:val="21"/>
                <w:szCs w:val="21"/>
              </w:rPr>
            </w:pPr>
            <w:r>
              <w:rPr>
                <w:rFonts w:eastAsia="Calibri" w:cs="Calibri"/>
                <w:sz w:val="21"/>
                <w:szCs w:val="21"/>
              </w:rPr>
              <w:t>μικτή</w:t>
            </w:r>
          </w:p>
        </w:tc>
      </w:tr>
      <w:tr>
        <w:trPr>
          <w:trHeight w:val="227" w:hRule="atLeast"/>
        </w:trPr>
        <w:tc>
          <w:tcPr>
            <w:tcW w:w="3285" w:type="dxa"/>
            <w:tcBorders>
              <w:top w:val="single" w:sz="4" w:space="0" w:color="000000"/>
              <w:left w:val="single" w:sz="4" w:space="0" w:color="000000"/>
              <w:bottom w:val="single" w:sz="4" w:space="0" w:color="000000"/>
            </w:tcBorders>
          </w:tcPr>
          <w:p>
            <w:pPr>
              <w:pStyle w:val="Style25"/>
              <w:widowControl w:val="false"/>
              <w:tabs>
                <w:tab w:val="clear" w:pos="720"/>
                <w:tab w:val="left" w:pos="-540" w:leader="none"/>
              </w:tabs>
              <w:spacing w:before="0" w:after="240"/>
              <w:jc w:val="left"/>
              <w:rPr>
                <w:rFonts w:ascii="Calibri" w:hAnsi="Calibri" w:eastAsia="Calibri" w:cs="Calibri"/>
                <w:sz w:val="21"/>
                <w:szCs w:val="21"/>
              </w:rPr>
            </w:pPr>
            <w:r>
              <w:rPr>
                <w:rFonts w:eastAsia="Calibri" w:cs="Calibri"/>
                <w:sz w:val="21"/>
                <w:szCs w:val="21"/>
              </w:rPr>
              <w:t>Ενεργειακή κλάση</w:t>
            </w:r>
          </w:p>
        </w:tc>
        <w:tc>
          <w:tcPr>
            <w:tcW w:w="3901" w:type="dxa"/>
            <w:tcBorders>
              <w:top w:val="single" w:sz="4" w:space="0" w:color="000000"/>
              <w:left w:val="single" w:sz="4" w:space="0" w:color="000000"/>
              <w:bottom w:val="single" w:sz="4" w:space="0" w:color="000000"/>
            </w:tcBorders>
          </w:tcPr>
          <w:p>
            <w:pPr>
              <w:pStyle w:val="Style25"/>
              <w:widowControl w:val="false"/>
              <w:tabs>
                <w:tab w:val="clear" w:pos="720"/>
                <w:tab w:val="left" w:pos="-540" w:leader="none"/>
              </w:tabs>
              <w:spacing w:before="0" w:after="240"/>
              <w:jc w:val="left"/>
              <w:rPr>
                <w:rFonts w:ascii="Calibri" w:hAnsi="Calibri" w:eastAsia="Calibri" w:cs="Calibri"/>
                <w:sz w:val="21"/>
                <w:szCs w:val="21"/>
              </w:rPr>
            </w:pPr>
            <w:r>
              <w:rPr>
                <w:rFonts w:eastAsia="Calibri" w:cs="Calibri"/>
                <w:sz w:val="21"/>
                <w:szCs w:val="21"/>
              </w:rPr>
              <w:t>Τουλάχιστον Α+</w:t>
            </w:r>
          </w:p>
        </w:tc>
        <w:tc>
          <w:tcPr>
            <w:tcW w:w="2624" w:type="dxa"/>
            <w:tcBorders>
              <w:top w:val="single" w:sz="4" w:space="0" w:color="000000"/>
              <w:left w:val="single" w:sz="4" w:space="0" w:color="000000"/>
              <w:bottom w:val="single" w:sz="4" w:space="0" w:color="000000"/>
              <w:right w:val="single" w:sz="4" w:space="0" w:color="000000"/>
            </w:tcBorders>
          </w:tcPr>
          <w:p>
            <w:pPr>
              <w:pStyle w:val="Style25"/>
              <w:widowControl w:val="false"/>
              <w:tabs>
                <w:tab w:val="clear" w:pos="720"/>
                <w:tab w:val="left" w:pos="-540" w:leader="none"/>
              </w:tabs>
              <w:snapToGrid w:val="false"/>
              <w:spacing w:before="0" w:after="240"/>
              <w:jc w:val="left"/>
              <w:rPr>
                <w:rFonts w:ascii="Calibri" w:hAnsi="Calibri" w:eastAsia="Calibri" w:cs="Calibri"/>
                <w:sz w:val="21"/>
                <w:szCs w:val="21"/>
              </w:rPr>
            </w:pPr>
            <w:r>
              <w:rPr>
                <w:rFonts w:eastAsia="Calibri" w:cs="Calibri"/>
                <w:sz w:val="21"/>
                <w:szCs w:val="21"/>
              </w:rPr>
            </w:r>
          </w:p>
        </w:tc>
      </w:tr>
      <w:tr>
        <w:trPr>
          <w:trHeight w:val="227" w:hRule="atLeast"/>
        </w:trPr>
        <w:tc>
          <w:tcPr>
            <w:tcW w:w="3285" w:type="dxa"/>
            <w:tcBorders>
              <w:top w:val="single" w:sz="4" w:space="0" w:color="000000"/>
              <w:left w:val="single" w:sz="4" w:space="0" w:color="000000"/>
              <w:bottom w:val="single" w:sz="4" w:space="0" w:color="000000"/>
            </w:tcBorders>
          </w:tcPr>
          <w:p>
            <w:pPr>
              <w:pStyle w:val="Style25"/>
              <w:widowControl w:val="false"/>
              <w:tabs>
                <w:tab w:val="clear" w:pos="720"/>
                <w:tab w:val="left" w:pos="-540" w:leader="none"/>
              </w:tabs>
              <w:spacing w:before="0" w:after="240"/>
              <w:jc w:val="left"/>
              <w:rPr>
                <w:sz w:val="21"/>
                <w:szCs w:val="21"/>
              </w:rPr>
            </w:pPr>
            <w:r>
              <w:rPr>
                <w:rFonts w:eastAsia="Calibri" w:cs="Calibri"/>
                <w:sz w:val="21"/>
                <w:szCs w:val="21"/>
                <w:lang w:val="en-US"/>
              </w:rPr>
              <w:t xml:space="preserve">No Frost </w:t>
            </w:r>
            <w:r>
              <w:rPr>
                <w:rFonts w:eastAsia="Calibri" w:cs="Calibri"/>
                <w:sz w:val="21"/>
                <w:szCs w:val="21"/>
              </w:rPr>
              <w:t>κατάψυξη</w:t>
            </w:r>
          </w:p>
        </w:tc>
        <w:tc>
          <w:tcPr>
            <w:tcW w:w="3901" w:type="dxa"/>
            <w:tcBorders>
              <w:top w:val="single" w:sz="4" w:space="0" w:color="000000"/>
              <w:left w:val="single" w:sz="4" w:space="0" w:color="000000"/>
              <w:bottom w:val="single" w:sz="4" w:space="0" w:color="000000"/>
            </w:tcBorders>
          </w:tcPr>
          <w:p>
            <w:pPr>
              <w:pStyle w:val="Normal"/>
              <w:widowControl w:val="false"/>
              <w:spacing w:before="0" w:after="120"/>
              <w:rPr>
                <w:rFonts w:ascii="Calibri" w:hAnsi="Calibri" w:eastAsia="Calibri" w:cs="Calibri"/>
                <w:sz w:val="21"/>
                <w:szCs w:val="21"/>
              </w:rPr>
            </w:pPr>
            <w:r>
              <w:rPr>
                <w:rFonts w:eastAsia="Calibri" w:cs="Calibri"/>
                <w:sz w:val="21"/>
                <w:szCs w:val="21"/>
              </w:rPr>
              <w:t>Ναι</w:t>
            </w:r>
          </w:p>
        </w:tc>
        <w:tc>
          <w:tcPr>
            <w:tcW w:w="2624" w:type="dxa"/>
            <w:tcBorders>
              <w:top w:val="single" w:sz="4" w:space="0" w:color="000000"/>
              <w:left w:val="single" w:sz="4" w:space="0" w:color="000000"/>
              <w:bottom w:val="single" w:sz="4" w:space="0" w:color="000000"/>
              <w:right w:val="single" w:sz="4" w:space="0" w:color="000000"/>
            </w:tcBorders>
          </w:tcPr>
          <w:p>
            <w:pPr>
              <w:pStyle w:val="Style25"/>
              <w:widowControl w:val="false"/>
              <w:tabs>
                <w:tab w:val="clear" w:pos="720"/>
                <w:tab w:val="left" w:pos="-540" w:leader="none"/>
              </w:tabs>
              <w:snapToGrid w:val="false"/>
              <w:spacing w:before="0" w:after="240"/>
              <w:jc w:val="left"/>
              <w:rPr>
                <w:rFonts w:ascii="Calibri" w:hAnsi="Calibri" w:eastAsia="Calibri" w:cs="Calibri"/>
                <w:sz w:val="21"/>
                <w:szCs w:val="21"/>
              </w:rPr>
            </w:pPr>
            <w:r>
              <w:rPr>
                <w:rFonts w:eastAsia="Calibri" w:cs="Calibri"/>
                <w:sz w:val="21"/>
                <w:szCs w:val="21"/>
              </w:rPr>
            </w:r>
          </w:p>
        </w:tc>
      </w:tr>
      <w:tr>
        <w:trPr>
          <w:trHeight w:val="227" w:hRule="atLeast"/>
        </w:trPr>
        <w:tc>
          <w:tcPr>
            <w:tcW w:w="3285" w:type="dxa"/>
            <w:tcBorders>
              <w:top w:val="single" w:sz="4" w:space="0" w:color="000000"/>
              <w:left w:val="single" w:sz="4" w:space="0" w:color="000000"/>
              <w:bottom w:val="single" w:sz="4" w:space="0" w:color="000000"/>
            </w:tcBorders>
          </w:tcPr>
          <w:p>
            <w:pPr>
              <w:pStyle w:val="Style25"/>
              <w:widowControl w:val="false"/>
              <w:tabs>
                <w:tab w:val="clear" w:pos="720"/>
                <w:tab w:val="left" w:pos="-540" w:leader="none"/>
              </w:tabs>
              <w:spacing w:before="0" w:after="240"/>
              <w:jc w:val="left"/>
              <w:rPr>
                <w:rFonts w:ascii="Calibri" w:hAnsi="Calibri" w:eastAsia="Calibri" w:cs="Calibri"/>
                <w:sz w:val="21"/>
                <w:szCs w:val="21"/>
              </w:rPr>
            </w:pPr>
            <w:r>
              <w:rPr>
                <w:rFonts w:eastAsia="Calibri" w:cs="Calibri"/>
                <w:sz w:val="21"/>
                <w:szCs w:val="21"/>
              </w:rPr>
              <w:t>Ράφια</w:t>
            </w:r>
          </w:p>
        </w:tc>
        <w:tc>
          <w:tcPr>
            <w:tcW w:w="3901" w:type="dxa"/>
            <w:tcBorders>
              <w:top w:val="single" w:sz="4" w:space="0" w:color="000000"/>
              <w:left w:val="single" w:sz="4" w:space="0" w:color="000000"/>
              <w:bottom w:val="single" w:sz="4" w:space="0" w:color="000000"/>
            </w:tcBorders>
          </w:tcPr>
          <w:p>
            <w:pPr>
              <w:pStyle w:val="Style25"/>
              <w:widowControl w:val="false"/>
              <w:tabs>
                <w:tab w:val="clear" w:pos="720"/>
                <w:tab w:val="left" w:pos="-540" w:leader="none"/>
              </w:tabs>
              <w:spacing w:before="0" w:after="240"/>
              <w:jc w:val="left"/>
              <w:rPr>
                <w:rFonts w:ascii="Calibri" w:hAnsi="Calibri" w:eastAsia="Calibri" w:cs="Calibri"/>
                <w:sz w:val="21"/>
                <w:szCs w:val="21"/>
              </w:rPr>
            </w:pPr>
            <w:r>
              <w:rPr>
                <w:rFonts w:eastAsia="Calibri" w:cs="Calibri"/>
                <w:sz w:val="21"/>
                <w:szCs w:val="21"/>
              </w:rPr>
              <w:t>Τουλάχιστον 2</w:t>
            </w:r>
          </w:p>
        </w:tc>
        <w:tc>
          <w:tcPr>
            <w:tcW w:w="2624" w:type="dxa"/>
            <w:tcBorders>
              <w:top w:val="single" w:sz="4" w:space="0" w:color="000000"/>
              <w:left w:val="single" w:sz="4" w:space="0" w:color="000000"/>
              <w:bottom w:val="single" w:sz="4" w:space="0" w:color="000000"/>
              <w:right w:val="single" w:sz="4" w:space="0" w:color="000000"/>
            </w:tcBorders>
          </w:tcPr>
          <w:p>
            <w:pPr>
              <w:pStyle w:val="Style25"/>
              <w:widowControl w:val="false"/>
              <w:tabs>
                <w:tab w:val="clear" w:pos="720"/>
                <w:tab w:val="left" w:pos="-540" w:leader="none"/>
              </w:tabs>
              <w:snapToGrid w:val="false"/>
              <w:spacing w:before="0" w:after="240"/>
              <w:jc w:val="left"/>
              <w:rPr>
                <w:rFonts w:ascii="Calibri" w:hAnsi="Calibri" w:eastAsia="Calibri" w:cs="Calibri"/>
                <w:sz w:val="21"/>
                <w:szCs w:val="21"/>
              </w:rPr>
            </w:pPr>
            <w:r>
              <w:rPr>
                <w:rFonts w:eastAsia="Calibri" w:cs="Calibri"/>
                <w:sz w:val="21"/>
                <w:szCs w:val="21"/>
              </w:rPr>
              <w:t>Να περιλαμβάνονται</w:t>
            </w:r>
          </w:p>
        </w:tc>
      </w:tr>
      <w:tr>
        <w:trPr>
          <w:trHeight w:val="227" w:hRule="atLeast"/>
        </w:trPr>
        <w:tc>
          <w:tcPr>
            <w:tcW w:w="3285" w:type="dxa"/>
            <w:tcBorders>
              <w:top w:val="single" w:sz="4" w:space="0" w:color="000000"/>
              <w:left w:val="single" w:sz="4" w:space="0" w:color="000000"/>
              <w:bottom w:val="single" w:sz="4" w:space="0" w:color="000000"/>
            </w:tcBorders>
          </w:tcPr>
          <w:p>
            <w:pPr>
              <w:pStyle w:val="Style25"/>
              <w:widowControl w:val="false"/>
              <w:tabs>
                <w:tab w:val="clear" w:pos="720"/>
                <w:tab w:val="left" w:pos="-540" w:leader="none"/>
              </w:tabs>
              <w:spacing w:before="0" w:after="240"/>
              <w:jc w:val="left"/>
              <w:rPr>
                <w:rFonts w:ascii="Calibri" w:hAnsi="Calibri" w:eastAsia="Calibri" w:cs="Calibri"/>
                <w:sz w:val="21"/>
                <w:szCs w:val="21"/>
              </w:rPr>
            </w:pPr>
            <w:r>
              <w:rPr>
                <w:rFonts w:eastAsia="Calibri" w:cs="Calibri"/>
                <w:sz w:val="21"/>
                <w:szCs w:val="21"/>
              </w:rPr>
              <w:t>Πλάτος</w:t>
            </w:r>
          </w:p>
        </w:tc>
        <w:tc>
          <w:tcPr>
            <w:tcW w:w="3901" w:type="dxa"/>
            <w:tcBorders>
              <w:top w:val="single" w:sz="4" w:space="0" w:color="000000"/>
              <w:left w:val="single" w:sz="4" w:space="0" w:color="000000"/>
              <w:bottom w:val="single" w:sz="4" w:space="0" w:color="000000"/>
            </w:tcBorders>
          </w:tcPr>
          <w:p>
            <w:pPr>
              <w:pStyle w:val="Style25"/>
              <w:widowControl w:val="false"/>
              <w:tabs>
                <w:tab w:val="clear" w:pos="720"/>
                <w:tab w:val="left" w:pos="-540" w:leader="none"/>
              </w:tabs>
              <w:spacing w:before="0" w:after="240"/>
              <w:jc w:val="left"/>
              <w:rPr>
                <w:sz w:val="21"/>
                <w:szCs w:val="21"/>
              </w:rPr>
            </w:pPr>
            <w:r>
              <w:rPr>
                <w:rFonts w:eastAsia="Calibri" w:cs="Calibri"/>
                <w:sz w:val="21"/>
                <w:szCs w:val="21"/>
              </w:rPr>
              <w:t>Έως 55</w:t>
            </w:r>
            <w:r>
              <w:rPr>
                <w:rFonts w:eastAsia="Calibri" w:cs="Calibri"/>
                <w:sz w:val="21"/>
                <w:szCs w:val="21"/>
                <w:lang w:val="en-US"/>
              </w:rPr>
              <w:t>cm</w:t>
            </w:r>
          </w:p>
        </w:tc>
        <w:tc>
          <w:tcPr>
            <w:tcW w:w="2624" w:type="dxa"/>
            <w:tcBorders>
              <w:top w:val="single" w:sz="4" w:space="0" w:color="000000"/>
              <w:left w:val="single" w:sz="4" w:space="0" w:color="000000"/>
              <w:bottom w:val="single" w:sz="4" w:space="0" w:color="000000"/>
              <w:right w:val="single" w:sz="4" w:space="0" w:color="000000"/>
            </w:tcBorders>
          </w:tcPr>
          <w:p>
            <w:pPr>
              <w:pStyle w:val="Style25"/>
              <w:widowControl w:val="false"/>
              <w:tabs>
                <w:tab w:val="clear" w:pos="720"/>
                <w:tab w:val="left" w:pos="-540" w:leader="none"/>
              </w:tabs>
              <w:snapToGrid w:val="false"/>
              <w:spacing w:before="0" w:after="240"/>
              <w:jc w:val="left"/>
              <w:rPr>
                <w:rFonts w:ascii="Calibri" w:hAnsi="Calibri" w:eastAsia="Calibri" w:cs="Calibri"/>
                <w:sz w:val="21"/>
                <w:szCs w:val="21"/>
                <w:lang w:val="en-US"/>
              </w:rPr>
            </w:pPr>
            <w:r>
              <w:rPr>
                <w:rFonts w:eastAsia="Calibri" w:cs="Calibri"/>
                <w:sz w:val="21"/>
                <w:szCs w:val="21"/>
                <w:lang w:val="en-US"/>
              </w:rPr>
            </w:r>
          </w:p>
        </w:tc>
      </w:tr>
      <w:tr>
        <w:trPr>
          <w:trHeight w:val="227" w:hRule="atLeast"/>
        </w:trPr>
        <w:tc>
          <w:tcPr>
            <w:tcW w:w="3285" w:type="dxa"/>
            <w:tcBorders>
              <w:top w:val="single" w:sz="4" w:space="0" w:color="000000"/>
              <w:left w:val="single" w:sz="4" w:space="0" w:color="000000"/>
              <w:bottom w:val="single" w:sz="4" w:space="0" w:color="000000"/>
            </w:tcBorders>
          </w:tcPr>
          <w:p>
            <w:pPr>
              <w:pStyle w:val="Style25"/>
              <w:widowControl w:val="false"/>
              <w:tabs>
                <w:tab w:val="clear" w:pos="720"/>
                <w:tab w:val="left" w:pos="-540" w:leader="none"/>
              </w:tabs>
              <w:spacing w:before="0" w:after="240"/>
              <w:jc w:val="left"/>
              <w:rPr>
                <w:rFonts w:ascii="Calibri" w:hAnsi="Calibri" w:eastAsia="Calibri" w:cs="Calibri"/>
                <w:sz w:val="21"/>
                <w:szCs w:val="21"/>
              </w:rPr>
            </w:pPr>
            <w:r>
              <w:rPr>
                <w:rFonts w:eastAsia="Calibri" w:cs="Calibri"/>
                <w:sz w:val="21"/>
                <w:szCs w:val="21"/>
              </w:rPr>
              <w:t>Χωρητικότητα συντήρησης</w:t>
            </w:r>
          </w:p>
        </w:tc>
        <w:tc>
          <w:tcPr>
            <w:tcW w:w="3901" w:type="dxa"/>
            <w:tcBorders>
              <w:top w:val="single" w:sz="4" w:space="0" w:color="000000"/>
              <w:left w:val="single" w:sz="4" w:space="0" w:color="000000"/>
              <w:bottom w:val="single" w:sz="4" w:space="0" w:color="000000"/>
            </w:tcBorders>
          </w:tcPr>
          <w:p>
            <w:pPr>
              <w:pStyle w:val="Style25"/>
              <w:widowControl w:val="false"/>
              <w:tabs>
                <w:tab w:val="clear" w:pos="720"/>
                <w:tab w:val="left" w:pos="-540" w:leader="none"/>
              </w:tabs>
              <w:spacing w:before="0" w:after="240"/>
              <w:jc w:val="left"/>
              <w:rPr>
                <w:sz w:val="21"/>
                <w:szCs w:val="21"/>
              </w:rPr>
            </w:pPr>
            <w:r>
              <w:rPr>
                <w:rFonts w:eastAsia="Calibri" w:cs="Calibri"/>
                <w:sz w:val="21"/>
                <w:szCs w:val="21"/>
              </w:rPr>
              <w:t>&gt;</w:t>
            </w:r>
            <w:r>
              <w:rPr>
                <w:rFonts w:eastAsia="Calibri" w:cs="Calibri"/>
                <w:sz w:val="21"/>
                <w:szCs w:val="21"/>
                <w:lang w:val="en-US"/>
              </w:rPr>
              <w:t>180Lt</w:t>
            </w:r>
          </w:p>
        </w:tc>
        <w:tc>
          <w:tcPr>
            <w:tcW w:w="2624" w:type="dxa"/>
            <w:tcBorders>
              <w:top w:val="single" w:sz="4" w:space="0" w:color="000000"/>
              <w:left w:val="single" w:sz="4" w:space="0" w:color="000000"/>
              <w:bottom w:val="single" w:sz="4" w:space="0" w:color="000000"/>
              <w:right w:val="single" w:sz="4" w:space="0" w:color="000000"/>
            </w:tcBorders>
          </w:tcPr>
          <w:p>
            <w:pPr>
              <w:pStyle w:val="Style25"/>
              <w:widowControl w:val="false"/>
              <w:tabs>
                <w:tab w:val="clear" w:pos="720"/>
                <w:tab w:val="left" w:pos="-540" w:leader="none"/>
              </w:tabs>
              <w:snapToGrid w:val="false"/>
              <w:spacing w:before="0" w:after="240"/>
              <w:jc w:val="left"/>
              <w:rPr>
                <w:rFonts w:ascii="Calibri" w:hAnsi="Calibri" w:eastAsia="Calibri" w:cs="Calibri"/>
                <w:sz w:val="21"/>
                <w:szCs w:val="21"/>
                <w:lang w:val="en-US"/>
              </w:rPr>
            </w:pPr>
            <w:r>
              <w:rPr>
                <w:rFonts w:eastAsia="Calibri" w:cs="Calibri"/>
                <w:sz w:val="21"/>
                <w:szCs w:val="21"/>
                <w:lang w:val="en-US"/>
              </w:rPr>
            </w:r>
          </w:p>
        </w:tc>
      </w:tr>
      <w:tr>
        <w:trPr>
          <w:trHeight w:val="227" w:hRule="atLeast"/>
        </w:trPr>
        <w:tc>
          <w:tcPr>
            <w:tcW w:w="3285" w:type="dxa"/>
            <w:tcBorders>
              <w:top w:val="single" w:sz="4" w:space="0" w:color="000000"/>
              <w:left w:val="single" w:sz="4" w:space="0" w:color="000000"/>
              <w:bottom w:val="single" w:sz="4" w:space="0" w:color="000000"/>
            </w:tcBorders>
          </w:tcPr>
          <w:p>
            <w:pPr>
              <w:pStyle w:val="Style25"/>
              <w:widowControl w:val="false"/>
              <w:tabs>
                <w:tab w:val="clear" w:pos="720"/>
                <w:tab w:val="left" w:pos="-540" w:leader="none"/>
              </w:tabs>
              <w:spacing w:before="0" w:after="240"/>
              <w:jc w:val="left"/>
              <w:rPr>
                <w:rFonts w:ascii="Calibri" w:hAnsi="Calibri" w:eastAsia="Calibri" w:cs="Calibri"/>
                <w:sz w:val="21"/>
                <w:szCs w:val="21"/>
              </w:rPr>
            </w:pPr>
            <w:r>
              <w:rPr>
                <w:rFonts w:eastAsia="Calibri" w:cs="Calibri"/>
                <w:sz w:val="21"/>
                <w:szCs w:val="21"/>
              </w:rPr>
              <w:t>Χωρητικότητα κατάψυξης</w:t>
            </w:r>
          </w:p>
        </w:tc>
        <w:tc>
          <w:tcPr>
            <w:tcW w:w="3901" w:type="dxa"/>
            <w:tcBorders>
              <w:top w:val="single" w:sz="4" w:space="0" w:color="000000"/>
              <w:left w:val="single" w:sz="4" w:space="0" w:color="000000"/>
              <w:bottom w:val="single" w:sz="4" w:space="0" w:color="000000"/>
            </w:tcBorders>
          </w:tcPr>
          <w:p>
            <w:pPr>
              <w:pStyle w:val="Style25"/>
              <w:widowControl w:val="false"/>
              <w:tabs>
                <w:tab w:val="clear" w:pos="720"/>
                <w:tab w:val="left" w:pos="-540" w:leader="none"/>
              </w:tabs>
              <w:spacing w:before="0" w:after="240"/>
              <w:jc w:val="left"/>
              <w:rPr>
                <w:sz w:val="21"/>
                <w:szCs w:val="21"/>
              </w:rPr>
            </w:pPr>
            <w:r>
              <w:rPr>
                <w:rFonts w:eastAsia="Calibri" w:cs="Calibri"/>
                <w:sz w:val="21"/>
                <w:szCs w:val="21"/>
              </w:rPr>
              <w:t>&gt;</w:t>
            </w:r>
            <w:r>
              <w:rPr>
                <w:rFonts w:eastAsia="Calibri" w:cs="Calibri"/>
                <w:sz w:val="21"/>
                <w:szCs w:val="21"/>
                <w:lang w:val="en-US"/>
              </w:rPr>
              <w:t>5</w:t>
            </w:r>
            <w:r>
              <w:rPr>
                <w:rFonts w:eastAsia="Calibri" w:cs="Calibri"/>
                <w:sz w:val="21"/>
                <w:szCs w:val="21"/>
              </w:rPr>
              <w:t>0</w:t>
            </w:r>
            <w:r>
              <w:rPr>
                <w:rFonts w:eastAsia="Calibri" w:cs="Calibri"/>
                <w:sz w:val="21"/>
                <w:szCs w:val="21"/>
                <w:lang w:val="en-US"/>
              </w:rPr>
              <w:t>Lt</w:t>
            </w:r>
          </w:p>
        </w:tc>
        <w:tc>
          <w:tcPr>
            <w:tcW w:w="2624" w:type="dxa"/>
            <w:tcBorders>
              <w:top w:val="single" w:sz="4" w:space="0" w:color="000000"/>
              <w:left w:val="single" w:sz="4" w:space="0" w:color="000000"/>
              <w:bottom w:val="single" w:sz="4" w:space="0" w:color="000000"/>
              <w:right w:val="single" w:sz="4" w:space="0" w:color="000000"/>
            </w:tcBorders>
          </w:tcPr>
          <w:p>
            <w:pPr>
              <w:pStyle w:val="Style25"/>
              <w:widowControl w:val="false"/>
              <w:tabs>
                <w:tab w:val="clear" w:pos="720"/>
                <w:tab w:val="left" w:pos="-540" w:leader="none"/>
              </w:tabs>
              <w:snapToGrid w:val="false"/>
              <w:spacing w:before="0" w:after="240"/>
              <w:jc w:val="left"/>
              <w:rPr>
                <w:rFonts w:ascii="Calibri" w:hAnsi="Calibri" w:eastAsia="Calibri" w:cs="Calibri"/>
                <w:sz w:val="21"/>
                <w:szCs w:val="21"/>
                <w:lang w:val="en-US"/>
              </w:rPr>
            </w:pPr>
            <w:r>
              <w:rPr>
                <w:rFonts w:eastAsia="Calibri" w:cs="Calibri"/>
                <w:sz w:val="21"/>
                <w:szCs w:val="21"/>
                <w:lang w:val="en-US"/>
              </w:rPr>
            </w:r>
          </w:p>
        </w:tc>
      </w:tr>
      <w:tr>
        <w:trPr>
          <w:trHeight w:val="227" w:hRule="atLeast"/>
        </w:trPr>
        <w:tc>
          <w:tcPr>
            <w:tcW w:w="3285" w:type="dxa"/>
            <w:tcBorders>
              <w:top w:val="single" w:sz="4" w:space="0" w:color="000000"/>
              <w:left w:val="single" w:sz="4" w:space="0" w:color="000000"/>
              <w:bottom w:val="single" w:sz="4" w:space="0" w:color="000000"/>
            </w:tcBorders>
          </w:tcPr>
          <w:p>
            <w:pPr>
              <w:pStyle w:val="Style25"/>
              <w:widowControl w:val="false"/>
              <w:tabs>
                <w:tab w:val="clear" w:pos="720"/>
                <w:tab w:val="left" w:pos="-540" w:leader="none"/>
              </w:tabs>
              <w:spacing w:before="0" w:after="240"/>
              <w:jc w:val="left"/>
              <w:rPr>
                <w:rFonts w:ascii="Calibri" w:hAnsi="Calibri" w:eastAsia="Calibri" w:cs="Calibri"/>
                <w:sz w:val="21"/>
                <w:szCs w:val="21"/>
              </w:rPr>
            </w:pPr>
            <w:r>
              <w:rPr>
                <w:rFonts w:eastAsia="Calibri" w:cs="Calibri"/>
                <w:sz w:val="21"/>
                <w:szCs w:val="21"/>
              </w:rPr>
              <w:t>Επίπεδο θορύβου</w:t>
            </w:r>
          </w:p>
        </w:tc>
        <w:tc>
          <w:tcPr>
            <w:tcW w:w="3901" w:type="dxa"/>
            <w:tcBorders>
              <w:top w:val="single" w:sz="4" w:space="0" w:color="000000"/>
              <w:left w:val="single" w:sz="4" w:space="0" w:color="000000"/>
              <w:bottom w:val="single" w:sz="4" w:space="0" w:color="000000"/>
            </w:tcBorders>
          </w:tcPr>
          <w:p>
            <w:pPr>
              <w:pStyle w:val="Style25"/>
              <w:widowControl w:val="false"/>
              <w:tabs>
                <w:tab w:val="clear" w:pos="720"/>
                <w:tab w:val="left" w:pos="-540" w:leader="none"/>
              </w:tabs>
              <w:spacing w:before="0" w:after="240"/>
              <w:jc w:val="left"/>
              <w:rPr>
                <w:sz w:val="21"/>
                <w:szCs w:val="21"/>
              </w:rPr>
            </w:pPr>
            <w:r>
              <w:rPr>
                <w:rFonts w:eastAsia="Calibri" w:cs="Calibri"/>
                <w:sz w:val="21"/>
                <w:szCs w:val="21"/>
              </w:rPr>
              <w:t>&gt;=40</w:t>
            </w:r>
            <w:r>
              <w:rPr>
                <w:rFonts w:eastAsia="Calibri" w:cs="Calibri"/>
                <w:sz w:val="21"/>
                <w:szCs w:val="21"/>
                <w:lang w:val="en-US"/>
              </w:rPr>
              <w:t>dB</w:t>
            </w:r>
          </w:p>
        </w:tc>
        <w:tc>
          <w:tcPr>
            <w:tcW w:w="2624" w:type="dxa"/>
            <w:tcBorders>
              <w:top w:val="single" w:sz="4" w:space="0" w:color="000000"/>
              <w:left w:val="single" w:sz="4" w:space="0" w:color="000000"/>
              <w:bottom w:val="single" w:sz="4" w:space="0" w:color="000000"/>
              <w:right w:val="single" w:sz="4" w:space="0" w:color="000000"/>
            </w:tcBorders>
          </w:tcPr>
          <w:p>
            <w:pPr>
              <w:pStyle w:val="Style25"/>
              <w:widowControl w:val="false"/>
              <w:tabs>
                <w:tab w:val="clear" w:pos="720"/>
                <w:tab w:val="left" w:pos="-540" w:leader="none"/>
              </w:tabs>
              <w:snapToGrid w:val="false"/>
              <w:spacing w:before="0" w:after="240"/>
              <w:jc w:val="left"/>
              <w:rPr>
                <w:rFonts w:ascii="Calibri" w:hAnsi="Calibri" w:eastAsia="Calibri" w:cs="Calibri"/>
                <w:sz w:val="21"/>
                <w:szCs w:val="21"/>
              </w:rPr>
            </w:pPr>
            <w:r>
              <w:rPr>
                <w:rFonts w:eastAsia="Calibri" w:cs="Calibri"/>
                <w:sz w:val="21"/>
                <w:szCs w:val="21"/>
              </w:rPr>
              <w:t>Χαμηλό</w:t>
            </w:r>
          </w:p>
        </w:tc>
      </w:tr>
      <w:tr>
        <w:trPr>
          <w:trHeight w:val="227" w:hRule="atLeast"/>
        </w:trPr>
        <w:tc>
          <w:tcPr>
            <w:tcW w:w="3285" w:type="dxa"/>
            <w:tcBorders>
              <w:top w:val="single" w:sz="4" w:space="0" w:color="000000"/>
              <w:left w:val="single" w:sz="4" w:space="0" w:color="000000"/>
              <w:bottom w:val="single" w:sz="4" w:space="0" w:color="000000"/>
            </w:tcBorders>
          </w:tcPr>
          <w:p>
            <w:pPr>
              <w:pStyle w:val="Style25"/>
              <w:widowControl w:val="false"/>
              <w:tabs>
                <w:tab w:val="clear" w:pos="720"/>
                <w:tab w:val="left" w:pos="-540" w:leader="none"/>
              </w:tabs>
              <w:spacing w:before="0" w:after="240"/>
              <w:jc w:val="left"/>
              <w:rPr>
                <w:rFonts w:ascii="Calibri" w:hAnsi="Calibri" w:eastAsia="Calibri" w:cs="Calibri"/>
                <w:sz w:val="21"/>
                <w:szCs w:val="21"/>
              </w:rPr>
            </w:pPr>
            <w:r>
              <w:rPr>
                <w:rFonts w:eastAsia="Calibri" w:cs="Calibri"/>
                <w:sz w:val="21"/>
                <w:szCs w:val="21"/>
              </w:rPr>
              <w:t>Χρώμα</w:t>
            </w:r>
          </w:p>
        </w:tc>
        <w:tc>
          <w:tcPr>
            <w:tcW w:w="3901" w:type="dxa"/>
            <w:tcBorders>
              <w:top w:val="single" w:sz="4" w:space="0" w:color="000000"/>
              <w:left w:val="single" w:sz="4" w:space="0" w:color="000000"/>
              <w:bottom w:val="single" w:sz="4" w:space="0" w:color="000000"/>
            </w:tcBorders>
          </w:tcPr>
          <w:p>
            <w:pPr>
              <w:pStyle w:val="Style25"/>
              <w:widowControl w:val="false"/>
              <w:tabs>
                <w:tab w:val="clear" w:pos="720"/>
                <w:tab w:val="left" w:pos="-540" w:leader="none"/>
              </w:tabs>
              <w:spacing w:before="0" w:after="240"/>
              <w:jc w:val="left"/>
              <w:rPr>
                <w:rFonts w:ascii="Calibri" w:hAnsi="Calibri" w:eastAsia="Calibri" w:cs="Calibri"/>
                <w:sz w:val="21"/>
                <w:szCs w:val="21"/>
              </w:rPr>
            </w:pPr>
            <w:r>
              <w:rPr>
                <w:rFonts w:eastAsia="Calibri" w:cs="Calibri"/>
                <w:sz w:val="21"/>
                <w:szCs w:val="21"/>
              </w:rPr>
              <w:t>Λευκό</w:t>
            </w:r>
          </w:p>
        </w:tc>
        <w:tc>
          <w:tcPr>
            <w:tcW w:w="2624" w:type="dxa"/>
            <w:tcBorders>
              <w:top w:val="single" w:sz="4" w:space="0" w:color="000000"/>
              <w:left w:val="single" w:sz="4" w:space="0" w:color="000000"/>
              <w:bottom w:val="single" w:sz="4" w:space="0" w:color="000000"/>
              <w:right w:val="single" w:sz="4" w:space="0" w:color="000000"/>
            </w:tcBorders>
          </w:tcPr>
          <w:p>
            <w:pPr>
              <w:pStyle w:val="Style25"/>
              <w:widowControl w:val="false"/>
              <w:tabs>
                <w:tab w:val="clear" w:pos="720"/>
                <w:tab w:val="left" w:pos="-540" w:leader="none"/>
              </w:tabs>
              <w:snapToGrid w:val="false"/>
              <w:spacing w:before="0" w:after="240"/>
              <w:jc w:val="left"/>
              <w:rPr>
                <w:rFonts w:ascii="Calibri" w:hAnsi="Calibri" w:eastAsia="Calibri" w:cs="Calibri"/>
                <w:sz w:val="21"/>
                <w:szCs w:val="21"/>
                <w:lang w:val="en-US"/>
              </w:rPr>
            </w:pPr>
            <w:r>
              <w:rPr>
                <w:rFonts w:eastAsia="Calibri" w:cs="Calibri"/>
                <w:sz w:val="21"/>
                <w:szCs w:val="21"/>
                <w:lang w:val="en-US"/>
              </w:rPr>
            </w:r>
          </w:p>
        </w:tc>
      </w:tr>
      <w:tr>
        <w:trPr>
          <w:trHeight w:val="227" w:hRule="atLeast"/>
        </w:trPr>
        <w:tc>
          <w:tcPr>
            <w:tcW w:w="3285" w:type="dxa"/>
            <w:tcBorders>
              <w:top w:val="single" w:sz="4" w:space="0" w:color="000000"/>
              <w:left w:val="single" w:sz="4" w:space="0" w:color="000000"/>
              <w:bottom w:val="single" w:sz="4" w:space="0" w:color="000000"/>
            </w:tcBorders>
          </w:tcPr>
          <w:p>
            <w:pPr>
              <w:pStyle w:val="Style25"/>
              <w:widowControl w:val="false"/>
              <w:tabs>
                <w:tab w:val="clear" w:pos="720"/>
                <w:tab w:val="left" w:pos="-540" w:leader="none"/>
              </w:tabs>
              <w:spacing w:before="0" w:after="240"/>
              <w:jc w:val="left"/>
              <w:rPr>
                <w:rFonts w:ascii="Calibri" w:hAnsi="Calibri" w:eastAsia="Calibri" w:cs="Calibri"/>
                <w:sz w:val="21"/>
                <w:szCs w:val="21"/>
              </w:rPr>
            </w:pPr>
            <w:r>
              <w:rPr>
                <w:rFonts w:eastAsia="Calibri" w:cs="Calibri"/>
                <w:sz w:val="21"/>
                <w:szCs w:val="21"/>
              </w:rPr>
              <w:t>Εγγύηση</w:t>
            </w:r>
          </w:p>
        </w:tc>
        <w:tc>
          <w:tcPr>
            <w:tcW w:w="3901" w:type="dxa"/>
            <w:tcBorders>
              <w:top w:val="single" w:sz="4" w:space="0" w:color="000000"/>
              <w:left w:val="single" w:sz="4" w:space="0" w:color="000000"/>
              <w:bottom w:val="single" w:sz="4" w:space="0" w:color="000000"/>
            </w:tcBorders>
          </w:tcPr>
          <w:p>
            <w:pPr>
              <w:pStyle w:val="Style25"/>
              <w:widowControl w:val="false"/>
              <w:tabs>
                <w:tab w:val="clear" w:pos="720"/>
                <w:tab w:val="left" w:pos="-540" w:leader="none"/>
              </w:tabs>
              <w:spacing w:before="0" w:after="240"/>
              <w:jc w:val="left"/>
              <w:rPr>
                <w:sz w:val="21"/>
                <w:szCs w:val="21"/>
              </w:rPr>
            </w:pPr>
            <w:r>
              <w:rPr>
                <w:rFonts w:eastAsia="Calibri" w:cs="Calibri"/>
                <w:sz w:val="21"/>
                <w:szCs w:val="21"/>
              </w:rPr>
              <w:t>&gt;=</w:t>
            </w:r>
            <w:r>
              <w:rPr>
                <w:rFonts w:eastAsia="Calibri" w:cs="Calibri"/>
                <w:sz w:val="21"/>
                <w:szCs w:val="21"/>
                <w:lang w:val="en-US"/>
              </w:rPr>
              <w:t xml:space="preserve">2 </w:t>
            </w:r>
            <w:r>
              <w:rPr>
                <w:rFonts w:eastAsia="Calibri" w:cs="Calibri"/>
                <w:sz w:val="21"/>
                <w:szCs w:val="21"/>
              </w:rPr>
              <w:t>έτη</w:t>
            </w:r>
          </w:p>
        </w:tc>
        <w:tc>
          <w:tcPr>
            <w:tcW w:w="2624" w:type="dxa"/>
            <w:tcBorders>
              <w:top w:val="single" w:sz="4" w:space="0" w:color="000000"/>
              <w:left w:val="single" w:sz="4" w:space="0" w:color="000000"/>
              <w:bottom w:val="single" w:sz="4" w:space="0" w:color="000000"/>
              <w:right w:val="single" w:sz="4" w:space="0" w:color="000000"/>
            </w:tcBorders>
          </w:tcPr>
          <w:p>
            <w:pPr>
              <w:pStyle w:val="Style25"/>
              <w:widowControl w:val="false"/>
              <w:tabs>
                <w:tab w:val="clear" w:pos="720"/>
                <w:tab w:val="left" w:pos="-540" w:leader="none"/>
              </w:tabs>
              <w:snapToGrid w:val="false"/>
              <w:spacing w:before="0" w:after="240"/>
              <w:jc w:val="left"/>
              <w:rPr>
                <w:rFonts w:ascii="Calibri" w:hAnsi="Calibri" w:eastAsia="Calibri" w:cs="Calibri"/>
                <w:sz w:val="21"/>
                <w:szCs w:val="21"/>
                <w:lang w:val="en-US"/>
              </w:rPr>
            </w:pPr>
            <w:r>
              <w:rPr>
                <w:rFonts w:eastAsia="Calibri" w:cs="Calibri"/>
                <w:sz w:val="21"/>
                <w:szCs w:val="21"/>
                <w:lang w:val="en-US"/>
              </w:rPr>
            </w:r>
          </w:p>
        </w:tc>
      </w:tr>
      <w:tr>
        <w:trPr>
          <w:trHeight w:val="227" w:hRule="atLeast"/>
        </w:trPr>
        <w:tc>
          <w:tcPr>
            <w:tcW w:w="3285" w:type="dxa"/>
            <w:tcBorders>
              <w:top w:val="single" w:sz="4" w:space="0" w:color="000000"/>
              <w:left w:val="single" w:sz="4" w:space="0" w:color="000000"/>
              <w:bottom w:val="single" w:sz="4" w:space="0" w:color="000000"/>
            </w:tcBorders>
          </w:tcPr>
          <w:p>
            <w:pPr>
              <w:pStyle w:val="Style25"/>
              <w:widowControl w:val="false"/>
              <w:spacing w:before="0" w:after="240"/>
              <w:jc w:val="left"/>
              <w:rPr>
                <w:rFonts w:ascii="Calibri" w:hAnsi="Calibri" w:eastAsia="Calibri" w:cs="Calibri"/>
                <w:sz w:val="21"/>
                <w:szCs w:val="21"/>
              </w:rPr>
            </w:pPr>
            <w:r>
              <w:rPr>
                <w:rFonts w:eastAsia="Calibri" w:cs="Calibri"/>
                <w:sz w:val="21"/>
                <w:szCs w:val="21"/>
              </w:rPr>
              <w:t>Δυνατότητα αναστροφής πόρτας</w:t>
            </w:r>
          </w:p>
        </w:tc>
        <w:tc>
          <w:tcPr>
            <w:tcW w:w="3901" w:type="dxa"/>
            <w:tcBorders>
              <w:top w:val="single" w:sz="4" w:space="0" w:color="000000"/>
              <w:left w:val="single" w:sz="4" w:space="0" w:color="000000"/>
              <w:bottom w:val="single" w:sz="4" w:space="0" w:color="000000"/>
            </w:tcBorders>
          </w:tcPr>
          <w:p>
            <w:pPr>
              <w:pStyle w:val="Style25"/>
              <w:widowControl w:val="false"/>
              <w:spacing w:before="0" w:after="240"/>
              <w:jc w:val="left"/>
              <w:rPr>
                <w:rFonts w:ascii="Calibri" w:hAnsi="Calibri" w:eastAsia="Calibri" w:cs="Calibri"/>
                <w:sz w:val="21"/>
                <w:szCs w:val="21"/>
              </w:rPr>
            </w:pPr>
            <w:r>
              <w:rPr>
                <w:rFonts w:eastAsia="Calibri" w:cs="Calibri"/>
                <w:sz w:val="21"/>
                <w:szCs w:val="21"/>
              </w:rPr>
              <w:t>Επιθυμητή</w:t>
            </w:r>
          </w:p>
        </w:tc>
        <w:tc>
          <w:tcPr>
            <w:tcW w:w="2624" w:type="dxa"/>
            <w:tcBorders>
              <w:top w:val="single" w:sz="4" w:space="0" w:color="000000"/>
              <w:left w:val="single" w:sz="4" w:space="0" w:color="000000"/>
              <w:bottom w:val="single" w:sz="4" w:space="0" w:color="000000"/>
              <w:right w:val="single" w:sz="4" w:space="0" w:color="000000"/>
            </w:tcBorders>
          </w:tcPr>
          <w:p>
            <w:pPr>
              <w:pStyle w:val="Style25"/>
              <w:widowControl w:val="false"/>
              <w:snapToGrid w:val="false"/>
              <w:spacing w:before="0" w:after="240"/>
              <w:jc w:val="left"/>
              <w:rPr>
                <w:rFonts w:ascii="Calibri" w:hAnsi="Calibri" w:eastAsia="Calibri" w:cs="Calibri"/>
                <w:sz w:val="21"/>
                <w:szCs w:val="21"/>
                <w:lang w:val="en-US"/>
              </w:rPr>
            </w:pPr>
            <w:r>
              <w:rPr>
                <w:rFonts w:eastAsia="Calibri" w:cs="Calibri"/>
                <w:sz w:val="21"/>
                <w:szCs w:val="21"/>
                <w:lang w:val="en-US"/>
              </w:rPr>
            </w:r>
          </w:p>
        </w:tc>
      </w:tr>
    </w:tbl>
    <w:p>
      <w:pPr>
        <w:pStyle w:val="Normal"/>
        <w:jc w:val="center"/>
        <w:rPr>
          <w:rFonts w:ascii="Tahoma" w:hAnsi="Tahoma" w:cs="Tahoma"/>
          <w:b/>
          <w:b/>
          <w:sz w:val="28"/>
          <w:szCs w:val="28"/>
        </w:rPr>
      </w:pPr>
      <w:r>
        <w:rPr>
          <w:rFonts w:cs="Tahoma" w:ascii="Tahoma" w:hAnsi="Tahoma"/>
          <w:b/>
          <w:sz w:val="28"/>
          <w:szCs w:val="28"/>
        </w:rPr>
      </w:r>
    </w:p>
    <w:p>
      <w:pPr>
        <w:pStyle w:val="Style25"/>
        <w:tabs>
          <w:tab w:val="clear" w:pos="720"/>
          <w:tab w:val="left" w:pos="-540" w:leader="none"/>
        </w:tabs>
        <w:suppressAutoHyphens w:val="false"/>
        <w:ind w:left="1080" w:hanging="0"/>
        <w:jc w:val="left"/>
        <w:rPr>
          <w:rFonts w:ascii="Calibri" w:hAnsi="Calibri" w:eastAsia="Calibri" w:cs="Calibri"/>
          <w:b/>
          <w:b/>
        </w:rPr>
      </w:pPr>
      <w:r>
        <w:rPr>
          <w:rFonts w:eastAsia="Calibri" w:cs="Calibri"/>
          <w:b/>
        </w:rPr>
        <w:t>2. Ηλεκτρική κουζίνα</w:t>
      </w:r>
    </w:p>
    <w:tbl>
      <w:tblPr>
        <w:tblW w:w="9416" w:type="dxa"/>
        <w:jc w:val="left"/>
        <w:tblInd w:w="-65" w:type="dxa"/>
        <w:tblLayout w:type="fixed"/>
        <w:tblCellMar>
          <w:top w:w="0" w:type="dxa"/>
          <w:left w:w="108" w:type="dxa"/>
          <w:bottom w:w="0" w:type="dxa"/>
          <w:right w:w="108" w:type="dxa"/>
        </w:tblCellMar>
      </w:tblPr>
      <w:tblGrid>
        <w:gridCol w:w="3434"/>
        <w:gridCol w:w="2870"/>
        <w:gridCol w:w="3112"/>
      </w:tblGrid>
      <w:tr>
        <w:trPr/>
        <w:tc>
          <w:tcPr>
            <w:tcW w:w="3434" w:type="dxa"/>
            <w:tcBorders>
              <w:top w:val="single" w:sz="4" w:space="0" w:color="000000"/>
              <w:left w:val="single" w:sz="4" w:space="0" w:color="000000"/>
              <w:bottom w:val="single" w:sz="4" w:space="0" w:color="000000"/>
            </w:tcBorders>
            <w:shd w:fill="F2F2F2" w:val="clear"/>
          </w:tcPr>
          <w:p>
            <w:pPr>
              <w:pStyle w:val="Style25"/>
              <w:widowControl w:val="false"/>
              <w:tabs>
                <w:tab w:val="clear" w:pos="720"/>
                <w:tab w:val="left" w:pos="-540" w:leader="none"/>
              </w:tabs>
              <w:spacing w:before="0" w:after="240"/>
              <w:jc w:val="left"/>
              <w:rPr>
                <w:rFonts w:ascii="Calibri" w:hAnsi="Calibri" w:eastAsia="Calibri" w:cs="Calibri"/>
                <w:b/>
                <w:b/>
                <w:sz w:val="21"/>
                <w:szCs w:val="21"/>
              </w:rPr>
            </w:pPr>
            <w:r>
              <w:rPr>
                <w:rFonts w:eastAsia="Calibri" w:cs="Calibri"/>
                <w:b/>
                <w:sz w:val="21"/>
                <w:szCs w:val="21"/>
              </w:rPr>
              <w:t>Χαρακτηριστικό</w:t>
            </w:r>
          </w:p>
        </w:tc>
        <w:tc>
          <w:tcPr>
            <w:tcW w:w="2870" w:type="dxa"/>
            <w:tcBorders>
              <w:top w:val="single" w:sz="4" w:space="0" w:color="000000"/>
              <w:left w:val="single" w:sz="4" w:space="0" w:color="000000"/>
              <w:bottom w:val="single" w:sz="4" w:space="0" w:color="000000"/>
            </w:tcBorders>
            <w:shd w:fill="F2F2F2" w:val="clear"/>
          </w:tcPr>
          <w:p>
            <w:pPr>
              <w:pStyle w:val="Style25"/>
              <w:widowControl w:val="false"/>
              <w:tabs>
                <w:tab w:val="clear" w:pos="720"/>
                <w:tab w:val="left" w:pos="-540" w:leader="none"/>
              </w:tabs>
              <w:spacing w:before="0" w:after="240"/>
              <w:jc w:val="left"/>
              <w:rPr>
                <w:rFonts w:ascii="Calibri" w:hAnsi="Calibri" w:eastAsia="Calibri" w:cs="Calibri"/>
                <w:b/>
                <w:b/>
                <w:sz w:val="21"/>
                <w:szCs w:val="21"/>
              </w:rPr>
            </w:pPr>
            <w:r>
              <w:rPr>
                <w:rFonts w:eastAsia="Calibri" w:cs="Calibri"/>
                <w:b/>
                <w:sz w:val="21"/>
                <w:szCs w:val="21"/>
              </w:rPr>
              <w:t>Απαίτηση</w:t>
            </w:r>
          </w:p>
        </w:tc>
        <w:tc>
          <w:tcPr>
            <w:tcW w:w="3112" w:type="dxa"/>
            <w:tcBorders>
              <w:top w:val="single" w:sz="4" w:space="0" w:color="000000"/>
              <w:left w:val="single" w:sz="4" w:space="0" w:color="000000"/>
              <w:bottom w:val="single" w:sz="4" w:space="0" w:color="000000"/>
              <w:right w:val="single" w:sz="4" w:space="0" w:color="000000"/>
            </w:tcBorders>
            <w:shd w:fill="F2F2F2" w:val="clear"/>
          </w:tcPr>
          <w:p>
            <w:pPr>
              <w:pStyle w:val="Style25"/>
              <w:widowControl w:val="false"/>
              <w:tabs>
                <w:tab w:val="clear" w:pos="720"/>
                <w:tab w:val="left" w:pos="-540" w:leader="none"/>
              </w:tabs>
              <w:spacing w:before="0" w:after="240"/>
              <w:jc w:val="left"/>
              <w:rPr>
                <w:rFonts w:ascii="Calibri" w:hAnsi="Calibri" w:eastAsia="Calibri" w:cs="Calibri"/>
                <w:b/>
                <w:b/>
                <w:sz w:val="21"/>
                <w:szCs w:val="21"/>
              </w:rPr>
            </w:pPr>
            <w:r>
              <w:rPr>
                <w:rFonts w:eastAsia="Calibri" w:cs="Calibri"/>
                <w:b/>
                <w:sz w:val="21"/>
                <w:szCs w:val="21"/>
              </w:rPr>
              <w:t>Παρατηρήσεις</w:t>
            </w:r>
          </w:p>
        </w:tc>
      </w:tr>
      <w:tr>
        <w:trPr/>
        <w:tc>
          <w:tcPr>
            <w:tcW w:w="3434" w:type="dxa"/>
            <w:tcBorders>
              <w:top w:val="single" w:sz="4" w:space="0" w:color="000000"/>
              <w:left w:val="single" w:sz="4" w:space="0" w:color="000000"/>
              <w:bottom w:val="single" w:sz="4" w:space="0" w:color="000000"/>
            </w:tcBorders>
          </w:tcPr>
          <w:p>
            <w:pPr>
              <w:pStyle w:val="Style25"/>
              <w:widowControl w:val="false"/>
              <w:tabs>
                <w:tab w:val="clear" w:pos="720"/>
                <w:tab w:val="left" w:pos="-540" w:leader="none"/>
              </w:tabs>
              <w:spacing w:before="0" w:after="240"/>
              <w:jc w:val="left"/>
              <w:rPr>
                <w:rFonts w:ascii="Calibri" w:hAnsi="Calibri" w:eastAsia="Calibri" w:cs="Calibri"/>
                <w:sz w:val="21"/>
                <w:szCs w:val="21"/>
              </w:rPr>
            </w:pPr>
            <w:r>
              <w:rPr>
                <w:rFonts w:eastAsia="Calibri" w:cs="Calibri"/>
                <w:sz w:val="21"/>
                <w:szCs w:val="21"/>
              </w:rPr>
              <w:t>Επιφάνεια μαγειρέματος</w:t>
            </w:r>
          </w:p>
        </w:tc>
        <w:tc>
          <w:tcPr>
            <w:tcW w:w="2870" w:type="dxa"/>
            <w:tcBorders>
              <w:top w:val="single" w:sz="4" w:space="0" w:color="000000"/>
              <w:left w:val="single" w:sz="4" w:space="0" w:color="000000"/>
              <w:bottom w:val="single" w:sz="4" w:space="0" w:color="000000"/>
            </w:tcBorders>
          </w:tcPr>
          <w:p>
            <w:pPr>
              <w:pStyle w:val="Style25"/>
              <w:widowControl w:val="false"/>
              <w:tabs>
                <w:tab w:val="clear" w:pos="720"/>
                <w:tab w:val="left" w:pos="-540" w:leader="none"/>
              </w:tabs>
              <w:spacing w:before="0" w:after="240"/>
              <w:jc w:val="left"/>
              <w:rPr>
                <w:rFonts w:ascii="Calibri" w:hAnsi="Calibri" w:eastAsia="Calibri" w:cs="Calibri"/>
                <w:sz w:val="21"/>
                <w:szCs w:val="21"/>
              </w:rPr>
            </w:pPr>
            <w:r>
              <w:rPr>
                <w:rFonts w:eastAsia="Calibri" w:cs="Calibri"/>
                <w:sz w:val="21"/>
                <w:szCs w:val="21"/>
              </w:rPr>
              <w:t>Κεραμική</w:t>
            </w:r>
          </w:p>
        </w:tc>
        <w:tc>
          <w:tcPr>
            <w:tcW w:w="3112" w:type="dxa"/>
            <w:tcBorders>
              <w:top w:val="single" w:sz="4" w:space="0" w:color="000000"/>
              <w:left w:val="single" w:sz="4" w:space="0" w:color="000000"/>
              <w:bottom w:val="single" w:sz="4" w:space="0" w:color="000000"/>
              <w:right w:val="single" w:sz="4" w:space="0" w:color="000000"/>
            </w:tcBorders>
          </w:tcPr>
          <w:p>
            <w:pPr>
              <w:pStyle w:val="Style25"/>
              <w:widowControl w:val="false"/>
              <w:tabs>
                <w:tab w:val="clear" w:pos="720"/>
                <w:tab w:val="left" w:pos="-540" w:leader="none"/>
              </w:tabs>
              <w:snapToGrid w:val="false"/>
              <w:spacing w:before="0" w:after="240"/>
              <w:jc w:val="left"/>
              <w:rPr>
                <w:rFonts w:ascii="Calibri" w:hAnsi="Calibri" w:cs="Calibri"/>
                <w:sz w:val="21"/>
                <w:szCs w:val="21"/>
              </w:rPr>
            </w:pPr>
            <w:r>
              <w:rPr>
                <w:rFonts w:cs="Calibri"/>
                <w:sz w:val="21"/>
                <w:szCs w:val="21"/>
              </w:rPr>
            </w:r>
          </w:p>
        </w:tc>
      </w:tr>
      <w:tr>
        <w:trPr/>
        <w:tc>
          <w:tcPr>
            <w:tcW w:w="3434" w:type="dxa"/>
            <w:tcBorders>
              <w:left w:val="single" w:sz="4" w:space="0" w:color="000000"/>
              <w:bottom w:val="single" w:sz="4" w:space="0" w:color="000000"/>
            </w:tcBorders>
          </w:tcPr>
          <w:p>
            <w:pPr>
              <w:pStyle w:val="Style25"/>
              <w:widowControl w:val="false"/>
              <w:tabs>
                <w:tab w:val="clear" w:pos="720"/>
                <w:tab w:val="left" w:pos="-540" w:leader="none"/>
              </w:tabs>
              <w:spacing w:before="0" w:after="240"/>
              <w:jc w:val="left"/>
              <w:rPr>
                <w:rFonts w:ascii="Calibri" w:hAnsi="Calibri" w:eastAsia="Calibri" w:cs="Calibri"/>
                <w:sz w:val="21"/>
                <w:szCs w:val="21"/>
              </w:rPr>
            </w:pPr>
            <w:r>
              <w:rPr>
                <w:rFonts w:eastAsia="Calibri" w:cs="Calibri"/>
                <w:sz w:val="21"/>
                <w:szCs w:val="21"/>
              </w:rPr>
              <w:t>Αριθμός εστιών</w:t>
            </w:r>
          </w:p>
        </w:tc>
        <w:tc>
          <w:tcPr>
            <w:tcW w:w="2870" w:type="dxa"/>
            <w:tcBorders>
              <w:left w:val="single" w:sz="4" w:space="0" w:color="000000"/>
              <w:bottom w:val="single" w:sz="4" w:space="0" w:color="000000"/>
            </w:tcBorders>
          </w:tcPr>
          <w:p>
            <w:pPr>
              <w:pStyle w:val="Style25"/>
              <w:widowControl w:val="false"/>
              <w:tabs>
                <w:tab w:val="clear" w:pos="720"/>
                <w:tab w:val="left" w:pos="-540" w:leader="none"/>
              </w:tabs>
              <w:spacing w:before="0" w:after="240"/>
              <w:jc w:val="left"/>
              <w:rPr>
                <w:rFonts w:ascii="Calibri" w:hAnsi="Calibri" w:eastAsia="Calibri" w:cs="Calibri"/>
                <w:sz w:val="21"/>
                <w:szCs w:val="21"/>
              </w:rPr>
            </w:pPr>
            <w:r>
              <w:rPr>
                <w:rFonts w:eastAsia="Calibri" w:cs="Calibri"/>
                <w:sz w:val="21"/>
                <w:szCs w:val="21"/>
              </w:rPr>
              <w:t>4</w:t>
            </w:r>
          </w:p>
        </w:tc>
        <w:tc>
          <w:tcPr>
            <w:tcW w:w="3112" w:type="dxa"/>
            <w:tcBorders>
              <w:left w:val="single" w:sz="4" w:space="0" w:color="000000"/>
              <w:bottom w:val="single" w:sz="4" w:space="0" w:color="000000"/>
              <w:right w:val="single" w:sz="4" w:space="0" w:color="000000"/>
            </w:tcBorders>
          </w:tcPr>
          <w:p>
            <w:pPr>
              <w:pStyle w:val="Style25"/>
              <w:widowControl w:val="false"/>
              <w:tabs>
                <w:tab w:val="clear" w:pos="720"/>
                <w:tab w:val="left" w:pos="-540" w:leader="none"/>
              </w:tabs>
              <w:snapToGrid w:val="false"/>
              <w:spacing w:before="0" w:after="240"/>
              <w:jc w:val="left"/>
              <w:rPr>
                <w:rFonts w:ascii="Calibri" w:hAnsi="Calibri" w:cs="Calibri"/>
                <w:sz w:val="21"/>
                <w:szCs w:val="21"/>
              </w:rPr>
            </w:pPr>
            <w:r>
              <w:rPr>
                <w:rFonts w:cs="Calibri"/>
                <w:sz w:val="21"/>
                <w:szCs w:val="21"/>
              </w:rPr>
            </w:r>
          </w:p>
        </w:tc>
      </w:tr>
      <w:tr>
        <w:trPr/>
        <w:tc>
          <w:tcPr>
            <w:tcW w:w="3434" w:type="dxa"/>
            <w:tcBorders>
              <w:top w:val="single" w:sz="4" w:space="0" w:color="000000"/>
              <w:left w:val="single" w:sz="4" w:space="0" w:color="000000"/>
              <w:bottom w:val="single" w:sz="4" w:space="0" w:color="000000"/>
            </w:tcBorders>
          </w:tcPr>
          <w:p>
            <w:pPr>
              <w:pStyle w:val="Style25"/>
              <w:widowControl w:val="false"/>
              <w:tabs>
                <w:tab w:val="clear" w:pos="720"/>
                <w:tab w:val="left" w:pos="-540" w:leader="none"/>
              </w:tabs>
              <w:spacing w:before="0" w:after="240"/>
              <w:jc w:val="left"/>
              <w:rPr>
                <w:rFonts w:ascii="Calibri" w:hAnsi="Calibri" w:eastAsia="Calibri" w:cs="Calibri"/>
                <w:sz w:val="21"/>
                <w:szCs w:val="21"/>
              </w:rPr>
            </w:pPr>
            <w:r>
              <w:rPr>
                <w:rFonts w:eastAsia="Calibri" w:cs="Calibri"/>
                <w:sz w:val="21"/>
                <w:szCs w:val="21"/>
              </w:rPr>
              <w:t>Ενεργειακή κλάση</w:t>
            </w:r>
          </w:p>
        </w:tc>
        <w:tc>
          <w:tcPr>
            <w:tcW w:w="2870" w:type="dxa"/>
            <w:tcBorders>
              <w:top w:val="single" w:sz="4" w:space="0" w:color="000000"/>
              <w:left w:val="single" w:sz="4" w:space="0" w:color="000000"/>
              <w:bottom w:val="single" w:sz="4" w:space="0" w:color="000000"/>
            </w:tcBorders>
          </w:tcPr>
          <w:p>
            <w:pPr>
              <w:pStyle w:val="Style25"/>
              <w:widowControl w:val="false"/>
              <w:tabs>
                <w:tab w:val="clear" w:pos="720"/>
                <w:tab w:val="left" w:pos="-540" w:leader="none"/>
              </w:tabs>
              <w:spacing w:before="0" w:after="240"/>
              <w:jc w:val="left"/>
              <w:rPr>
                <w:rFonts w:ascii="Calibri" w:hAnsi="Calibri" w:eastAsia="Calibri" w:cs="Calibri"/>
                <w:sz w:val="21"/>
                <w:szCs w:val="21"/>
              </w:rPr>
            </w:pPr>
            <w:r>
              <w:rPr>
                <w:rFonts w:eastAsia="Calibri" w:cs="Calibri"/>
                <w:sz w:val="21"/>
                <w:szCs w:val="21"/>
              </w:rPr>
              <w:t>Α</w:t>
            </w:r>
          </w:p>
        </w:tc>
        <w:tc>
          <w:tcPr>
            <w:tcW w:w="3112" w:type="dxa"/>
            <w:tcBorders>
              <w:top w:val="single" w:sz="4" w:space="0" w:color="000000"/>
              <w:left w:val="single" w:sz="4" w:space="0" w:color="000000"/>
              <w:bottom w:val="single" w:sz="4" w:space="0" w:color="000000"/>
              <w:right w:val="single" w:sz="4" w:space="0" w:color="000000"/>
            </w:tcBorders>
          </w:tcPr>
          <w:p>
            <w:pPr>
              <w:pStyle w:val="Style25"/>
              <w:widowControl w:val="false"/>
              <w:tabs>
                <w:tab w:val="clear" w:pos="720"/>
                <w:tab w:val="left" w:pos="-540" w:leader="none"/>
              </w:tabs>
              <w:snapToGrid w:val="false"/>
              <w:spacing w:before="0" w:after="240"/>
              <w:jc w:val="left"/>
              <w:rPr>
                <w:rFonts w:ascii="Calibri" w:hAnsi="Calibri" w:eastAsia="Calibri" w:cs="Calibri"/>
                <w:sz w:val="21"/>
                <w:szCs w:val="21"/>
              </w:rPr>
            </w:pPr>
            <w:r>
              <w:rPr>
                <w:rFonts w:eastAsia="Calibri" w:cs="Calibri"/>
                <w:sz w:val="21"/>
                <w:szCs w:val="21"/>
              </w:rPr>
            </w:r>
          </w:p>
        </w:tc>
      </w:tr>
      <w:tr>
        <w:trPr/>
        <w:tc>
          <w:tcPr>
            <w:tcW w:w="3434" w:type="dxa"/>
            <w:tcBorders>
              <w:top w:val="single" w:sz="4" w:space="0" w:color="000000"/>
              <w:left w:val="single" w:sz="4" w:space="0" w:color="000000"/>
              <w:bottom w:val="single" w:sz="4" w:space="0" w:color="000000"/>
            </w:tcBorders>
          </w:tcPr>
          <w:p>
            <w:pPr>
              <w:pStyle w:val="Style25"/>
              <w:widowControl w:val="false"/>
              <w:tabs>
                <w:tab w:val="clear" w:pos="720"/>
                <w:tab w:val="left" w:pos="-540" w:leader="none"/>
              </w:tabs>
              <w:spacing w:before="0" w:after="240"/>
              <w:jc w:val="left"/>
              <w:rPr>
                <w:rFonts w:ascii="Calibri" w:hAnsi="Calibri" w:eastAsia="Calibri" w:cs="Calibri"/>
                <w:sz w:val="21"/>
                <w:szCs w:val="21"/>
              </w:rPr>
            </w:pPr>
            <w:r>
              <w:rPr>
                <w:rFonts w:eastAsia="Calibri" w:cs="Calibri"/>
                <w:sz w:val="21"/>
                <w:szCs w:val="21"/>
              </w:rPr>
              <w:t>Χωρητικότητα φούρνου</w:t>
            </w:r>
          </w:p>
        </w:tc>
        <w:tc>
          <w:tcPr>
            <w:tcW w:w="2870" w:type="dxa"/>
            <w:tcBorders>
              <w:top w:val="single" w:sz="4" w:space="0" w:color="000000"/>
              <w:left w:val="single" w:sz="4" w:space="0" w:color="000000"/>
              <w:bottom w:val="single" w:sz="4" w:space="0" w:color="000000"/>
            </w:tcBorders>
          </w:tcPr>
          <w:p>
            <w:pPr>
              <w:pStyle w:val="Style25"/>
              <w:widowControl w:val="false"/>
              <w:tabs>
                <w:tab w:val="clear" w:pos="720"/>
                <w:tab w:val="left" w:pos="-540" w:leader="none"/>
              </w:tabs>
              <w:spacing w:before="0" w:after="240"/>
              <w:jc w:val="left"/>
              <w:rPr>
                <w:sz w:val="21"/>
                <w:szCs w:val="21"/>
              </w:rPr>
            </w:pPr>
            <w:r>
              <w:rPr>
                <w:rFonts w:eastAsia="Calibri" w:cs="Calibri"/>
                <w:sz w:val="21"/>
                <w:szCs w:val="21"/>
              </w:rPr>
              <w:t>&gt;=60</w:t>
            </w:r>
            <w:r>
              <w:rPr>
                <w:rFonts w:eastAsia="Calibri" w:cs="Calibri"/>
                <w:sz w:val="21"/>
                <w:szCs w:val="21"/>
                <w:lang w:val="en-US"/>
              </w:rPr>
              <w:t>Lt</w:t>
            </w:r>
          </w:p>
        </w:tc>
        <w:tc>
          <w:tcPr>
            <w:tcW w:w="3112" w:type="dxa"/>
            <w:tcBorders>
              <w:top w:val="single" w:sz="4" w:space="0" w:color="000000"/>
              <w:left w:val="single" w:sz="4" w:space="0" w:color="000000"/>
              <w:bottom w:val="single" w:sz="4" w:space="0" w:color="000000"/>
              <w:right w:val="single" w:sz="4" w:space="0" w:color="000000"/>
            </w:tcBorders>
          </w:tcPr>
          <w:p>
            <w:pPr>
              <w:pStyle w:val="Style25"/>
              <w:widowControl w:val="false"/>
              <w:tabs>
                <w:tab w:val="clear" w:pos="720"/>
                <w:tab w:val="left" w:pos="-540" w:leader="none"/>
              </w:tabs>
              <w:snapToGrid w:val="false"/>
              <w:spacing w:before="0" w:after="240"/>
              <w:jc w:val="left"/>
              <w:rPr>
                <w:rFonts w:ascii="Calibri" w:hAnsi="Calibri" w:eastAsia="Calibri" w:cs="Calibri"/>
                <w:sz w:val="21"/>
                <w:szCs w:val="21"/>
                <w:lang w:val="en-US"/>
              </w:rPr>
            </w:pPr>
            <w:r>
              <w:rPr>
                <w:rFonts w:eastAsia="Calibri" w:cs="Calibri"/>
                <w:sz w:val="21"/>
                <w:szCs w:val="21"/>
                <w:lang w:val="en-US"/>
              </w:rPr>
            </w:r>
          </w:p>
        </w:tc>
      </w:tr>
      <w:tr>
        <w:trPr/>
        <w:tc>
          <w:tcPr>
            <w:tcW w:w="3434" w:type="dxa"/>
            <w:tcBorders>
              <w:top w:val="single" w:sz="4" w:space="0" w:color="000000"/>
              <w:left w:val="single" w:sz="4" w:space="0" w:color="000000"/>
              <w:bottom w:val="single" w:sz="4" w:space="0" w:color="000000"/>
            </w:tcBorders>
          </w:tcPr>
          <w:p>
            <w:pPr>
              <w:pStyle w:val="Style25"/>
              <w:widowControl w:val="false"/>
              <w:tabs>
                <w:tab w:val="clear" w:pos="720"/>
                <w:tab w:val="left" w:pos="-540" w:leader="none"/>
              </w:tabs>
              <w:spacing w:before="0" w:after="240"/>
              <w:jc w:val="left"/>
              <w:rPr>
                <w:rFonts w:ascii="Calibri" w:hAnsi="Calibri" w:eastAsia="Calibri" w:cs="Calibri"/>
                <w:sz w:val="21"/>
                <w:szCs w:val="21"/>
              </w:rPr>
            </w:pPr>
            <w:r>
              <w:rPr>
                <w:rFonts w:eastAsia="Calibri" w:cs="Calibri"/>
                <w:sz w:val="21"/>
                <w:szCs w:val="21"/>
              </w:rPr>
              <w:t>Πλάτος</w:t>
            </w:r>
          </w:p>
        </w:tc>
        <w:tc>
          <w:tcPr>
            <w:tcW w:w="2870" w:type="dxa"/>
            <w:tcBorders>
              <w:top w:val="single" w:sz="4" w:space="0" w:color="000000"/>
              <w:left w:val="single" w:sz="4" w:space="0" w:color="000000"/>
              <w:bottom w:val="single" w:sz="4" w:space="0" w:color="000000"/>
            </w:tcBorders>
          </w:tcPr>
          <w:p>
            <w:pPr>
              <w:pStyle w:val="Style25"/>
              <w:widowControl w:val="false"/>
              <w:tabs>
                <w:tab w:val="clear" w:pos="720"/>
                <w:tab w:val="left" w:pos="-540" w:leader="none"/>
              </w:tabs>
              <w:spacing w:before="0" w:after="240"/>
              <w:jc w:val="left"/>
              <w:rPr>
                <w:sz w:val="21"/>
                <w:szCs w:val="21"/>
              </w:rPr>
            </w:pPr>
            <w:r>
              <w:rPr>
                <w:rFonts w:eastAsia="Calibri" w:cs="Calibri"/>
                <w:sz w:val="21"/>
                <w:szCs w:val="21"/>
              </w:rPr>
              <w:t>Έως 60</w:t>
            </w:r>
            <w:r>
              <w:rPr>
                <w:rFonts w:eastAsia="Calibri" w:cs="Calibri"/>
                <w:sz w:val="21"/>
                <w:szCs w:val="21"/>
                <w:lang w:val="en-US"/>
              </w:rPr>
              <w:t>cm</w:t>
            </w:r>
          </w:p>
        </w:tc>
        <w:tc>
          <w:tcPr>
            <w:tcW w:w="3112" w:type="dxa"/>
            <w:tcBorders>
              <w:top w:val="single" w:sz="4" w:space="0" w:color="000000"/>
              <w:left w:val="single" w:sz="4" w:space="0" w:color="000000"/>
              <w:bottom w:val="single" w:sz="4" w:space="0" w:color="000000"/>
              <w:right w:val="single" w:sz="4" w:space="0" w:color="000000"/>
            </w:tcBorders>
          </w:tcPr>
          <w:p>
            <w:pPr>
              <w:pStyle w:val="Style25"/>
              <w:widowControl w:val="false"/>
              <w:tabs>
                <w:tab w:val="clear" w:pos="720"/>
                <w:tab w:val="left" w:pos="-540" w:leader="none"/>
              </w:tabs>
              <w:snapToGrid w:val="false"/>
              <w:spacing w:before="0" w:after="240"/>
              <w:jc w:val="left"/>
              <w:rPr>
                <w:rFonts w:ascii="Calibri" w:hAnsi="Calibri" w:eastAsia="Calibri" w:cs="Calibri"/>
                <w:sz w:val="21"/>
                <w:szCs w:val="21"/>
                <w:lang w:val="en-US"/>
              </w:rPr>
            </w:pPr>
            <w:r>
              <w:rPr>
                <w:rFonts w:eastAsia="Calibri" w:cs="Calibri"/>
                <w:sz w:val="21"/>
                <w:szCs w:val="21"/>
                <w:lang w:val="en-US"/>
              </w:rPr>
            </w:r>
          </w:p>
        </w:tc>
      </w:tr>
      <w:tr>
        <w:trPr/>
        <w:tc>
          <w:tcPr>
            <w:tcW w:w="3434" w:type="dxa"/>
            <w:tcBorders>
              <w:top w:val="single" w:sz="4" w:space="0" w:color="000000"/>
              <w:left w:val="single" w:sz="4" w:space="0" w:color="000000"/>
              <w:bottom w:val="single" w:sz="4" w:space="0" w:color="000000"/>
            </w:tcBorders>
          </w:tcPr>
          <w:p>
            <w:pPr>
              <w:pStyle w:val="Style25"/>
              <w:widowControl w:val="false"/>
              <w:tabs>
                <w:tab w:val="clear" w:pos="720"/>
                <w:tab w:val="left" w:pos="-540" w:leader="none"/>
              </w:tabs>
              <w:spacing w:before="0" w:after="240"/>
              <w:jc w:val="left"/>
              <w:rPr>
                <w:rFonts w:ascii="Calibri" w:hAnsi="Calibri" w:eastAsia="Calibri" w:cs="Calibri"/>
                <w:sz w:val="21"/>
                <w:szCs w:val="21"/>
              </w:rPr>
            </w:pPr>
            <w:r>
              <w:rPr>
                <w:rFonts w:eastAsia="Calibri" w:cs="Calibri"/>
                <w:sz w:val="21"/>
                <w:szCs w:val="21"/>
              </w:rPr>
              <w:t>Εξαρτήματα</w:t>
            </w:r>
          </w:p>
        </w:tc>
        <w:tc>
          <w:tcPr>
            <w:tcW w:w="2870" w:type="dxa"/>
            <w:tcBorders>
              <w:top w:val="single" w:sz="4" w:space="0" w:color="000000"/>
              <w:left w:val="single" w:sz="4" w:space="0" w:color="000000"/>
              <w:bottom w:val="single" w:sz="4" w:space="0" w:color="000000"/>
            </w:tcBorders>
          </w:tcPr>
          <w:p>
            <w:pPr>
              <w:pStyle w:val="Style25"/>
              <w:widowControl w:val="false"/>
              <w:tabs>
                <w:tab w:val="clear" w:pos="720"/>
                <w:tab w:val="left" w:pos="-540" w:leader="none"/>
              </w:tabs>
              <w:spacing w:before="0" w:after="240"/>
              <w:jc w:val="left"/>
              <w:rPr>
                <w:rFonts w:ascii="Calibri" w:hAnsi="Calibri" w:eastAsia="Calibri" w:cs="Calibri"/>
                <w:sz w:val="21"/>
                <w:szCs w:val="21"/>
              </w:rPr>
            </w:pPr>
            <w:r>
              <w:rPr>
                <w:rFonts w:eastAsia="Calibri" w:cs="Calibri"/>
                <w:sz w:val="21"/>
                <w:szCs w:val="21"/>
              </w:rPr>
              <w:t>2 ταψιά, 1 σχάρα</w:t>
            </w:r>
          </w:p>
        </w:tc>
        <w:tc>
          <w:tcPr>
            <w:tcW w:w="3112" w:type="dxa"/>
            <w:tcBorders>
              <w:top w:val="single" w:sz="4" w:space="0" w:color="000000"/>
              <w:left w:val="single" w:sz="4" w:space="0" w:color="000000"/>
              <w:bottom w:val="single" w:sz="4" w:space="0" w:color="000000"/>
              <w:right w:val="single" w:sz="4" w:space="0" w:color="000000"/>
            </w:tcBorders>
          </w:tcPr>
          <w:p>
            <w:pPr>
              <w:pStyle w:val="Style25"/>
              <w:widowControl w:val="false"/>
              <w:tabs>
                <w:tab w:val="clear" w:pos="720"/>
                <w:tab w:val="left" w:pos="-540" w:leader="none"/>
              </w:tabs>
              <w:snapToGrid w:val="false"/>
              <w:spacing w:before="0" w:after="240"/>
              <w:jc w:val="left"/>
              <w:rPr>
                <w:rFonts w:ascii="Calibri" w:hAnsi="Calibri" w:eastAsia="Calibri" w:cs="Calibri"/>
                <w:sz w:val="21"/>
                <w:szCs w:val="21"/>
              </w:rPr>
            </w:pPr>
            <w:r>
              <w:rPr>
                <w:rFonts w:eastAsia="Calibri" w:cs="Calibri"/>
                <w:sz w:val="21"/>
                <w:szCs w:val="21"/>
              </w:rPr>
              <w:t>Να περιλαμβάνονται</w:t>
            </w:r>
          </w:p>
        </w:tc>
      </w:tr>
      <w:tr>
        <w:trPr/>
        <w:tc>
          <w:tcPr>
            <w:tcW w:w="3434" w:type="dxa"/>
            <w:tcBorders>
              <w:top w:val="single" w:sz="4" w:space="0" w:color="000000"/>
              <w:left w:val="single" w:sz="4" w:space="0" w:color="000000"/>
              <w:bottom w:val="single" w:sz="4" w:space="0" w:color="000000"/>
            </w:tcBorders>
          </w:tcPr>
          <w:p>
            <w:pPr>
              <w:pStyle w:val="Style25"/>
              <w:widowControl w:val="false"/>
              <w:spacing w:before="0" w:after="240"/>
              <w:jc w:val="left"/>
              <w:rPr>
                <w:rFonts w:ascii="Calibri" w:hAnsi="Calibri" w:eastAsia="Calibri" w:cs="Calibri"/>
                <w:sz w:val="21"/>
                <w:szCs w:val="21"/>
              </w:rPr>
            </w:pPr>
            <w:r>
              <w:rPr>
                <w:rFonts w:eastAsia="Calibri" w:cs="Calibri"/>
                <w:sz w:val="21"/>
                <w:szCs w:val="21"/>
              </w:rPr>
              <w:t>Χρώμα</w:t>
            </w:r>
          </w:p>
        </w:tc>
        <w:tc>
          <w:tcPr>
            <w:tcW w:w="2870" w:type="dxa"/>
            <w:tcBorders>
              <w:top w:val="single" w:sz="4" w:space="0" w:color="000000"/>
              <w:left w:val="single" w:sz="4" w:space="0" w:color="000000"/>
              <w:bottom w:val="single" w:sz="4" w:space="0" w:color="000000"/>
            </w:tcBorders>
          </w:tcPr>
          <w:p>
            <w:pPr>
              <w:pStyle w:val="Style25"/>
              <w:widowControl w:val="false"/>
              <w:spacing w:before="0" w:after="240"/>
              <w:jc w:val="left"/>
              <w:rPr>
                <w:sz w:val="21"/>
                <w:szCs w:val="21"/>
              </w:rPr>
            </w:pPr>
            <w:r>
              <w:rPr>
                <w:rFonts w:eastAsia="Calibri" w:cs="Calibri"/>
                <w:sz w:val="21"/>
                <w:szCs w:val="21"/>
                <w:lang w:val="en-US"/>
              </w:rPr>
              <w:t>Inox</w:t>
            </w:r>
            <w:r>
              <w:rPr>
                <w:rFonts w:eastAsia="Calibri" w:cs="Calibri"/>
                <w:sz w:val="21"/>
                <w:szCs w:val="21"/>
              </w:rPr>
              <w:t xml:space="preserve"> ή λευκή</w:t>
            </w:r>
          </w:p>
        </w:tc>
        <w:tc>
          <w:tcPr>
            <w:tcW w:w="3112" w:type="dxa"/>
            <w:tcBorders>
              <w:top w:val="single" w:sz="4" w:space="0" w:color="000000"/>
              <w:left w:val="single" w:sz="4" w:space="0" w:color="000000"/>
              <w:bottom w:val="single" w:sz="4" w:space="0" w:color="000000"/>
              <w:right w:val="single" w:sz="4" w:space="0" w:color="000000"/>
            </w:tcBorders>
          </w:tcPr>
          <w:p>
            <w:pPr>
              <w:pStyle w:val="Style25"/>
              <w:widowControl w:val="false"/>
              <w:snapToGrid w:val="false"/>
              <w:spacing w:before="0" w:after="240"/>
              <w:jc w:val="left"/>
              <w:rPr>
                <w:rFonts w:ascii="Calibri" w:hAnsi="Calibri" w:eastAsia="Calibri" w:cs="Calibri"/>
                <w:sz w:val="21"/>
                <w:szCs w:val="21"/>
                <w:lang w:val="en-US"/>
              </w:rPr>
            </w:pPr>
            <w:r>
              <w:rPr>
                <w:rFonts w:eastAsia="Calibri" w:cs="Calibri"/>
                <w:sz w:val="21"/>
                <w:szCs w:val="21"/>
                <w:lang w:val="en-US"/>
              </w:rPr>
            </w:r>
          </w:p>
        </w:tc>
      </w:tr>
      <w:tr>
        <w:trPr/>
        <w:tc>
          <w:tcPr>
            <w:tcW w:w="3434" w:type="dxa"/>
            <w:tcBorders>
              <w:top w:val="single" w:sz="4" w:space="0" w:color="000000"/>
              <w:left w:val="single" w:sz="4" w:space="0" w:color="000000"/>
              <w:bottom w:val="single" w:sz="4" w:space="0" w:color="000000"/>
            </w:tcBorders>
          </w:tcPr>
          <w:p>
            <w:pPr>
              <w:pStyle w:val="Style25"/>
              <w:widowControl w:val="false"/>
              <w:tabs>
                <w:tab w:val="clear" w:pos="720"/>
                <w:tab w:val="left" w:pos="-540" w:leader="none"/>
              </w:tabs>
              <w:spacing w:before="0" w:after="240"/>
              <w:jc w:val="left"/>
              <w:rPr>
                <w:rFonts w:ascii="Calibri" w:hAnsi="Calibri" w:eastAsia="Calibri" w:cs="Calibri"/>
                <w:sz w:val="21"/>
                <w:szCs w:val="21"/>
              </w:rPr>
            </w:pPr>
            <w:r>
              <w:rPr>
                <w:rFonts w:eastAsia="Calibri" w:cs="Calibri"/>
                <w:sz w:val="21"/>
                <w:szCs w:val="21"/>
              </w:rPr>
              <w:t>Εγγύηση</w:t>
            </w:r>
          </w:p>
        </w:tc>
        <w:tc>
          <w:tcPr>
            <w:tcW w:w="2870" w:type="dxa"/>
            <w:tcBorders>
              <w:top w:val="single" w:sz="4" w:space="0" w:color="000000"/>
              <w:left w:val="single" w:sz="4" w:space="0" w:color="000000"/>
              <w:bottom w:val="single" w:sz="4" w:space="0" w:color="000000"/>
            </w:tcBorders>
          </w:tcPr>
          <w:p>
            <w:pPr>
              <w:pStyle w:val="Style25"/>
              <w:widowControl w:val="false"/>
              <w:tabs>
                <w:tab w:val="clear" w:pos="720"/>
                <w:tab w:val="left" w:pos="-540" w:leader="none"/>
              </w:tabs>
              <w:spacing w:before="0" w:after="240"/>
              <w:jc w:val="left"/>
              <w:rPr>
                <w:rFonts w:ascii="Calibri" w:hAnsi="Calibri" w:eastAsia="Calibri" w:cs="Calibri"/>
                <w:sz w:val="21"/>
                <w:szCs w:val="21"/>
              </w:rPr>
            </w:pPr>
            <w:r>
              <w:rPr>
                <w:rFonts w:eastAsia="Calibri" w:cs="Calibri"/>
                <w:sz w:val="21"/>
                <w:szCs w:val="21"/>
              </w:rPr>
              <w:t>&gt;=2 έτη</w:t>
            </w:r>
          </w:p>
        </w:tc>
        <w:tc>
          <w:tcPr>
            <w:tcW w:w="3112" w:type="dxa"/>
            <w:tcBorders>
              <w:top w:val="single" w:sz="4" w:space="0" w:color="000000"/>
              <w:left w:val="single" w:sz="4" w:space="0" w:color="000000"/>
              <w:bottom w:val="single" w:sz="4" w:space="0" w:color="000000"/>
              <w:right w:val="single" w:sz="4" w:space="0" w:color="000000"/>
            </w:tcBorders>
          </w:tcPr>
          <w:p>
            <w:pPr>
              <w:pStyle w:val="Style25"/>
              <w:widowControl w:val="false"/>
              <w:tabs>
                <w:tab w:val="clear" w:pos="720"/>
                <w:tab w:val="left" w:pos="-540" w:leader="none"/>
              </w:tabs>
              <w:snapToGrid w:val="false"/>
              <w:spacing w:before="0" w:after="240"/>
              <w:jc w:val="left"/>
              <w:rPr>
                <w:rFonts w:ascii="Calibri" w:hAnsi="Calibri" w:eastAsia="Calibri" w:cs="Calibri"/>
                <w:sz w:val="21"/>
                <w:szCs w:val="21"/>
              </w:rPr>
            </w:pPr>
            <w:r>
              <w:rPr>
                <w:rFonts w:eastAsia="Calibri" w:cs="Calibri"/>
                <w:sz w:val="21"/>
                <w:szCs w:val="21"/>
              </w:rPr>
            </w:r>
          </w:p>
        </w:tc>
      </w:tr>
      <w:tr>
        <w:trPr/>
        <w:tc>
          <w:tcPr>
            <w:tcW w:w="3434" w:type="dxa"/>
            <w:tcBorders>
              <w:top w:val="single" w:sz="4" w:space="0" w:color="000000"/>
              <w:left w:val="single" w:sz="4" w:space="0" w:color="000000"/>
              <w:bottom w:val="single" w:sz="4" w:space="0" w:color="000000"/>
            </w:tcBorders>
          </w:tcPr>
          <w:p>
            <w:pPr>
              <w:pStyle w:val="Style25"/>
              <w:widowControl w:val="false"/>
              <w:tabs>
                <w:tab w:val="clear" w:pos="720"/>
                <w:tab w:val="left" w:pos="-540" w:leader="none"/>
              </w:tabs>
              <w:spacing w:before="0" w:after="240"/>
              <w:jc w:val="left"/>
              <w:rPr>
                <w:rFonts w:ascii="Calibri" w:hAnsi="Calibri" w:eastAsia="Calibri" w:cs="Calibri"/>
                <w:sz w:val="21"/>
                <w:szCs w:val="21"/>
              </w:rPr>
            </w:pPr>
            <w:r>
              <w:rPr>
                <w:rFonts w:eastAsia="Calibri" w:cs="Calibri"/>
                <w:sz w:val="21"/>
                <w:szCs w:val="21"/>
              </w:rPr>
              <w:t>Συρτάρι αποθήκευσης</w:t>
            </w:r>
          </w:p>
        </w:tc>
        <w:tc>
          <w:tcPr>
            <w:tcW w:w="2870" w:type="dxa"/>
            <w:tcBorders>
              <w:top w:val="single" w:sz="4" w:space="0" w:color="000000"/>
              <w:left w:val="single" w:sz="4" w:space="0" w:color="000000"/>
              <w:bottom w:val="single" w:sz="4" w:space="0" w:color="000000"/>
            </w:tcBorders>
          </w:tcPr>
          <w:p>
            <w:pPr>
              <w:pStyle w:val="Style25"/>
              <w:widowControl w:val="false"/>
              <w:tabs>
                <w:tab w:val="clear" w:pos="720"/>
                <w:tab w:val="left" w:pos="-540" w:leader="none"/>
              </w:tabs>
              <w:spacing w:before="0" w:after="240"/>
              <w:jc w:val="left"/>
              <w:rPr>
                <w:rFonts w:ascii="Calibri" w:hAnsi="Calibri" w:eastAsia="Calibri" w:cs="Calibri"/>
                <w:sz w:val="21"/>
                <w:szCs w:val="21"/>
              </w:rPr>
            </w:pPr>
            <w:r>
              <w:rPr>
                <w:rFonts w:eastAsia="Calibri" w:cs="Calibri"/>
                <w:sz w:val="21"/>
                <w:szCs w:val="21"/>
              </w:rPr>
              <w:t>Επιθυμητό</w:t>
            </w:r>
          </w:p>
        </w:tc>
        <w:tc>
          <w:tcPr>
            <w:tcW w:w="3112" w:type="dxa"/>
            <w:tcBorders>
              <w:top w:val="single" w:sz="4" w:space="0" w:color="000000"/>
              <w:left w:val="single" w:sz="4" w:space="0" w:color="000000"/>
              <w:bottom w:val="single" w:sz="4" w:space="0" w:color="000000"/>
              <w:right w:val="single" w:sz="4" w:space="0" w:color="000000"/>
            </w:tcBorders>
          </w:tcPr>
          <w:p>
            <w:pPr>
              <w:pStyle w:val="Style25"/>
              <w:widowControl w:val="false"/>
              <w:tabs>
                <w:tab w:val="clear" w:pos="720"/>
                <w:tab w:val="left" w:pos="-540" w:leader="none"/>
              </w:tabs>
              <w:snapToGrid w:val="false"/>
              <w:spacing w:before="0" w:after="240"/>
              <w:jc w:val="left"/>
              <w:rPr>
                <w:rFonts w:ascii="Calibri" w:hAnsi="Calibri" w:eastAsia="Calibri" w:cs="Calibri"/>
                <w:sz w:val="21"/>
                <w:szCs w:val="21"/>
              </w:rPr>
            </w:pPr>
            <w:r>
              <w:rPr>
                <w:rFonts w:eastAsia="Calibri" w:cs="Calibri"/>
                <w:sz w:val="21"/>
                <w:szCs w:val="21"/>
              </w:rPr>
            </w:r>
          </w:p>
        </w:tc>
      </w:tr>
    </w:tbl>
    <w:p>
      <w:pPr>
        <w:pStyle w:val="Normal"/>
        <w:jc w:val="center"/>
        <w:rPr>
          <w:rFonts w:ascii="Tahoma" w:hAnsi="Tahoma" w:cs="Tahoma"/>
          <w:b/>
          <w:b/>
          <w:sz w:val="28"/>
          <w:szCs w:val="28"/>
        </w:rPr>
      </w:pPr>
      <w:r>
        <w:rPr>
          <w:rFonts w:cs="Tahoma" w:ascii="Tahoma" w:hAnsi="Tahoma"/>
          <w:b/>
          <w:sz w:val="28"/>
          <w:szCs w:val="28"/>
        </w:rPr>
      </w:r>
    </w:p>
    <w:p>
      <w:pPr>
        <w:pStyle w:val="Normal"/>
        <w:ind w:left="1080" w:hanging="0"/>
        <w:rPr/>
      </w:pPr>
      <w:r>
        <w:rPr>
          <w:rFonts w:eastAsia="Calibri" w:cs="Calibri"/>
          <w:b/>
        </w:rPr>
        <w:t>3.</w:t>
      </w:r>
      <w:r>
        <w:rPr>
          <w:rFonts w:eastAsia="Calibri" w:cs="Calibri"/>
          <w:b/>
          <w:color w:val="FF0000"/>
        </w:rPr>
        <w:t xml:space="preserve"> </w:t>
      </w:r>
      <w:r>
        <w:rPr>
          <w:rFonts w:eastAsia="Calibri" w:cs="Calibri"/>
          <w:b/>
          <w:color w:val="00000A"/>
        </w:rPr>
        <w:t>Πλυντήριο ρούχων</w:t>
      </w:r>
    </w:p>
    <w:tbl>
      <w:tblPr>
        <w:tblW w:w="9416" w:type="dxa"/>
        <w:jc w:val="left"/>
        <w:tblInd w:w="-65" w:type="dxa"/>
        <w:tblLayout w:type="fixed"/>
        <w:tblCellMar>
          <w:top w:w="0" w:type="dxa"/>
          <w:left w:w="108" w:type="dxa"/>
          <w:bottom w:w="0" w:type="dxa"/>
          <w:right w:w="108" w:type="dxa"/>
        </w:tblCellMar>
      </w:tblPr>
      <w:tblGrid>
        <w:gridCol w:w="3240"/>
        <w:gridCol w:w="3590"/>
        <w:gridCol w:w="2586"/>
      </w:tblGrid>
      <w:tr>
        <w:trPr/>
        <w:tc>
          <w:tcPr>
            <w:tcW w:w="3240" w:type="dxa"/>
            <w:tcBorders>
              <w:top w:val="single" w:sz="4" w:space="0" w:color="000000"/>
              <w:left w:val="single" w:sz="4" w:space="0" w:color="000000"/>
              <w:bottom w:val="single" w:sz="4" w:space="0" w:color="000000"/>
            </w:tcBorders>
            <w:shd w:fill="F2F2F2" w:val="clear"/>
          </w:tcPr>
          <w:p>
            <w:pPr>
              <w:pStyle w:val="Style25"/>
              <w:widowControl w:val="false"/>
              <w:tabs>
                <w:tab w:val="clear" w:pos="720"/>
                <w:tab w:val="left" w:pos="-540" w:leader="none"/>
              </w:tabs>
              <w:spacing w:before="0" w:after="240"/>
              <w:jc w:val="left"/>
              <w:rPr>
                <w:rFonts w:ascii="Calibri" w:hAnsi="Calibri" w:eastAsia="Calibri" w:cs="Calibri"/>
                <w:b/>
                <w:b/>
                <w:sz w:val="21"/>
                <w:szCs w:val="21"/>
              </w:rPr>
            </w:pPr>
            <w:r>
              <w:rPr>
                <w:rFonts w:eastAsia="Calibri" w:cs="Calibri"/>
                <w:b/>
                <w:sz w:val="21"/>
                <w:szCs w:val="21"/>
              </w:rPr>
              <w:t>Χαρακτηριστικό</w:t>
            </w:r>
          </w:p>
        </w:tc>
        <w:tc>
          <w:tcPr>
            <w:tcW w:w="3590" w:type="dxa"/>
            <w:tcBorders>
              <w:top w:val="single" w:sz="4" w:space="0" w:color="000000"/>
              <w:left w:val="single" w:sz="4" w:space="0" w:color="000000"/>
              <w:bottom w:val="single" w:sz="4" w:space="0" w:color="000000"/>
            </w:tcBorders>
            <w:shd w:fill="F2F2F2" w:val="clear"/>
          </w:tcPr>
          <w:p>
            <w:pPr>
              <w:pStyle w:val="Style25"/>
              <w:widowControl w:val="false"/>
              <w:tabs>
                <w:tab w:val="clear" w:pos="720"/>
                <w:tab w:val="left" w:pos="-540" w:leader="none"/>
              </w:tabs>
              <w:spacing w:before="0" w:after="240"/>
              <w:jc w:val="left"/>
              <w:rPr>
                <w:rFonts w:ascii="Calibri" w:hAnsi="Calibri" w:eastAsia="Calibri" w:cs="Calibri"/>
                <w:b/>
                <w:b/>
                <w:sz w:val="21"/>
                <w:szCs w:val="21"/>
              </w:rPr>
            </w:pPr>
            <w:r>
              <w:rPr>
                <w:rFonts w:eastAsia="Calibri" w:cs="Calibri"/>
                <w:b/>
                <w:sz w:val="21"/>
                <w:szCs w:val="21"/>
              </w:rPr>
              <w:t>Απαίτηση</w:t>
            </w:r>
          </w:p>
        </w:tc>
        <w:tc>
          <w:tcPr>
            <w:tcW w:w="2586" w:type="dxa"/>
            <w:tcBorders>
              <w:top w:val="single" w:sz="4" w:space="0" w:color="000000"/>
              <w:left w:val="single" w:sz="4" w:space="0" w:color="000000"/>
              <w:bottom w:val="single" w:sz="4" w:space="0" w:color="000000"/>
              <w:right w:val="single" w:sz="4" w:space="0" w:color="000000"/>
            </w:tcBorders>
            <w:shd w:fill="F2F2F2" w:val="clear"/>
          </w:tcPr>
          <w:p>
            <w:pPr>
              <w:pStyle w:val="Style25"/>
              <w:widowControl w:val="false"/>
              <w:tabs>
                <w:tab w:val="clear" w:pos="720"/>
                <w:tab w:val="left" w:pos="-540" w:leader="none"/>
              </w:tabs>
              <w:spacing w:before="0" w:after="240"/>
              <w:jc w:val="left"/>
              <w:rPr>
                <w:rFonts w:ascii="Calibri" w:hAnsi="Calibri" w:eastAsia="Calibri" w:cs="Calibri"/>
                <w:b/>
                <w:b/>
                <w:sz w:val="21"/>
                <w:szCs w:val="21"/>
              </w:rPr>
            </w:pPr>
            <w:r>
              <w:rPr>
                <w:rFonts w:eastAsia="Calibri" w:cs="Calibri"/>
                <w:b/>
                <w:sz w:val="21"/>
                <w:szCs w:val="21"/>
              </w:rPr>
              <w:t>Παρατηρήσεις</w:t>
            </w:r>
          </w:p>
        </w:tc>
      </w:tr>
      <w:tr>
        <w:trPr/>
        <w:tc>
          <w:tcPr>
            <w:tcW w:w="3240" w:type="dxa"/>
            <w:tcBorders>
              <w:top w:val="single" w:sz="4" w:space="0" w:color="000000"/>
              <w:left w:val="single" w:sz="4" w:space="0" w:color="000000"/>
              <w:bottom w:val="single" w:sz="4" w:space="0" w:color="000000"/>
            </w:tcBorders>
          </w:tcPr>
          <w:p>
            <w:pPr>
              <w:pStyle w:val="Style25"/>
              <w:widowControl w:val="false"/>
              <w:tabs>
                <w:tab w:val="clear" w:pos="720"/>
                <w:tab w:val="left" w:pos="-540" w:leader="none"/>
              </w:tabs>
              <w:spacing w:before="0" w:after="240"/>
              <w:jc w:val="left"/>
              <w:rPr>
                <w:rFonts w:ascii="Calibri" w:hAnsi="Calibri" w:eastAsia="Calibri" w:cs="Calibri"/>
                <w:sz w:val="21"/>
                <w:szCs w:val="21"/>
              </w:rPr>
            </w:pPr>
            <w:r>
              <w:rPr>
                <w:rFonts w:eastAsia="Calibri" w:cs="Calibri"/>
                <w:sz w:val="21"/>
                <w:szCs w:val="21"/>
              </w:rPr>
              <w:t>Χωρητικότητα πλύσης</w:t>
            </w:r>
          </w:p>
        </w:tc>
        <w:tc>
          <w:tcPr>
            <w:tcW w:w="3590" w:type="dxa"/>
            <w:tcBorders>
              <w:top w:val="single" w:sz="4" w:space="0" w:color="000000"/>
              <w:left w:val="single" w:sz="4" w:space="0" w:color="000000"/>
              <w:bottom w:val="single" w:sz="4" w:space="0" w:color="000000"/>
            </w:tcBorders>
          </w:tcPr>
          <w:p>
            <w:pPr>
              <w:pStyle w:val="Style25"/>
              <w:widowControl w:val="false"/>
              <w:tabs>
                <w:tab w:val="clear" w:pos="720"/>
                <w:tab w:val="left" w:pos="-540" w:leader="none"/>
              </w:tabs>
              <w:spacing w:before="0" w:after="240"/>
              <w:jc w:val="left"/>
              <w:rPr>
                <w:sz w:val="21"/>
                <w:szCs w:val="21"/>
              </w:rPr>
            </w:pPr>
            <w:r>
              <w:rPr>
                <w:rFonts w:eastAsia="Calibri" w:cs="Calibri"/>
                <w:sz w:val="21"/>
                <w:szCs w:val="21"/>
              </w:rPr>
              <w:t>Έως 8</w:t>
            </w:r>
            <w:r>
              <w:rPr>
                <w:rFonts w:eastAsia="Calibri" w:cs="Calibri"/>
                <w:sz w:val="21"/>
                <w:szCs w:val="21"/>
                <w:lang w:val="en-US"/>
              </w:rPr>
              <w:t>Kg</w:t>
            </w:r>
          </w:p>
        </w:tc>
        <w:tc>
          <w:tcPr>
            <w:tcW w:w="2586" w:type="dxa"/>
            <w:tcBorders>
              <w:top w:val="single" w:sz="4" w:space="0" w:color="000000"/>
              <w:left w:val="single" w:sz="4" w:space="0" w:color="000000"/>
              <w:bottom w:val="single" w:sz="4" w:space="0" w:color="000000"/>
              <w:right w:val="single" w:sz="4" w:space="0" w:color="000000"/>
            </w:tcBorders>
          </w:tcPr>
          <w:p>
            <w:pPr>
              <w:pStyle w:val="Style25"/>
              <w:widowControl w:val="false"/>
              <w:tabs>
                <w:tab w:val="clear" w:pos="720"/>
                <w:tab w:val="left" w:pos="-540" w:leader="none"/>
              </w:tabs>
              <w:snapToGrid w:val="false"/>
              <w:spacing w:before="0" w:after="240"/>
              <w:jc w:val="left"/>
              <w:rPr>
                <w:rFonts w:ascii="Calibri" w:hAnsi="Calibri" w:cs="Calibri"/>
                <w:sz w:val="21"/>
                <w:szCs w:val="21"/>
              </w:rPr>
            </w:pPr>
            <w:r>
              <w:rPr>
                <w:rFonts w:cs="Calibri"/>
                <w:sz w:val="21"/>
                <w:szCs w:val="21"/>
              </w:rPr>
            </w:r>
          </w:p>
        </w:tc>
      </w:tr>
      <w:tr>
        <w:trPr/>
        <w:tc>
          <w:tcPr>
            <w:tcW w:w="3240" w:type="dxa"/>
            <w:tcBorders>
              <w:top w:val="single" w:sz="4" w:space="0" w:color="000000"/>
              <w:left w:val="single" w:sz="4" w:space="0" w:color="000000"/>
              <w:bottom w:val="single" w:sz="4" w:space="0" w:color="000000"/>
            </w:tcBorders>
          </w:tcPr>
          <w:p>
            <w:pPr>
              <w:pStyle w:val="Style25"/>
              <w:widowControl w:val="false"/>
              <w:tabs>
                <w:tab w:val="clear" w:pos="720"/>
                <w:tab w:val="left" w:pos="-540" w:leader="none"/>
              </w:tabs>
              <w:spacing w:before="0" w:after="240"/>
              <w:jc w:val="left"/>
              <w:rPr>
                <w:rFonts w:ascii="Calibri" w:hAnsi="Calibri" w:eastAsia="Calibri" w:cs="Calibri"/>
                <w:sz w:val="21"/>
                <w:szCs w:val="21"/>
              </w:rPr>
            </w:pPr>
            <w:r>
              <w:rPr>
                <w:rFonts w:eastAsia="Calibri" w:cs="Calibri"/>
                <w:sz w:val="21"/>
                <w:szCs w:val="21"/>
              </w:rPr>
              <w:t>Ταχύτητα στυψίματος</w:t>
            </w:r>
          </w:p>
        </w:tc>
        <w:tc>
          <w:tcPr>
            <w:tcW w:w="3590" w:type="dxa"/>
            <w:tcBorders>
              <w:top w:val="single" w:sz="4" w:space="0" w:color="000000"/>
              <w:left w:val="single" w:sz="4" w:space="0" w:color="000000"/>
              <w:bottom w:val="single" w:sz="4" w:space="0" w:color="000000"/>
            </w:tcBorders>
          </w:tcPr>
          <w:p>
            <w:pPr>
              <w:pStyle w:val="Style25"/>
              <w:widowControl w:val="false"/>
              <w:tabs>
                <w:tab w:val="clear" w:pos="720"/>
                <w:tab w:val="left" w:pos="-540" w:leader="none"/>
              </w:tabs>
              <w:spacing w:before="0" w:after="240"/>
              <w:jc w:val="left"/>
              <w:rPr>
                <w:sz w:val="21"/>
                <w:szCs w:val="21"/>
              </w:rPr>
            </w:pPr>
            <w:r>
              <w:rPr>
                <w:rFonts w:eastAsia="Calibri" w:cs="Calibri"/>
                <w:sz w:val="21"/>
                <w:szCs w:val="21"/>
              </w:rPr>
              <w:t>Έως 1400 στροφές (</w:t>
            </w:r>
            <w:r>
              <w:rPr>
                <w:rFonts w:eastAsia="Calibri" w:cs="Calibri"/>
                <w:sz w:val="21"/>
                <w:szCs w:val="21"/>
                <w:lang w:val="en-US"/>
              </w:rPr>
              <w:t>Rpm</w:t>
            </w:r>
            <w:r>
              <w:rPr>
                <w:rFonts w:eastAsia="Calibri" w:cs="Calibri"/>
                <w:sz w:val="21"/>
                <w:szCs w:val="21"/>
              </w:rPr>
              <w:t>)</w:t>
            </w:r>
          </w:p>
        </w:tc>
        <w:tc>
          <w:tcPr>
            <w:tcW w:w="2586" w:type="dxa"/>
            <w:tcBorders>
              <w:top w:val="single" w:sz="4" w:space="0" w:color="000000"/>
              <w:left w:val="single" w:sz="4" w:space="0" w:color="000000"/>
              <w:bottom w:val="single" w:sz="4" w:space="0" w:color="000000"/>
              <w:right w:val="single" w:sz="4" w:space="0" w:color="000000"/>
            </w:tcBorders>
          </w:tcPr>
          <w:p>
            <w:pPr>
              <w:pStyle w:val="Style25"/>
              <w:widowControl w:val="false"/>
              <w:tabs>
                <w:tab w:val="clear" w:pos="720"/>
                <w:tab w:val="left" w:pos="-540" w:leader="none"/>
              </w:tabs>
              <w:snapToGrid w:val="false"/>
              <w:spacing w:before="0" w:after="240"/>
              <w:jc w:val="left"/>
              <w:rPr>
                <w:rFonts w:ascii="Calibri" w:hAnsi="Calibri" w:eastAsia="Calibri" w:cs="Calibri"/>
                <w:sz w:val="21"/>
                <w:szCs w:val="21"/>
              </w:rPr>
            </w:pPr>
            <w:r>
              <w:rPr>
                <w:rFonts w:eastAsia="Calibri" w:cs="Calibri"/>
                <w:sz w:val="21"/>
                <w:szCs w:val="21"/>
              </w:rPr>
            </w:r>
          </w:p>
        </w:tc>
      </w:tr>
      <w:tr>
        <w:trPr/>
        <w:tc>
          <w:tcPr>
            <w:tcW w:w="3240" w:type="dxa"/>
            <w:tcBorders>
              <w:top w:val="single" w:sz="4" w:space="0" w:color="000000"/>
              <w:left w:val="single" w:sz="4" w:space="0" w:color="000000"/>
              <w:bottom w:val="single" w:sz="4" w:space="0" w:color="000000"/>
            </w:tcBorders>
          </w:tcPr>
          <w:p>
            <w:pPr>
              <w:pStyle w:val="Style25"/>
              <w:widowControl w:val="false"/>
              <w:tabs>
                <w:tab w:val="clear" w:pos="720"/>
                <w:tab w:val="left" w:pos="-540" w:leader="none"/>
              </w:tabs>
              <w:spacing w:before="0" w:after="240"/>
              <w:jc w:val="left"/>
              <w:rPr>
                <w:rFonts w:ascii="Calibri" w:hAnsi="Calibri" w:eastAsia="Calibri" w:cs="Calibri"/>
                <w:sz w:val="21"/>
                <w:szCs w:val="21"/>
              </w:rPr>
            </w:pPr>
            <w:r>
              <w:rPr>
                <w:rFonts w:eastAsia="Calibri" w:cs="Calibri"/>
                <w:sz w:val="21"/>
                <w:szCs w:val="21"/>
              </w:rPr>
              <w:t>Ενεργειακή κλάση</w:t>
            </w:r>
          </w:p>
        </w:tc>
        <w:tc>
          <w:tcPr>
            <w:tcW w:w="3590" w:type="dxa"/>
            <w:tcBorders>
              <w:top w:val="single" w:sz="4" w:space="0" w:color="000000"/>
              <w:left w:val="single" w:sz="4" w:space="0" w:color="000000"/>
              <w:bottom w:val="single" w:sz="4" w:space="0" w:color="000000"/>
            </w:tcBorders>
          </w:tcPr>
          <w:p>
            <w:pPr>
              <w:pStyle w:val="Style25"/>
              <w:widowControl w:val="false"/>
              <w:tabs>
                <w:tab w:val="clear" w:pos="720"/>
                <w:tab w:val="left" w:pos="-540" w:leader="none"/>
              </w:tabs>
              <w:spacing w:before="0" w:after="240"/>
              <w:jc w:val="left"/>
              <w:rPr>
                <w:rFonts w:ascii="Calibri" w:hAnsi="Calibri" w:eastAsia="Calibri" w:cs="Calibri"/>
                <w:sz w:val="21"/>
                <w:szCs w:val="21"/>
              </w:rPr>
            </w:pPr>
            <w:r>
              <w:rPr>
                <w:rFonts w:eastAsia="Calibri" w:cs="Calibri"/>
                <w:sz w:val="21"/>
                <w:szCs w:val="21"/>
              </w:rPr>
              <w:t>Τουλάχιστον Α++</w:t>
            </w:r>
          </w:p>
        </w:tc>
        <w:tc>
          <w:tcPr>
            <w:tcW w:w="2586" w:type="dxa"/>
            <w:tcBorders>
              <w:top w:val="single" w:sz="4" w:space="0" w:color="000000"/>
              <w:left w:val="single" w:sz="4" w:space="0" w:color="000000"/>
              <w:bottom w:val="single" w:sz="4" w:space="0" w:color="000000"/>
              <w:right w:val="single" w:sz="4" w:space="0" w:color="000000"/>
            </w:tcBorders>
          </w:tcPr>
          <w:p>
            <w:pPr>
              <w:pStyle w:val="Style25"/>
              <w:widowControl w:val="false"/>
              <w:tabs>
                <w:tab w:val="clear" w:pos="720"/>
                <w:tab w:val="left" w:pos="-540" w:leader="none"/>
              </w:tabs>
              <w:snapToGrid w:val="false"/>
              <w:spacing w:before="0" w:after="240"/>
              <w:jc w:val="left"/>
              <w:rPr>
                <w:rFonts w:ascii="Calibri" w:hAnsi="Calibri" w:eastAsia="Calibri" w:cs="Calibri"/>
                <w:sz w:val="21"/>
                <w:szCs w:val="21"/>
                <w:lang w:val="en-US"/>
              </w:rPr>
            </w:pPr>
            <w:r>
              <w:rPr>
                <w:rFonts w:eastAsia="Calibri" w:cs="Calibri"/>
                <w:sz w:val="21"/>
                <w:szCs w:val="21"/>
                <w:lang w:val="en-US"/>
              </w:rPr>
            </w:r>
          </w:p>
        </w:tc>
      </w:tr>
      <w:tr>
        <w:trPr/>
        <w:tc>
          <w:tcPr>
            <w:tcW w:w="3240" w:type="dxa"/>
            <w:tcBorders>
              <w:top w:val="single" w:sz="4" w:space="0" w:color="000000"/>
              <w:left w:val="single" w:sz="4" w:space="0" w:color="000000"/>
              <w:bottom w:val="single" w:sz="4" w:space="0" w:color="000000"/>
            </w:tcBorders>
          </w:tcPr>
          <w:p>
            <w:pPr>
              <w:pStyle w:val="Style25"/>
              <w:widowControl w:val="false"/>
              <w:spacing w:before="0" w:after="240"/>
              <w:jc w:val="left"/>
              <w:rPr>
                <w:rFonts w:ascii="Calibri" w:hAnsi="Calibri" w:eastAsia="Calibri" w:cs="Calibri"/>
                <w:sz w:val="21"/>
                <w:szCs w:val="21"/>
              </w:rPr>
            </w:pPr>
            <w:r>
              <w:rPr>
                <w:rFonts w:eastAsia="Calibri" w:cs="Calibri"/>
                <w:sz w:val="21"/>
                <w:szCs w:val="21"/>
              </w:rPr>
              <w:t>Κλείδωμα ασφαλείας</w:t>
            </w:r>
          </w:p>
        </w:tc>
        <w:tc>
          <w:tcPr>
            <w:tcW w:w="3590" w:type="dxa"/>
            <w:tcBorders>
              <w:top w:val="single" w:sz="4" w:space="0" w:color="000000"/>
              <w:left w:val="single" w:sz="4" w:space="0" w:color="000000"/>
              <w:bottom w:val="single" w:sz="4" w:space="0" w:color="000000"/>
            </w:tcBorders>
          </w:tcPr>
          <w:p>
            <w:pPr>
              <w:pStyle w:val="Style25"/>
              <w:widowControl w:val="false"/>
              <w:spacing w:before="0" w:after="240"/>
              <w:jc w:val="left"/>
              <w:rPr>
                <w:rFonts w:ascii="Calibri" w:hAnsi="Calibri" w:eastAsia="Calibri" w:cs="Calibri"/>
                <w:sz w:val="21"/>
                <w:szCs w:val="21"/>
              </w:rPr>
            </w:pPr>
            <w:r>
              <w:rPr>
                <w:rFonts w:eastAsia="Calibri" w:cs="Calibri"/>
                <w:sz w:val="21"/>
                <w:szCs w:val="21"/>
              </w:rPr>
              <w:t>Ναι</w:t>
            </w:r>
          </w:p>
        </w:tc>
        <w:tc>
          <w:tcPr>
            <w:tcW w:w="2586" w:type="dxa"/>
            <w:tcBorders>
              <w:top w:val="single" w:sz="4" w:space="0" w:color="000000"/>
              <w:left w:val="single" w:sz="4" w:space="0" w:color="000000"/>
              <w:bottom w:val="single" w:sz="4" w:space="0" w:color="000000"/>
              <w:right w:val="single" w:sz="4" w:space="0" w:color="000000"/>
            </w:tcBorders>
          </w:tcPr>
          <w:p>
            <w:pPr>
              <w:pStyle w:val="Style25"/>
              <w:widowControl w:val="false"/>
              <w:snapToGrid w:val="false"/>
              <w:spacing w:before="0" w:after="240"/>
              <w:jc w:val="left"/>
              <w:rPr>
                <w:rFonts w:ascii="Calibri" w:hAnsi="Calibri" w:eastAsia="Calibri" w:cs="Calibri"/>
                <w:sz w:val="21"/>
                <w:szCs w:val="21"/>
                <w:lang w:val="en-US"/>
              </w:rPr>
            </w:pPr>
            <w:r>
              <w:rPr>
                <w:rFonts w:eastAsia="Calibri" w:cs="Calibri"/>
                <w:sz w:val="21"/>
                <w:szCs w:val="21"/>
                <w:lang w:val="en-US"/>
              </w:rPr>
            </w:r>
          </w:p>
        </w:tc>
      </w:tr>
      <w:tr>
        <w:trPr/>
        <w:tc>
          <w:tcPr>
            <w:tcW w:w="3240" w:type="dxa"/>
            <w:tcBorders>
              <w:top w:val="single" w:sz="4" w:space="0" w:color="000000"/>
              <w:left w:val="single" w:sz="4" w:space="0" w:color="000000"/>
              <w:bottom w:val="single" w:sz="4" w:space="0" w:color="000000"/>
            </w:tcBorders>
          </w:tcPr>
          <w:p>
            <w:pPr>
              <w:pStyle w:val="Style25"/>
              <w:widowControl w:val="false"/>
              <w:spacing w:before="0" w:after="240"/>
              <w:jc w:val="left"/>
              <w:rPr>
                <w:rFonts w:ascii="Calibri" w:hAnsi="Calibri" w:eastAsia="Calibri" w:cs="Calibri"/>
                <w:sz w:val="21"/>
                <w:szCs w:val="21"/>
              </w:rPr>
            </w:pPr>
            <w:r>
              <w:rPr>
                <w:rFonts w:eastAsia="Calibri" w:cs="Calibri"/>
                <w:sz w:val="21"/>
                <w:szCs w:val="21"/>
              </w:rPr>
              <w:t>Πλάτος</w:t>
            </w:r>
          </w:p>
        </w:tc>
        <w:tc>
          <w:tcPr>
            <w:tcW w:w="3590" w:type="dxa"/>
            <w:tcBorders>
              <w:top w:val="single" w:sz="4" w:space="0" w:color="000000"/>
              <w:left w:val="single" w:sz="4" w:space="0" w:color="000000"/>
              <w:bottom w:val="single" w:sz="4" w:space="0" w:color="000000"/>
            </w:tcBorders>
          </w:tcPr>
          <w:p>
            <w:pPr>
              <w:pStyle w:val="Style25"/>
              <w:widowControl w:val="false"/>
              <w:spacing w:before="0" w:after="240"/>
              <w:jc w:val="left"/>
              <w:rPr>
                <w:sz w:val="21"/>
                <w:szCs w:val="21"/>
              </w:rPr>
            </w:pPr>
            <w:r>
              <w:rPr>
                <w:rFonts w:eastAsia="Calibri" w:cs="Calibri"/>
                <w:sz w:val="21"/>
                <w:szCs w:val="21"/>
              </w:rPr>
              <w:t>Έως 60</w:t>
            </w:r>
            <w:r>
              <w:rPr>
                <w:rFonts w:eastAsia="Calibri" w:cs="Calibri"/>
                <w:sz w:val="21"/>
                <w:szCs w:val="21"/>
                <w:lang w:val="en-US"/>
              </w:rPr>
              <w:t>cm</w:t>
            </w:r>
          </w:p>
        </w:tc>
        <w:tc>
          <w:tcPr>
            <w:tcW w:w="2586" w:type="dxa"/>
            <w:tcBorders>
              <w:top w:val="single" w:sz="4" w:space="0" w:color="000000"/>
              <w:left w:val="single" w:sz="4" w:space="0" w:color="000000"/>
              <w:bottom w:val="single" w:sz="4" w:space="0" w:color="000000"/>
              <w:right w:val="single" w:sz="4" w:space="0" w:color="000000"/>
            </w:tcBorders>
          </w:tcPr>
          <w:p>
            <w:pPr>
              <w:pStyle w:val="Style25"/>
              <w:widowControl w:val="false"/>
              <w:snapToGrid w:val="false"/>
              <w:spacing w:before="0" w:after="240"/>
              <w:jc w:val="left"/>
              <w:rPr>
                <w:rFonts w:ascii="Calibri" w:hAnsi="Calibri" w:eastAsia="Calibri" w:cs="Calibri"/>
                <w:sz w:val="21"/>
                <w:szCs w:val="21"/>
              </w:rPr>
            </w:pPr>
            <w:r>
              <w:rPr>
                <w:rFonts w:eastAsia="Calibri" w:cs="Calibri"/>
                <w:sz w:val="21"/>
                <w:szCs w:val="21"/>
              </w:rPr>
            </w:r>
          </w:p>
        </w:tc>
      </w:tr>
      <w:tr>
        <w:trPr/>
        <w:tc>
          <w:tcPr>
            <w:tcW w:w="3240" w:type="dxa"/>
            <w:tcBorders>
              <w:top w:val="single" w:sz="4" w:space="0" w:color="000000"/>
              <w:left w:val="single" w:sz="4" w:space="0" w:color="000000"/>
              <w:bottom w:val="single" w:sz="4" w:space="0" w:color="000000"/>
            </w:tcBorders>
          </w:tcPr>
          <w:p>
            <w:pPr>
              <w:pStyle w:val="Style25"/>
              <w:widowControl w:val="false"/>
              <w:tabs>
                <w:tab w:val="clear" w:pos="720"/>
                <w:tab w:val="left" w:pos="-540" w:leader="none"/>
              </w:tabs>
              <w:spacing w:before="0" w:after="240"/>
              <w:jc w:val="left"/>
              <w:rPr>
                <w:rFonts w:ascii="Calibri" w:hAnsi="Calibri" w:eastAsia="Calibri" w:cs="Calibri"/>
                <w:sz w:val="21"/>
                <w:szCs w:val="21"/>
              </w:rPr>
            </w:pPr>
            <w:r>
              <w:rPr>
                <w:rFonts w:eastAsia="Calibri" w:cs="Calibri"/>
                <w:sz w:val="21"/>
                <w:szCs w:val="21"/>
              </w:rPr>
              <w:t>Χρώμα</w:t>
            </w:r>
          </w:p>
        </w:tc>
        <w:tc>
          <w:tcPr>
            <w:tcW w:w="3590" w:type="dxa"/>
            <w:tcBorders>
              <w:top w:val="single" w:sz="4" w:space="0" w:color="000000"/>
              <w:left w:val="single" w:sz="4" w:space="0" w:color="000000"/>
              <w:bottom w:val="single" w:sz="4" w:space="0" w:color="000000"/>
            </w:tcBorders>
          </w:tcPr>
          <w:p>
            <w:pPr>
              <w:pStyle w:val="Style25"/>
              <w:widowControl w:val="false"/>
              <w:tabs>
                <w:tab w:val="clear" w:pos="720"/>
                <w:tab w:val="left" w:pos="-540" w:leader="none"/>
              </w:tabs>
              <w:spacing w:before="0" w:after="240"/>
              <w:jc w:val="left"/>
              <w:rPr>
                <w:rFonts w:ascii="Calibri" w:hAnsi="Calibri" w:eastAsia="Calibri" w:cs="Calibri"/>
                <w:sz w:val="21"/>
                <w:szCs w:val="21"/>
              </w:rPr>
            </w:pPr>
            <w:r>
              <w:rPr>
                <w:rFonts w:eastAsia="Calibri" w:cs="Calibri"/>
                <w:sz w:val="21"/>
                <w:szCs w:val="21"/>
              </w:rPr>
              <w:t>Λευκό</w:t>
            </w:r>
          </w:p>
        </w:tc>
        <w:tc>
          <w:tcPr>
            <w:tcW w:w="2586" w:type="dxa"/>
            <w:tcBorders>
              <w:top w:val="single" w:sz="4" w:space="0" w:color="000000"/>
              <w:left w:val="single" w:sz="4" w:space="0" w:color="000000"/>
              <w:bottom w:val="single" w:sz="4" w:space="0" w:color="000000"/>
              <w:right w:val="single" w:sz="4" w:space="0" w:color="000000"/>
            </w:tcBorders>
          </w:tcPr>
          <w:p>
            <w:pPr>
              <w:pStyle w:val="Style25"/>
              <w:widowControl w:val="false"/>
              <w:tabs>
                <w:tab w:val="clear" w:pos="720"/>
                <w:tab w:val="left" w:pos="-540" w:leader="none"/>
              </w:tabs>
              <w:snapToGrid w:val="false"/>
              <w:spacing w:before="0" w:after="240"/>
              <w:jc w:val="left"/>
              <w:rPr>
                <w:rFonts w:ascii="Calibri" w:hAnsi="Calibri" w:eastAsia="Calibri" w:cs="Calibri"/>
                <w:sz w:val="21"/>
                <w:szCs w:val="21"/>
              </w:rPr>
            </w:pPr>
            <w:r>
              <w:rPr>
                <w:rFonts w:eastAsia="Calibri" w:cs="Calibri"/>
                <w:sz w:val="21"/>
                <w:szCs w:val="21"/>
              </w:rPr>
            </w:r>
          </w:p>
        </w:tc>
      </w:tr>
      <w:tr>
        <w:trPr/>
        <w:tc>
          <w:tcPr>
            <w:tcW w:w="3240" w:type="dxa"/>
            <w:tcBorders>
              <w:top w:val="single" w:sz="4" w:space="0" w:color="000000"/>
              <w:left w:val="single" w:sz="4" w:space="0" w:color="000000"/>
              <w:bottom w:val="single" w:sz="4" w:space="0" w:color="000000"/>
            </w:tcBorders>
          </w:tcPr>
          <w:p>
            <w:pPr>
              <w:pStyle w:val="Style25"/>
              <w:widowControl w:val="false"/>
              <w:tabs>
                <w:tab w:val="clear" w:pos="720"/>
                <w:tab w:val="left" w:pos="-540" w:leader="none"/>
              </w:tabs>
              <w:spacing w:before="0" w:after="240"/>
              <w:jc w:val="left"/>
              <w:rPr>
                <w:rFonts w:ascii="Calibri" w:hAnsi="Calibri" w:eastAsia="Calibri" w:cs="Calibri"/>
                <w:sz w:val="21"/>
                <w:szCs w:val="21"/>
              </w:rPr>
            </w:pPr>
            <w:r>
              <w:rPr>
                <w:rFonts w:eastAsia="Calibri" w:cs="Calibri"/>
                <w:sz w:val="21"/>
                <w:szCs w:val="21"/>
              </w:rPr>
              <w:t>Εγγύηση</w:t>
            </w:r>
          </w:p>
        </w:tc>
        <w:tc>
          <w:tcPr>
            <w:tcW w:w="3590" w:type="dxa"/>
            <w:tcBorders>
              <w:top w:val="single" w:sz="4" w:space="0" w:color="000000"/>
              <w:left w:val="single" w:sz="4" w:space="0" w:color="000000"/>
              <w:bottom w:val="single" w:sz="4" w:space="0" w:color="000000"/>
            </w:tcBorders>
          </w:tcPr>
          <w:p>
            <w:pPr>
              <w:pStyle w:val="Style25"/>
              <w:widowControl w:val="false"/>
              <w:tabs>
                <w:tab w:val="clear" w:pos="720"/>
                <w:tab w:val="left" w:pos="-540" w:leader="none"/>
              </w:tabs>
              <w:spacing w:before="0" w:after="240"/>
              <w:jc w:val="left"/>
              <w:rPr>
                <w:rFonts w:ascii="Calibri" w:hAnsi="Calibri" w:eastAsia="Calibri" w:cs="Calibri"/>
                <w:sz w:val="21"/>
                <w:szCs w:val="21"/>
              </w:rPr>
            </w:pPr>
            <w:r>
              <w:rPr>
                <w:rFonts w:eastAsia="Calibri" w:cs="Calibri"/>
                <w:sz w:val="21"/>
                <w:szCs w:val="21"/>
              </w:rPr>
              <w:t>&gt;=2 έτη</w:t>
            </w:r>
          </w:p>
        </w:tc>
        <w:tc>
          <w:tcPr>
            <w:tcW w:w="2586" w:type="dxa"/>
            <w:tcBorders>
              <w:top w:val="single" w:sz="4" w:space="0" w:color="000000"/>
              <w:left w:val="single" w:sz="4" w:space="0" w:color="000000"/>
              <w:bottom w:val="single" w:sz="4" w:space="0" w:color="000000"/>
              <w:right w:val="single" w:sz="4" w:space="0" w:color="000000"/>
            </w:tcBorders>
          </w:tcPr>
          <w:p>
            <w:pPr>
              <w:pStyle w:val="Style25"/>
              <w:widowControl w:val="false"/>
              <w:tabs>
                <w:tab w:val="clear" w:pos="720"/>
                <w:tab w:val="left" w:pos="-540" w:leader="none"/>
              </w:tabs>
              <w:snapToGrid w:val="false"/>
              <w:spacing w:before="0" w:after="240"/>
              <w:jc w:val="left"/>
              <w:rPr>
                <w:rFonts w:ascii="Calibri" w:hAnsi="Calibri" w:eastAsia="Calibri" w:cs="Calibri"/>
                <w:sz w:val="21"/>
                <w:szCs w:val="21"/>
                <w:lang w:val="en-US"/>
              </w:rPr>
            </w:pPr>
            <w:r>
              <w:rPr>
                <w:rFonts w:eastAsia="Calibri" w:cs="Calibri"/>
                <w:sz w:val="21"/>
                <w:szCs w:val="21"/>
                <w:lang w:val="en-US"/>
              </w:rPr>
            </w:r>
          </w:p>
        </w:tc>
      </w:tr>
    </w:tbl>
    <w:p>
      <w:pPr>
        <w:pStyle w:val="Normal"/>
        <w:ind w:left="1440" w:hanging="0"/>
        <w:rPr>
          <w:rFonts w:ascii="Calibri" w:hAnsi="Calibri" w:eastAsia="Calibri" w:cs="Calibri"/>
          <w:b/>
          <w:b/>
        </w:rPr>
      </w:pPr>
      <w:r>
        <w:rPr>
          <w:rFonts w:eastAsia="Calibri" w:cs="Calibri"/>
          <w:b/>
        </w:rPr>
      </w:r>
    </w:p>
    <w:p>
      <w:pPr>
        <w:pStyle w:val="Style25"/>
        <w:suppressAutoHyphens w:val="false"/>
        <w:ind w:left="1080" w:hanging="0"/>
        <w:rPr>
          <w:rFonts w:ascii="Calibri" w:hAnsi="Calibri" w:eastAsia="Calibri" w:cs="Calibri"/>
          <w:b/>
          <w:b/>
        </w:rPr>
      </w:pPr>
      <w:r>
        <w:rPr>
          <w:rFonts w:eastAsia="Calibri" w:cs="Calibri"/>
          <w:b/>
        </w:rPr>
        <w:t>4. Ψηφιακή τηλεόραση</w:t>
      </w:r>
    </w:p>
    <w:tbl>
      <w:tblPr>
        <w:tblW w:w="9416" w:type="dxa"/>
        <w:jc w:val="left"/>
        <w:tblInd w:w="-65" w:type="dxa"/>
        <w:tblLayout w:type="fixed"/>
        <w:tblCellMar>
          <w:top w:w="0" w:type="dxa"/>
          <w:left w:w="108" w:type="dxa"/>
          <w:bottom w:w="0" w:type="dxa"/>
          <w:right w:w="108" w:type="dxa"/>
        </w:tblCellMar>
      </w:tblPr>
      <w:tblGrid>
        <w:gridCol w:w="3282"/>
        <w:gridCol w:w="3393"/>
        <w:gridCol w:w="2741"/>
      </w:tblGrid>
      <w:tr>
        <w:trPr/>
        <w:tc>
          <w:tcPr>
            <w:tcW w:w="3282" w:type="dxa"/>
            <w:tcBorders>
              <w:top w:val="single" w:sz="4" w:space="0" w:color="000000"/>
              <w:left w:val="single" w:sz="4" w:space="0" w:color="000000"/>
              <w:bottom w:val="single" w:sz="4" w:space="0" w:color="000000"/>
            </w:tcBorders>
            <w:shd w:fill="F2F2F2" w:val="clear"/>
          </w:tcPr>
          <w:p>
            <w:pPr>
              <w:pStyle w:val="Style25"/>
              <w:widowControl w:val="false"/>
              <w:tabs>
                <w:tab w:val="clear" w:pos="720"/>
                <w:tab w:val="left" w:pos="-540" w:leader="none"/>
              </w:tabs>
              <w:spacing w:before="0" w:after="240"/>
              <w:jc w:val="left"/>
              <w:rPr>
                <w:rFonts w:ascii="Calibri" w:hAnsi="Calibri" w:eastAsia="Calibri" w:cs="Calibri"/>
                <w:b/>
                <w:b/>
                <w:sz w:val="21"/>
                <w:szCs w:val="21"/>
              </w:rPr>
            </w:pPr>
            <w:r>
              <w:rPr>
                <w:rFonts w:eastAsia="Calibri" w:cs="Calibri"/>
                <w:b/>
                <w:sz w:val="21"/>
                <w:szCs w:val="21"/>
              </w:rPr>
              <w:t>Χαρακτηριστικό</w:t>
            </w:r>
          </w:p>
        </w:tc>
        <w:tc>
          <w:tcPr>
            <w:tcW w:w="3393" w:type="dxa"/>
            <w:tcBorders>
              <w:top w:val="single" w:sz="4" w:space="0" w:color="000000"/>
              <w:left w:val="single" w:sz="4" w:space="0" w:color="000000"/>
              <w:bottom w:val="single" w:sz="4" w:space="0" w:color="000000"/>
            </w:tcBorders>
            <w:shd w:fill="F2F2F2" w:val="clear"/>
          </w:tcPr>
          <w:p>
            <w:pPr>
              <w:pStyle w:val="Style25"/>
              <w:widowControl w:val="false"/>
              <w:tabs>
                <w:tab w:val="clear" w:pos="720"/>
                <w:tab w:val="left" w:pos="-540" w:leader="none"/>
              </w:tabs>
              <w:spacing w:before="0" w:after="240"/>
              <w:jc w:val="left"/>
              <w:rPr>
                <w:rFonts w:ascii="Calibri" w:hAnsi="Calibri" w:eastAsia="Calibri" w:cs="Calibri"/>
                <w:b/>
                <w:b/>
                <w:sz w:val="21"/>
                <w:szCs w:val="21"/>
              </w:rPr>
            </w:pPr>
            <w:r>
              <w:rPr>
                <w:rFonts w:eastAsia="Calibri" w:cs="Calibri"/>
                <w:b/>
                <w:sz w:val="21"/>
                <w:szCs w:val="21"/>
              </w:rPr>
              <w:t>Απαίτηση</w:t>
            </w:r>
          </w:p>
        </w:tc>
        <w:tc>
          <w:tcPr>
            <w:tcW w:w="2741" w:type="dxa"/>
            <w:tcBorders>
              <w:top w:val="single" w:sz="4" w:space="0" w:color="000000"/>
              <w:left w:val="single" w:sz="4" w:space="0" w:color="000000"/>
              <w:bottom w:val="single" w:sz="4" w:space="0" w:color="000000"/>
              <w:right w:val="single" w:sz="4" w:space="0" w:color="000000"/>
            </w:tcBorders>
            <w:shd w:fill="F2F2F2" w:val="clear"/>
          </w:tcPr>
          <w:p>
            <w:pPr>
              <w:pStyle w:val="Style25"/>
              <w:widowControl w:val="false"/>
              <w:tabs>
                <w:tab w:val="clear" w:pos="720"/>
                <w:tab w:val="left" w:pos="-540" w:leader="none"/>
              </w:tabs>
              <w:spacing w:before="0" w:after="240"/>
              <w:jc w:val="left"/>
              <w:rPr>
                <w:rFonts w:ascii="Calibri" w:hAnsi="Calibri" w:eastAsia="Calibri" w:cs="Calibri"/>
                <w:b/>
                <w:b/>
                <w:sz w:val="21"/>
                <w:szCs w:val="21"/>
              </w:rPr>
            </w:pPr>
            <w:r>
              <w:rPr>
                <w:rFonts w:eastAsia="Calibri" w:cs="Calibri"/>
                <w:b/>
                <w:sz w:val="21"/>
                <w:szCs w:val="21"/>
              </w:rPr>
              <w:t>Παρατηρήσεις</w:t>
            </w:r>
          </w:p>
        </w:tc>
      </w:tr>
      <w:tr>
        <w:trPr/>
        <w:tc>
          <w:tcPr>
            <w:tcW w:w="3282" w:type="dxa"/>
            <w:tcBorders>
              <w:top w:val="single" w:sz="4" w:space="0" w:color="000000"/>
              <w:left w:val="single" w:sz="4" w:space="0" w:color="000000"/>
              <w:bottom w:val="single" w:sz="4" w:space="0" w:color="000000"/>
            </w:tcBorders>
          </w:tcPr>
          <w:p>
            <w:pPr>
              <w:pStyle w:val="Style25"/>
              <w:widowControl w:val="false"/>
              <w:tabs>
                <w:tab w:val="clear" w:pos="720"/>
                <w:tab w:val="left" w:pos="-540" w:leader="none"/>
              </w:tabs>
              <w:spacing w:before="0" w:after="240"/>
              <w:jc w:val="left"/>
              <w:rPr>
                <w:rFonts w:ascii="Calibri" w:hAnsi="Calibri" w:eastAsia="Calibri" w:cs="Calibri"/>
                <w:sz w:val="21"/>
                <w:szCs w:val="21"/>
              </w:rPr>
            </w:pPr>
            <w:r>
              <w:rPr>
                <w:rFonts w:eastAsia="Calibri" w:cs="Calibri"/>
                <w:sz w:val="21"/>
                <w:szCs w:val="21"/>
              </w:rPr>
              <w:t>Διαγώνιος οθόνης</w:t>
            </w:r>
          </w:p>
        </w:tc>
        <w:tc>
          <w:tcPr>
            <w:tcW w:w="3393" w:type="dxa"/>
            <w:tcBorders>
              <w:top w:val="single" w:sz="4" w:space="0" w:color="000000"/>
              <w:left w:val="single" w:sz="4" w:space="0" w:color="000000"/>
              <w:bottom w:val="single" w:sz="4" w:space="0" w:color="000000"/>
            </w:tcBorders>
          </w:tcPr>
          <w:p>
            <w:pPr>
              <w:pStyle w:val="Style25"/>
              <w:widowControl w:val="false"/>
              <w:tabs>
                <w:tab w:val="clear" w:pos="720"/>
                <w:tab w:val="left" w:pos="-540" w:leader="none"/>
              </w:tabs>
              <w:spacing w:before="0" w:after="240"/>
              <w:jc w:val="left"/>
              <w:rPr>
                <w:rFonts w:ascii="Calibri" w:hAnsi="Calibri" w:eastAsia="Calibri" w:cs="Calibri"/>
                <w:sz w:val="21"/>
                <w:szCs w:val="21"/>
              </w:rPr>
            </w:pPr>
            <w:r>
              <w:rPr>
                <w:rFonts w:eastAsia="Calibri" w:cs="Calibri"/>
                <w:sz w:val="21"/>
                <w:szCs w:val="21"/>
              </w:rPr>
              <w:t>32”</w:t>
            </w:r>
          </w:p>
        </w:tc>
        <w:tc>
          <w:tcPr>
            <w:tcW w:w="2741" w:type="dxa"/>
            <w:tcBorders>
              <w:top w:val="single" w:sz="4" w:space="0" w:color="000000"/>
              <w:left w:val="single" w:sz="4" w:space="0" w:color="000000"/>
              <w:bottom w:val="single" w:sz="4" w:space="0" w:color="000000"/>
              <w:right w:val="single" w:sz="4" w:space="0" w:color="000000"/>
            </w:tcBorders>
          </w:tcPr>
          <w:p>
            <w:pPr>
              <w:pStyle w:val="Style25"/>
              <w:widowControl w:val="false"/>
              <w:tabs>
                <w:tab w:val="clear" w:pos="720"/>
                <w:tab w:val="left" w:pos="-540" w:leader="none"/>
              </w:tabs>
              <w:snapToGrid w:val="false"/>
              <w:spacing w:before="0" w:after="240"/>
              <w:jc w:val="left"/>
              <w:rPr>
                <w:rFonts w:ascii="Calibri" w:hAnsi="Calibri" w:eastAsia="Calibri" w:cs="Calibri"/>
                <w:sz w:val="21"/>
                <w:szCs w:val="21"/>
              </w:rPr>
            </w:pPr>
            <w:r>
              <w:rPr>
                <w:rFonts w:eastAsia="Calibri" w:cs="Calibri"/>
                <w:sz w:val="21"/>
                <w:szCs w:val="21"/>
              </w:rPr>
              <w:t>μέγεθος</w:t>
            </w:r>
          </w:p>
        </w:tc>
      </w:tr>
      <w:tr>
        <w:trPr/>
        <w:tc>
          <w:tcPr>
            <w:tcW w:w="3282" w:type="dxa"/>
            <w:tcBorders>
              <w:top w:val="single" w:sz="4" w:space="0" w:color="000000"/>
              <w:left w:val="single" w:sz="4" w:space="0" w:color="000000"/>
              <w:bottom w:val="single" w:sz="4" w:space="0" w:color="000000"/>
            </w:tcBorders>
          </w:tcPr>
          <w:p>
            <w:pPr>
              <w:pStyle w:val="Style25"/>
              <w:widowControl w:val="false"/>
              <w:tabs>
                <w:tab w:val="clear" w:pos="720"/>
                <w:tab w:val="left" w:pos="-540" w:leader="none"/>
              </w:tabs>
              <w:spacing w:before="0" w:after="240"/>
              <w:jc w:val="left"/>
              <w:rPr>
                <w:rFonts w:ascii="Calibri" w:hAnsi="Calibri" w:eastAsia="Calibri" w:cs="Calibri"/>
                <w:sz w:val="21"/>
                <w:szCs w:val="21"/>
              </w:rPr>
            </w:pPr>
            <w:r>
              <w:rPr>
                <w:rFonts w:eastAsia="Calibri" w:cs="Calibri"/>
                <w:sz w:val="21"/>
                <w:szCs w:val="21"/>
              </w:rPr>
              <w:t>Ευκρίνεια</w:t>
            </w:r>
          </w:p>
        </w:tc>
        <w:tc>
          <w:tcPr>
            <w:tcW w:w="3393" w:type="dxa"/>
            <w:tcBorders>
              <w:top w:val="single" w:sz="4" w:space="0" w:color="000000"/>
              <w:left w:val="single" w:sz="4" w:space="0" w:color="000000"/>
              <w:bottom w:val="single" w:sz="4" w:space="0" w:color="000000"/>
            </w:tcBorders>
          </w:tcPr>
          <w:p>
            <w:pPr>
              <w:pStyle w:val="Style25"/>
              <w:widowControl w:val="false"/>
              <w:tabs>
                <w:tab w:val="clear" w:pos="720"/>
                <w:tab w:val="left" w:pos="-540" w:leader="none"/>
              </w:tabs>
              <w:spacing w:before="0" w:after="240"/>
              <w:jc w:val="left"/>
              <w:rPr>
                <w:rFonts w:ascii="Calibri" w:hAnsi="Calibri" w:eastAsia="Calibri" w:cs="Calibri"/>
                <w:sz w:val="21"/>
                <w:szCs w:val="21"/>
                <w:lang w:val="en-US"/>
              </w:rPr>
            </w:pPr>
            <w:r>
              <w:rPr>
                <w:rFonts w:eastAsia="Calibri" w:cs="Calibri"/>
                <w:sz w:val="21"/>
                <w:szCs w:val="21"/>
                <w:lang w:val="en-US"/>
              </w:rPr>
              <w:t>Full HD</w:t>
            </w:r>
          </w:p>
        </w:tc>
        <w:tc>
          <w:tcPr>
            <w:tcW w:w="2741" w:type="dxa"/>
            <w:tcBorders>
              <w:top w:val="single" w:sz="4" w:space="0" w:color="000000"/>
              <w:left w:val="single" w:sz="4" w:space="0" w:color="000000"/>
              <w:bottom w:val="single" w:sz="4" w:space="0" w:color="000000"/>
              <w:right w:val="single" w:sz="4" w:space="0" w:color="000000"/>
            </w:tcBorders>
          </w:tcPr>
          <w:p>
            <w:pPr>
              <w:pStyle w:val="Style25"/>
              <w:widowControl w:val="false"/>
              <w:tabs>
                <w:tab w:val="clear" w:pos="720"/>
                <w:tab w:val="left" w:pos="-540" w:leader="none"/>
              </w:tabs>
              <w:snapToGrid w:val="false"/>
              <w:spacing w:before="0" w:after="240"/>
              <w:jc w:val="left"/>
              <w:rPr>
                <w:rFonts w:ascii="Calibri" w:hAnsi="Calibri" w:eastAsia="Calibri" w:cs="Calibri"/>
                <w:sz w:val="21"/>
                <w:szCs w:val="21"/>
              </w:rPr>
            </w:pPr>
            <w:r>
              <w:rPr>
                <w:rFonts w:eastAsia="Calibri" w:cs="Calibri"/>
                <w:sz w:val="21"/>
                <w:szCs w:val="21"/>
              </w:rPr>
            </w:r>
          </w:p>
        </w:tc>
      </w:tr>
      <w:tr>
        <w:trPr/>
        <w:tc>
          <w:tcPr>
            <w:tcW w:w="3282" w:type="dxa"/>
            <w:tcBorders>
              <w:top w:val="single" w:sz="4" w:space="0" w:color="000000"/>
              <w:left w:val="single" w:sz="4" w:space="0" w:color="000000"/>
              <w:bottom w:val="single" w:sz="4" w:space="0" w:color="000000"/>
            </w:tcBorders>
          </w:tcPr>
          <w:p>
            <w:pPr>
              <w:pStyle w:val="Style25"/>
              <w:widowControl w:val="false"/>
              <w:tabs>
                <w:tab w:val="clear" w:pos="720"/>
                <w:tab w:val="left" w:pos="-540" w:leader="none"/>
              </w:tabs>
              <w:spacing w:before="0" w:after="240"/>
              <w:jc w:val="left"/>
              <w:rPr>
                <w:sz w:val="21"/>
                <w:szCs w:val="21"/>
              </w:rPr>
            </w:pPr>
            <w:r>
              <w:rPr>
                <w:rFonts w:eastAsia="Calibri" w:cs="Calibri"/>
                <w:sz w:val="21"/>
                <w:szCs w:val="21"/>
                <w:lang w:val="en-US"/>
              </w:rPr>
              <w:t>Smart TV</w:t>
            </w:r>
          </w:p>
        </w:tc>
        <w:tc>
          <w:tcPr>
            <w:tcW w:w="3393" w:type="dxa"/>
            <w:tcBorders>
              <w:top w:val="single" w:sz="4" w:space="0" w:color="000000"/>
              <w:left w:val="single" w:sz="4" w:space="0" w:color="000000"/>
              <w:bottom w:val="single" w:sz="4" w:space="0" w:color="000000"/>
            </w:tcBorders>
          </w:tcPr>
          <w:p>
            <w:pPr>
              <w:pStyle w:val="Style25"/>
              <w:widowControl w:val="false"/>
              <w:tabs>
                <w:tab w:val="clear" w:pos="720"/>
                <w:tab w:val="left" w:pos="-540" w:leader="none"/>
              </w:tabs>
              <w:spacing w:before="0" w:after="240"/>
              <w:jc w:val="left"/>
              <w:rPr>
                <w:rFonts w:ascii="Calibri" w:hAnsi="Calibri" w:eastAsia="Calibri" w:cs="Calibri"/>
                <w:sz w:val="21"/>
                <w:szCs w:val="21"/>
              </w:rPr>
            </w:pPr>
            <w:r>
              <w:rPr>
                <w:rFonts w:eastAsia="Calibri" w:cs="Calibri"/>
                <w:sz w:val="21"/>
                <w:szCs w:val="21"/>
              </w:rPr>
              <w:t>Ναι</w:t>
            </w:r>
          </w:p>
        </w:tc>
        <w:tc>
          <w:tcPr>
            <w:tcW w:w="2741" w:type="dxa"/>
            <w:tcBorders>
              <w:top w:val="single" w:sz="4" w:space="0" w:color="000000"/>
              <w:left w:val="single" w:sz="4" w:space="0" w:color="000000"/>
              <w:bottom w:val="single" w:sz="4" w:space="0" w:color="000000"/>
              <w:right w:val="single" w:sz="4" w:space="0" w:color="000000"/>
            </w:tcBorders>
          </w:tcPr>
          <w:p>
            <w:pPr>
              <w:pStyle w:val="Style25"/>
              <w:widowControl w:val="false"/>
              <w:tabs>
                <w:tab w:val="clear" w:pos="720"/>
                <w:tab w:val="left" w:pos="-540" w:leader="none"/>
              </w:tabs>
              <w:snapToGrid w:val="false"/>
              <w:spacing w:before="0" w:after="240"/>
              <w:jc w:val="left"/>
              <w:rPr>
                <w:rFonts w:ascii="Calibri" w:hAnsi="Calibri" w:eastAsia="Calibri" w:cs="Calibri"/>
                <w:sz w:val="21"/>
                <w:szCs w:val="21"/>
              </w:rPr>
            </w:pPr>
            <w:r>
              <w:rPr>
                <w:rFonts w:eastAsia="Calibri" w:cs="Calibri"/>
                <w:sz w:val="21"/>
                <w:szCs w:val="21"/>
              </w:rPr>
            </w:r>
          </w:p>
        </w:tc>
      </w:tr>
      <w:tr>
        <w:trPr/>
        <w:tc>
          <w:tcPr>
            <w:tcW w:w="3282" w:type="dxa"/>
            <w:tcBorders>
              <w:top w:val="single" w:sz="4" w:space="0" w:color="000000"/>
              <w:left w:val="single" w:sz="4" w:space="0" w:color="000000"/>
              <w:bottom w:val="single" w:sz="4" w:space="0" w:color="000000"/>
            </w:tcBorders>
          </w:tcPr>
          <w:p>
            <w:pPr>
              <w:pStyle w:val="Style25"/>
              <w:widowControl w:val="false"/>
              <w:tabs>
                <w:tab w:val="clear" w:pos="720"/>
                <w:tab w:val="left" w:pos="-540" w:leader="none"/>
              </w:tabs>
              <w:spacing w:before="0" w:after="240"/>
              <w:jc w:val="left"/>
              <w:rPr>
                <w:rFonts w:ascii="Calibri" w:hAnsi="Calibri" w:eastAsia="Calibri" w:cs="Calibri"/>
                <w:sz w:val="21"/>
                <w:szCs w:val="21"/>
              </w:rPr>
            </w:pPr>
            <w:r>
              <w:rPr>
                <w:rFonts w:eastAsia="Calibri" w:cs="Calibri"/>
                <w:sz w:val="21"/>
                <w:szCs w:val="21"/>
              </w:rPr>
              <w:t>Τεχνολογία</w:t>
            </w:r>
          </w:p>
        </w:tc>
        <w:tc>
          <w:tcPr>
            <w:tcW w:w="3393" w:type="dxa"/>
            <w:tcBorders>
              <w:top w:val="single" w:sz="4" w:space="0" w:color="000000"/>
              <w:left w:val="single" w:sz="4" w:space="0" w:color="000000"/>
              <w:bottom w:val="single" w:sz="4" w:space="0" w:color="000000"/>
            </w:tcBorders>
          </w:tcPr>
          <w:p>
            <w:pPr>
              <w:pStyle w:val="Style25"/>
              <w:widowControl w:val="false"/>
              <w:tabs>
                <w:tab w:val="clear" w:pos="720"/>
                <w:tab w:val="left" w:pos="-540" w:leader="none"/>
              </w:tabs>
              <w:spacing w:before="0" w:after="240"/>
              <w:jc w:val="left"/>
              <w:rPr>
                <w:rFonts w:ascii="Calibri" w:hAnsi="Calibri" w:cs="Calibri"/>
                <w:sz w:val="21"/>
                <w:szCs w:val="21"/>
                <w:lang w:val="en-US"/>
              </w:rPr>
            </w:pPr>
            <w:r>
              <w:rPr>
                <w:rFonts w:cs="Calibri"/>
                <w:sz w:val="21"/>
                <w:szCs w:val="21"/>
                <w:lang w:val="en-US"/>
              </w:rPr>
              <w:t>LED</w:t>
            </w:r>
          </w:p>
        </w:tc>
        <w:tc>
          <w:tcPr>
            <w:tcW w:w="2741" w:type="dxa"/>
            <w:tcBorders>
              <w:top w:val="single" w:sz="4" w:space="0" w:color="000000"/>
              <w:left w:val="single" w:sz="4" w:space="0" w:color="000000"/>
              <w:bottom w:val="single" w:sz="4" w:space="0" w:color="000000"/>
              <w:right w:val="single" w:sz="4" w:space="0" w:color="000000"/>
            </w:tcBorders>
          </w:tcPr>
          <w:p>
            <w:pPr>
              <w:pStyle w:val="Style25"/>
              <w:widowControl w:val="false"/>
              <w:tabs>
                <w:tab w:val="clear" w:pos="720"/>
                <w:tab w:val="left" w:pos="-540" w:leader="none"/>
              </w:tabs>
              <w:snapToGrid w:val="false"/>
              <w:spacing w:before="0" w:after="240"/>
              <w:jc w:val="left"/>
              <w:rPr>
                <w:rFonts w:ascii="Calibri" w:hAnsi="Calibri" w:eastAsia="Calibri" w:cs="Calibri"/>
                <w:sz w:val="21"/>
                <w:szCs w:val="21"/>
              </w:rPr>
            </w:pPr>
            <w:r>
              <w:rPr>
                <w:rFonts w:eastAsia="Calibri" w:cs="Calibri"/>
                <w:sz w:val="21"/>
                <w:szCs w:val="21"/>
              </w:rPr>
            </w:r>
          </w:p>
        </w:tc>
      </w:tr>
      <w:tr>
        <w:trPr/>
        <w:tc>
          <w:tcPr>
            <w:tcW w:w="3282" w:type="dxa"/>
            <w:tcBorders>
              <w:top w:val="single" w:sz="4" w:space="0" w:color="000000"/>
              <w:left w:val="single" w:sz="4" w:space="0" w:color="000000"/>
              <w:bottom w:val="single" w:sz="4" w:space="0" w:color="000000"/>
            </w:tcBorders>
          </w:tcPr>
          <w:p>
            <w:pPr>
              <w:pStyle w:val="Style25"/>
              <w:widowControl w:val="false"/>
              <w:tabs>
                <w:tab w:val="clear" w:pos="720"/>
                <w:tab w:val="left" w:pos="-540" w:leader="none"/>
              </w:tabs>
              <w:spacing w:before="0" w:after="240"/>
              <w:jc w:val="left"/>
              <w:rPr>
                <w:rFonts w:ascii="Calibri" w:hAnsi="Calibri" w:eastAsia="Calibri" w:cs="Calibri"/>
                <w:sz w:val="21"/>
                <w:szCs w:val="21"/>
              </w:rPr>
            </w:pPr>
            <w:r>
              <w:rPr>
                <w:rFonts w:eastAsia="Calibri" w:cs="Calibri"/>
                <w:sz w:val="21"/>
                <w:szCs w:val="21"/>
              </w:rPr>
              <w:t>Ανάλυση οθόνης</w:t>
            </w:r>
          </w:p>
        </w:tc>
        <w:tc>
          <w:tcPr>
            <w:tcW w:w="3393" w:type="dxa"/>
            <w:tcBorders>
              <w:top w:val="single" w:sz="4" w:space="0" w:color="000000"/>
              <w:left w:val="single" w:sz="4" w:space="0" w:color="000000"/>
              <w:bottom w:val="single" w:sz="4" w:space="0" w:color="000000"/>
            </w:tcBorders>
          </w:tcPr>
          <w:p>
            <w:pPr>
              <w:pStyle w:val="Style25"/>
              <w:widowControl w:val="false"/>
              <w:tabs>
                <w:tab w:val="clear" w:pos="720"/>
                <w:tab w:val="left" w:pos="-540" w:leader="none"/>
              </w:tabs>
              <w:spacing w:before="0" w:after="240"/>
              <w:jc w:val="left"/>
              <w:rPr>
                <w:sz w:val="21"/>
                <w:szCs w:val="21"/>
              </w:rPr>
            </w:pPr>
            <w:r>
              <w:rPr>
                <w:rFonts w:eastAsia="Calibri" w:cs="Calibri"/>
                <w:sz w:val="21"/>
                <w:szCs w:val="21"/>
              </w:rPr>
              <w:t>Τουλάχιστον 1920</w:t>
            </w:r>
            <w:r>
              <w:rPr>
                <w:rFonts w:eastAsia="Calibri" w:cs="Calibri"/>
                <w:sz w:val="21"/>
                <w:szCs w:val="21"/>
                <w:lang w:val="en-US"/>
              </w:rPr>
              <w:t>x1080 pixels</w:t>
            </w:r>
          </w:p>
        </w:tc>
        <w:tc>
          <w:tcPr>
            <w:tcW w:w="2741" w:type="dxa"/>
            <w:tcBorders>
              <w:top w:val="single" w:sz="4" w:space="0" w:color="000000"/>
              <w:left w:val="single" w:sz="4" w:space="0" w:color="000000"/>
              <w:bottom w:val="single" w:sz="4" w:space="0" w:color="000000"/>
              <w:right w:val="single" w:sz="4" w:space="0" w:color="000000"/>
            </w:tcBorders>
          </w:tcPr>
          <w:p>
            <w:pPr>
              <w:pStyle w:val="Style25"/>
              <w:widowControl w:val="false"/>
              <w:tabs>
                <w:tab w:val="clear" w:pos="720"/>
                <w:tab w:val="left" w:pos="-540" w:leader="none"/>
              </w:tabs>
              <w:snapToGrid w:val="false"/>
              <w:spacing w:before="0" w:after="240"/>
              <w:jc w:val="left"/>
              <w:rPr>
                <w:rFonts w:ascii="Calibri" w:hAnsi="Calibri" w:eastAsia="Calibri" w:cs="Calibri"/>
                <w:sz w:val="21"/>
                <w:szCs w:val="21"/>
              </w:rPr>
            </w:pPr>
            <w:r>
              <w:rPr>
                <w:rFonts w:eastAsia="Calibri" w:cs="Calibri"/>
                <w:sz w:val="21"/>
                <w:szCs w:val="21"/>
              </w:rPr>
            </w:r>
          </w:p>
        </w:tc>
      </w:tr>
      <w:tr>
        <w:trPr/>
        <w:tc>
          <w:tcPr>
            <w:tcW w:w="3282" w:type="dxa"/>
            <w:tcBorders>
              <w:top w:val="single" w:sz="4" w:space="0" w:color="000000"/>
              <w:left w:val="single" w:sz="4" w:space="0" w:color="000000"/>
              <w:bottom w:val="single" w:sz="4" w:space="0" w:color="000000"/>
            </w:tcBorders>
          </w:tcPr>
          <w:p>
            <w:pPr>
              <w:pStyle w:val="Style25"/>
              <w:widowControl w:val="false"/>
              <w:tabs>
                <w:tab w:val="clear" w:pos="720"/>
                <w:tab w:val="left" w:pos="-540" w:leader="none"/>
              </w:tabs>
              <w:spacing w:before="0" w:after="240"/>
              <w:jc w:val="left"/>
              <w:rPr>
                <w:rFonts w:ascii="Calibri" w:hAnsi="Calibri" w:eastAsia="Calibri" w:cs="Calibri"/>
                <w:sz w:val="21"/>
                <w:szCs w:val="21"/>
              </w:rPr>
            </w:pPr>
            <w:r>
              <w:rPr>
                <w:rFonts w:eastAsia="Calibri" w:cs="Calibri"/>
                <w:sz w:val="21"/>
                <w:szCs w:val="21"/>
              </w:rPr>
              <w:t>Αναλογία οθόνης</w:t>
            </w:r>
          </w:p>
        </w:tc>
        <w:tc>
          <w:tcPr>
            <w:tcW w:w="3393" w:type="dxa"/>
            <w:tcBorders>
              <w:top w:val="single" w:sz="4" w:space="0" w:color="000000"/>
              <w:left w:val="single" w:sz="4" w:space="0" w:color="000000"/>
              <w:bottom w:val="single" w:sz="4" w:space="0" w:color="000000"/>
            </w:tcBorders>
          </w:tcPr>
          <w:p>
            <w:pPr>
              <w:pStyle w:val="Style25"/>
              <w:widowControl w:val="false"/>
              <w:tabs>
                <w:tab w:val="clear" w:pos="720"/>
                <w:tab w:val="left" w:pos="-540" w:leader="none"/>
              </w:tabs>
              <w:spacing w:before="0" w:after="240"/>
              <w:jc w:val="left"/>
              <w:rPr>
                <w:rFonts w:ascii="Calibri" w:hAnsi="Calibri" w:eastAsia="Calibri" w:cs="Calibri"/>
                <w:sz w:val="21"/>
                <w:szCs w:val="21"/>
              </w:rPr>
            </w:pPr>
            <w:r>
              <w:rPr>
                <w:rFonts w:eastAsia="Calibri" w:cs="Calibri"/>
                <w:sz w:val="21"/>
                <w:szCs w:val="21"/>
              </w:rPr>
              <w:t>16:9</w:t>
            </w:r>
          </w:p>
        </w:tc>
        <w:tc>
          <w:tcPr>
            <w:tcW w:w="2741" w:type="dxa"/>
            <w:tcBorders>
              <w:top w:val="single" w:sz="4" w:space="0" w:color="000000"/>
              <w:left w:val="single" w:sz="4" w:space="0" w:color="000000"/>
              <w:bottom w:val="single" w:sz="4" w:space="0" w:color="000000"/>
              <w:right w:val="single" w:sz="4" w:space="0" w:color="000000"/>
            </w:tcBorders>
          </w:tcPr>
          <w:p>
            <w:pPr>
              <w:pStyle w:val="Style25"/>
              <w:widowControl w:val="false"/>
              <w:tabs>
                <w:tab w:val="clear" w:pos="720"/>
                <w:tab w:val="left" w:pos="-540" w:leader="none"/>
              </w:tabs>
              <w:snapToGrid w:val="false"/>
              <w:spacing w:before="0" w:after="240"/>
              <w:jc w:val="left"/>
              <w:rPr>
                <w:rFonts w:ascii="Calibri" w:hAnsi="Calibri" w:eastAsia="Calibri" w:cs="Calibri"/>
                <w:sz w:val="21"/>
                <w:szCs w:val="21"/>
              </w:rPr>
            </w:pPr>
            <w:r>
              <w:rPr>
                <w:rFonts w:eastAsia="Calibri" w:cs="Calibri"/>
                <w:sz w:val="21"/>
                <w:szCs w:val="21"/>
              </w:rPr>
            </w:r>
          </w:p>
        </w:tc>
      </w:tr>
      <w:tr>
        <w:trPr/>
        <w:tc>
          <w:tcPr>
            <w:tcW w:w="3282" w:type="dxa"/>
            <w:tcBorders>
              <w:left w:val="single" w:sz="4" w:space="0" w:color="000000"/>
              <w:bottom w:val="single" w:sz="4" w:space="0" w:color="000000"/>
            </w:tcBorders>
          </w:tcPr>
          <w:p>
            <w:pPr>
              <w:pStyle w:val="Style25"/>
              <w:widowControl w:val="false"/>
              <w:tabs>
                <w:tab w:val="clear" w:pos="720"/>
                <w:tab w:val="left" w:pos="-540" w:leader="none"/>
              </w:tabs>
              <w:spacing w:before="0" w:after="240"/>
              <w:jc w:val="left"/>
              <w:rPr>
                <w:rFonts w:ascii="Calibri" w:hAnsi="Calibri" w:eastAsia="Calibri" w:cs="Calibri"/>
                <w:sz w:val="21"/>
                <w:szCs w:val="21"/>
              </w:rPr>
            </w:pPr>
            <w:r>
              <w:rPr>
                <w:rFonts w:eastAsia="Calibri" w:cs="Calibri"/>
                <w:sz w:val="21"/>
                <w:szCs w:val="21"/>
              </w:rPr>
              <w:t>Δέκτης</w:t>
            </w:r>
          </w:p>
        </w:tc>
        <w:tc>
          <w:tcPr>
            <w:tcW w:w="3393" w:type="dxa"/>
            <w:tcBorders>
              <w:left w:val="single" w:sz="4" w:space="0" w:color="000000"/>
              <w:bottom w:val="single" w:sz="4" w:space="0" w:color="000000"/>
            </w:tcBorders>
          </w:tcPr>
          <w:p>
            <w:pPr>
              <w:pStyle w:val="Style25"/>
              <w:widowControl w:val="false"/>
              <w:tabs>
                <w:tab w:val="clear" w:pos="720"/>
                <w:tab w:val="left" w:pos="-540" w:leader="none"/>
              </w:tabs>
              <w:spacing w:before="0" w:after="240"/>
              <w:jc w:val="left"/>
              <w:rPr>
                <w:rFonts w:ascii="Calibri" w:hAnsi="Calibri" w:eastAsia="Calibri" w:cs="Calibri"/>
                <w:sz w:val="21"/>
                <w:szCs w:val="21"/>
                <w:lang w:val="en-US"/>
              </w:rPr>
            </w:pPr>
            <w:r>
              <w:rPr>
                <w:rFonts w:eastAsia="Calibri" w:cs="Calibri"/>
                <w:sz w:val="21"/>
                <w:szCs w:val="21"/>
                <w:lang w:val="en-US"/>
              </w:rPr>
              <w:t>DVB-T/T2, DVB-S/S2</w:t>
            </w:r>
          </w:p>
        </w:tc>
        <w:tc>
          <w:tcPr>
            <w:tcW w:w="2741" w:type="dxa"/>
            <w:tcBorders>
              <w:left w:val="single" w:sz="4" w:space="0" w:color="000000"/>
              <w:bottom w:val="single" w:sz="4" w:space="0" w:color="000000"/>
              <w:right w:val="single" w:sz="4" w:space="0" w:color="000000"/>
            </w:tcBorders>
          </w:tcPr>
          <w:p>
            <w:pPr>
              <w:pStyle w:val="Style25"/>
              <w:widowControl w:val="false"/>
              <w:tabs>
                <w:tab w:val="clear" w:pos="720"/>
                <w:tab w:val="left" w:pos="-540" w:leader="none"/>
              </w:tabs>
              <w:snapToGrid w:val="false"/>
              <w:spacing w:before="0" w:after="240"/>
              <w:jc w:val="left"/>
              <w:rPr>
                <w:rFonts w:ascii="Calibri" w:hAnsi="Calibri" w:eastAsia="Calibri" w:cs="Calibri"/>
                <w:sz w:val="21"/>
                <w:szCs w:val="21"/>
                <w:lang w:val="en-US"/>
              </w:rPr>
            </w:pPr>
            <w:r>
              <w:rPr>
                <w:rFonts w:eastAsia="Calibri" w:cs="Calibri"/>
                <w:sz w:val="21"/>
                <w:szCs w:val="21"/>
                <w:lang w:val="en-US"/>
              </w:rPr>
            </w:r>
          </w:p>
        </w:tc>
      </w:tr>
      <w:tr>
        <w:trPr/>
        <w:tc>
          <w:tcPr>
            <w:tcW w:w="3282" w:type="dxa"/>
            <w:tcBorders>
              <w:left w:val="single" w:sz="4" w:space="0" w:color="000000"/>
              <w:bottom w:val="single" w:sz="4" w:space="0" w:color="000000"/>
            </w:tcBorders>
          </w:tcPr>
          <w:p>
            <w:pPr>
              <w:pStyle w:val="Style25"/>
              <w:widowControl w:val="false"/>
              <w:tabs>
                <w:tab w:val="clear" w:pos="720"/>
                <w:tab w:val="left" w:pos="-540" w:leader="none"/>
              </w:tabs>
              <w:spacing w:before="0" w:after="240"/>
              <w:jc w:val="left"/>
              <w:rPr>
                <w:sz w:val="21"/>
                <w:szCs w:val="21"/>
              </w:rPr>
            </w:pPr>
            <w:r>
              <w:rPr>
                <w:rFonts w:eastAsia="Calibri" w:cs="Calibri"/>
                <w:sz w:val="21"/>
                <w:szCs w:val="21"/>
              </w:rPr>
              <w:t xml:space="preserve">Συνδέσεις: </w:t>
            </w:r>
            <w:r>
              <w:rPr>
                <w:rFonts w:eastAsia="Calibri" w:cs="Calibri"/>
                <w:sz w:val="21"/>
                <w:szCs w:val="21"/>
                <w:lang w:val="en-US"/>
              </w:rPr>
              <w:t>USB</w:t>
            </w:r>
          </w:p>
        </w:tc>
        <w:tc>
          <w:tcPr>
            <w:tcW w:w="3393" w:type="dxa"/>
            <w:tcBorders>
              <w:left w:val="single" w:sz="4" w:space="0" w:color="000000"/>
              <w:bottom w:val="single" w:sz="4" w:space="0" w:color="000000"/>
            </w:tcBorders>
          </w:tcPr>
          <w:p>
            <w:pPr>
              <w:pStyle w:val="Style25"/>
              <w:widowControl w:val="false"/>
              <w:tabs>
                <w:tab w:val="clear" w:pos="720"/>
                <w:tab w:val="left" w:pos="-540" w:leader="none"/>
              </w:tabs>
              <w:spacing w:before="0" w:after="240"/>
              <w:jc w:val="left"/>
              <w:rPr>
                <w:rFonts w:ascii="Calibri" w:hAnsi="Calibri" w:eastAsia="Calibri" w:cs="Calibri"/>
                <w:sz w:val="21"/>
                <w:szCs w:val="21"/>
                <w:lang w:val="en-US"/>
              </w:rPr>
            </w:pPr>
            <w:r>
              <w:rPr>
                <w:rFonts w:eastAsia="Calibri" w:cs="Calibri"/>
                <w:sz w:val="21"/>
                <w:szCs w:val="21"/>
                <w:lang w:val="en-US"/>
              </w:rPr>
              <w:t>&gt;=1</w:t>
            </w:r>
          </w:p>
        </w:tc>
        <w:tc>
          <w:tcPr>
            <w:tcW w:w="2741" w:type="dxa"/>
            <w:tcBorders>
              <w:left w:val="single" w:sz="4" w:space="0" w:color="000000"/>
              <w:bottom w:val="single" w:sz="4" w:space="0" w:color="000000"/>
              <w:right w:val="single" w:sz="4" w:space="0" w:color="000000"/>
            </w:tcBorders>
          </w:tcPr>
          <w:p>
            <w:pPr>
              <w:pStyle w:val="Style25"/>
              <w:widowControl w:val="false"/>
              <w:tabs>
                <w:tab w:val="clear" w:pos="720"/>
                <w:tab w:val="left" w:pos="-540" w:leader="none"/>
              </w:tabs>
              <w:snapToGrid w:val="false"/>
              <w:spacing w:before="0" w:after="240"/>
              <w:jc w:val="left"/>
              <w:rPr>
                <w:rFonts w:ascii="Calibri" w:hAnsi="Calibri" w:eastAsia="Calibri" w:cs="Calibri"/>
                <w:sz w:val="21"/>
                <w:szCs w:val="21"/>
              </w:rPr>
            </w:pPr>
            <w:r>
              <w:rPr>
                <w:rFonts w:eastAsia="Calibri" w:cs="Calibri"/>
                <w:sz w:val="21"/>
                <w:szCs w:val="21"/>
              </w:rPr>
            </w:r>
          </w:p>
        </w:tc>
      </w:tr>
      <w:tr>
        <w:trPr/>
        <w:tc>
          <w:tcPr>
            <w:tcW w:w="3282" w:type="dxa"/>
            <w:tcBorders>
              <w:left w:val="single" w:sz="4" w:space="0" w:color="000000"/>
              <w:bottom w:val="single" w:sz="4" w:space="0" w:color="000000"/>
            </w:tcBorders>
          </w:tcPr>
          <w:p>
            <w:pPr>
              <w:pStyle w:val="Style25"/>
              <w:widowControl w:val="false"/>
              <w:tabs>
                <w:tab w:val="clear" w:pos="720"/>
                <w:tab w:val="left" w:pos="-540" w:leader="none"/>
              </w:tabs>
              <w:spacing w:before="0" w:after="240"/>
              <w:jc w:val="left"/>
              <w:rPr>
                <w:sz w:val="21"/>
                <w:szCs w:val="21"/>
              </w:rPr>
            </w:pPr>
            <w:r>
              <w:rPr>
                <w:rFonts w:eastAsia="Calibri" w:cs="Calibri"/>
                <w:sz w:val="21"/>
                <w:szCs w:val="21"/>
              </w:rPr>
              <w:t xml:space="preserve">  </w:t>
            </w:r>
            <w:r>
              <w:rPr>
                <w:rFonts w:eastAsia="Calibri" w:cs="Calibri"/>
                <w:sz w:val="21"/>
                <w:szCs w:val="21"/>
                <w:lang w:val="en-US"/>
              </w:rPr>
              <w:t xml:space="preserve">                  </w:t>
            </w:r>
            <w:r>
              <w:rPr>
                <w:rFonts w:eastAsia="Calibri" w:cs="Calibri"/>
                <w:sz w:val="21"/>
                <w:szCs w:val="21"/>
                <w:lang w:val="en-US"/>
              </w:rPr>
              <w:t>HDMI</w:t>
            </w:r>
          </w:p>
        </w:tc>
        <w:tc>
          <w:tcPr>
            <w:tcW w:w="3393" w:type="dxa"/>
            <w:tcBorders>
              <w:left w:val="single" w:sz="4" w:space="0" w:color="000000"/>
              <w:bottom w:val="single" w:sz="4" w:space="0" w:color="000000"/>
            </w:tcBorders>
          </w:tcPr>
          <w:p>
            <w:pPr>
              <w:pStyle w:val="Style25"/>
              <w:widowControl w:val="false"/>
              <w:tabs>
                <w:tab w:val="clear" w:pos="720"/>
                <w:tab w:val="left" w:pos="-540" w:leader="none"/>
              </w:tabs>
              <w:spacing w:before="0" w:after="240"/>
              <w:jc w:val="left"/>
              <w:rPr>
                <w:rFonts w:ascii="Calibri" w:hAnsi="Calibri" w:eastAsia="Calibri" w:cs="Calibri"/>
                <w:sz w:val="21"/>
                <w:szCs w:val="21"/>
                <w:lang w:val="en-US"/>
              </w:rPr>
            </w:pPr>
            <w:r>
              <w:rPr>
                <w:rFonts w:eastAsia="Calibri" w:cs="Calibri"/>
                <w:sz w:val="21"/>
                <w:szCs w:val="21"/>
                <w:lang w:val="en-US"/>
              </w:rPr>
              <w:t>&gt;=1</w:t>
            </w:r>
          </w:p>
        </w:tc>
        <w:tc>
          <w:tcPr>
            <w:tcW w:w="2741" w:type="dxa"/>
            <w:tcBorders>
              <w:left w:val="single" w:sz="4" w:space="0" w:color="000000"/>
              <w:bottom w:val="single" w:sz="4" w:space="0" w:color="000000"/>
              <w:right w:val="single" w:sz="4" w:space="0" w:color="000000"/>
            </w:tcBorders>
          </w:tcPr>
          <w:p>
            <w:pPr>
              <w:pStyle w:val="Style25"/>
              <w:widowControl w:val="false"/>
              <w:tabs>
                <w:tab w:val="clear" w:pos="720"/>
                <w:tab w:val="left" w:pos="-540" w:leader="none"/>
              </w:tabs>
              <w:snapToGrid w:val="false"/>
              <w:spacing w:before="0" w:after="240"/>
              <w:jc w:val="left"/>
              <w:rPr>
                <w:rFonts w:ascii="Calibri" w:hAnsi="Calibri" w:eastAsia="Calibri" w:cs="Calibri"/>
                <w:sz w:val="21"/>
                <w:szCs w:val="21"/>
              </w:rPr>
            </w:pPr>
            <w:r>
              <w:rPr>
                <w:rFonts w:eastAsia="Calibri" w:cs="Calibri"/>
                <w:sz w:val="21"/>
                <w:szCs w:val="21"/>
              </w:rPr>
            </w:r>
          </w:p>
        </w:tc>
      </w:tr>
      <w:tr>
        <w:trPr/>
        <w:tc>
          <w:tcPr>
            <w:tcW w:w="3282" w:type="dxa"/>
            <w:tcBorders>
              <w:left w:val="single" w:sz="4" w:space="0" w:color="000000"/>
              <w:bottom w:val="single" w:sz="4" w:space="0" w:color="000000"/>
            </w:tcBorders>
          </w:tcPr>
          <w:p>
            <w:pPr>
              <w:pStyle w:val="Style25"/>
              <w:widowControl w:val="false"/>
              <w:tabs>
                <w:tab w:val="clear" w:pos="720"/>
                <w:tab w:val="left" w:pos="-540" w:leader="none"/>
              </w:tabs>
              <w:spacing w:before="0" w:after="240"/>
              <w:jc w:val="left"/>
              <w:rPr>
                <w:sz w:val="21"/>
                <w:szCs w:val="21"/>
              </w:rPr>
            </w:pPr>
            <w:r>
              <w:rPr>
                <w:rFonts w:eastAsia="Calibri" w:cs="Calibri"/>
                <w:sz w:val="21"/>
                <w:szCs w:val="21"/>
              </w:rPr>
              <w:t xml:space="preserve">  </w:t>
            </w:r>
            <w:r>
              <w:rPr>
                <w:rFonts w:eastAsia="Calibri" w:cs="Calibri"/>
                <w:sz w:val="21"/>
                <w:szCs w:val="21"/>
                <w:lang w:val="en-US"/>
              </w:rPr>
              <w:t xml:space="preserve">                  </w:t>
            </w:r>
            <w:r>
              <w:rPr>
                <w:rFonts w:eastAsia="Calibri" w:cs="Calibri"/>
                <w:sz w:val="21"/>
                <w:szCs w:val="21"/>
                <w:lang w:val="en-US"/>
              </w:rPr>
              <w:t>Wi-Fi</w:t>
            </w:r>
          </w:p>
        </w:tc>
        <w:tc>
          <w:tcPr>
            <w:tcW w:w="3393" w:type="dxa"/>
            <w:tcBorders>
              <w:left w:val="single" w:sz="4" w:space="0" w:color="000000"/>
              <w:bottom w:val="single" w:sz="4" w:space="0" w:color="000000"/>
            </w:tcBorders>
          </w:tcPr>
          <w:p>
            <w:pPr>
              <w:pStyle w:val="Style25"/>
              <w:widowControl w:val="false"/>
              <w:tabs>
                <w:tab w:val="clear" w:pos="720"/>
                <w:tab w:val="left" w:pos="-540" w:leader="none"/>
              </w:tabs>
              <w:spacing w:before="0" w:after="240"/>
              <w:jc w:val="left"/>
              <w:rPr>
                <w:rFonts w:ascii="Calibri" w:hAnsi="Calibri" w:eastAsia="Calibri" w:cs="Calibri"/>
                <w:sz w:val="21"/>
                <w:szCs w:val="21"/>
              </w:rPr>
            </w:pPr>
            <w:r>
              <w:rPr>
                <w:rFonts w:eastAsia="Calibri" w:cs="Calibri"/>
                <w:sz w:val="21"/>
                <w:szCs w:val="21"/>
              </w:rPr>
              <w:t>Ναι</w:t>
            </w:r>
          </w:p>
        </w:tc>
        <w:tc>
          <w:tcPr>
            <w:tcW w:w="2741" w:type="dxa"/>
            <w:tcBorders>
              <w:left w:val="single" w:sz="4" w:space="0" w:color="000000"/>
              <w:bottom w:val="single" w:sz="4" w:space="0" w:color="000000"/>
              <w:right w:val="single" w:sz="4" w:space="0" w:color="000000"/>
            </w:tcBorders>
          </w:tcPr>
          <w:p>
            <w:pPr>
              <w:pStyle w:val="Style25"/>
              <w:widowControl w:val="false"/>
              <w:tabs>
                <w:tab w:val="clear" w:pos="720"/>
                <w:tab w:val="left" w:pos="-540" w:leader="none"/>
              </w:tabs>
              <w:snapToGrid w:val="false"/>
              <w:spacing w:before="0" w:after="240"/>
              <w:jc w:val="left"/>
              <w:rPr>
                <w:rFonts w:ascii="Calibri" w:hAnsi="Calibri" w:eastAsia="Calibri" w:cs="Calibri"/>
                <w:sz w:val="21"/>
                <w:szCs w:val="21"/>
              </w:rPr>
            </w:pPr>
            <w:r>
              <w:rPr>
                <w:rFonts w:eastAsia="Calibri" w:cs="Calibri"/>
                <w:sz w:val="21"/>
                <w:szCs w:val="21"/>
              </w:rPr>
            </w:r>
          </w:p>
        </w:tc>
      </w:tr>
      <w:tr>
        <w:trPr/>
        <w:tc>
          <w:tcPr>
            <w:tcW w:w="3282" w:type="dxa"/>
            <w:tcBorders>
              <w:left w:val="single" w:sz="4" w:space="0" w:color="000000"/>
              <w:bottom w:val="single" w:sz="4" w:space="0" w:color="000000"/>
            </w:tcBorders>
          </w:tcPr>
          <w:p>
            <w:pPr>
              <w:pStyle w:val="Style25"/>
              <w:widowControl w:val="false"/>
              <w:tabs>
                <w:tab w:val="clear" w:pos="720"/>
                <w:tab w:val="left" w:pos="-540" w:leader="none"/>
              </w:tabs>
              <w:spacing w:before="0" w:after="240"/>
              <w:jc w:val="left"/>
              <w:rPr>
                <w:sz w:val="21"/>
                <w:szCs w:val="21"/>
              </w:rPr>
            </w:pPr>
            <w:r>
              <w:rPr>
                <w:rFonts w:eastAsia="Calibri" w:cs="Calibri"/>
                <w:sz w:val="21"/>
                <w:szCs w:val="21"/>
              </w:rPr>
              <w:t xml:space="preserve">    </w:t>
            </w:r>
            <w:r>
              <w:rPr>
                <w:rFonts w:eastAsia="Calibri" w:cs="Calibri"/>
                <w:sz w:val="21"/>
                <w:szCs w:val="21"/>
                <w:lang w:val="en-US"/>
              </w:rPr>
              <w:t xml:space="preserve">                </w:t>
            </w:r>
            <w:r>
              <w:rPr>
                <w:rFonts w:eastAsia="Calibri" w:cs="Calibri"/>
                <w:sz w:val="21"/>
                <w:szCs w:val="21"/>
                <w:lang w:val="en-US"/>
              </w:rPr>
              <w:t>Ethernet</w:t>
            </w:r>
          </w:p>
        </w:tc>
        <w:tc>
          <w:tcPr>
            <w:tcW w:w="3393" w:type="dxa"/>
            <w:tcBorders>
              <w:left w:val="single" w:sz="4" w:space="0" w:color="000000"/>
              <w:bottom w:val="single" w:sz="4" w:space="0" w:color="000000"/>
            </w:tcBorders>
          </w:tcPr>
          <w:p>
            <w:pPr>
              <w:pStyle w:val="Style25"/>
              <w:widowControl w:val="false"/>
              <w:tabs>
                <w:tab w:val="clear" w:pos="720"/>
                <w:tab w:val="left" w:pos="-540" w:leader="none"/>
              </w:tabs>
              <w:spacing w:before="0" w:after="240"/>
              <w:jc w:val="left"/>
              <w:rPr>
                <w:rFonts w:ascii="Calibri" w:hAnsi="Calibri" w:eastAsia="Calibri" w:cs="Calibri"/>
                <w:sz w:val="21"/>
                <w:szCs w:val="21"/>
              </w:rPr>
            </w:pPr>
            <w:r>
              <w:rPr>
                <w:rFonts w:eastAsia="Calibri" w:cs="Calibri"/>
                <w:sz w:val="21"/>
                <w:szCs w:val="21"/>
              </w:rPr>
              <w:t>Ναι</w:t>
            </w:r>
          </w:p>
        </w:tc>
        <w:tc>
          <w:tcPr>
            <w:tcW w:w="2741" w:type="dxa"/>
            <w:tcBorders>
              <w:left w:val="single" w:sz="4" w:space="0" w:color="000000"/>
              <w:bottom w:val="single" w:sz="4" w:space="0" w:color="000000"/>
              <w:right w:val="single" w:sz="4" w:space="0" w:color="000000"/>
            </w:tcBorders>
          </w:tcPr>
          <w:p>
            <w:pPr>
              <w:pStyle w:val="Style25"/>
              <w:widowControl w:val="false"/>
              <w:tabs>
                <w:tab w:val="clear" w:pos="720"/>
                <w:tab w:val="left" w:pos="-540" w:leader="none"/>
              </w:tabs>
              <w:snapToGrid w:val="false"/>
              <w:spacing w:before="0" w:after="240"/>
              <w:jc w:val="left"/>
              <w:rPr>
                <w:rFonts w:ascii="Calibri" w:hAnsi="Calibri" w:eastAsia="Calibri" w:cs="Calibri"/>
                <w:sz w:val="21"/>
                <w:szCs w:val="21"/>
              </w:rPr>
            </w:pPr>
            <w:r>
              <w:rPr>
                <w:rFonts w:eastAsia="Calibri" w:cs="Calibri"/>
                <w:sz w:val="21"/>
                <w:szCs w:val="21"/>
              </w:rPr>
            </w:r>
          </w:p>
        </w:tc>
      </w:tr>
      <w:tr>
        <w:trPr/>
        <w:tc>
          <w:tcPr>
            <w:tcW w:w="3282" w:type="dxa"/>
            <w:tcBorders>
              <w:left w:val="single" w:sz="4" w:space="0" w:color="000000"/>
              <w:bottom w:val="single" w:sz="4" w:space="0" w:color="000000"/>
            </w:tcBorders>
          </w:tcPr>
          <w:p>
            <w:pPr>
              <w:pStyle w:val="Style25"/>
              <w:widowControl w:val="false"/>
              <w:tabs>
                <w:tab w:val="clear" w:pos="720"/>
                <w:tab w:val="left" w:pos="-540" w:leader="none"/>
              </w:tabs>
              <w:spacing w:before="0" w:after="240"/>
              <w:jc w:val="left"/>
              <w:rPr>
                <w:rFonts w:ascii="Calibri" w:hAnsi="Calibri" w:eastAsia="Calibri" w:cs="Calibri"/>
                <w:sz w:val="21"/>
                <w:szCs w:val="21"/>
              </w:rPr>
            </w:pPr>
            <w:r>
              <w:rPr>
                <w:rFonts w:eastAsia="Calibri" w:cs="Calibri"/>
                <w:sz w:val="21"/>
                <w:szCs w:val="21"/>
              </w:rPr>
              <w:t>Εγγύηση</w:t>
            </w:r>
          </w:p>
        </w:tc>
        <w:tc>
          <w:tcPr>
            <w:tcW w:w="3393" w:type="dxa"/>
            <w:tcBorders>
              <w:left w:val="single" w:sz="4" w:space="0" w:color="000000"/>
              <w:bottom w:val="single" w:sz="4" w:space="0" w:color="000000"/>
            </w:tcBorders>
          </w:tcPr>
          <w:p>
            <w:pPr>
              <w:pStyle w:val="Style25"/>
              <w:widowControl w:val="false"/>
              <w:tabs>
                <w:tab w:val="clear" w:pos="720"/>
                <w:tab w:val="left" w:pos="-540" w:leader="none"/>
              </w:tabs>
              <w:spacing w:before="0" w:after="240"/>
              <w:jc w:val="left"/>
              <w:rPr>
                <w:rFonts w:ascii="Calibri" w:hAnsi="Calibri" w:eastAsia="Calibri" w:cs="Calibri"/>
                <w:sz w:val="21"/>
                <w:szCs w:val="21"/>
              </w:rPr>
            </w:pPr>
            <w:r>
              <w:rPr>
                <w:rFonts w:eastAsia="Calibri" w:cs="Calibri"/>
                <w:sz w:val="21"/>
                <w:szCs w:val="21"/>
              </w:rPr>
              <w:t>&gt;=2 έτη</w:t>
            </w:r>
          </w:p>
        </w:tc>
        <w:tc>
          <w:tcPr>
            <w:tcW w:w="2741" w:type="dxa"/>
            <w:tcBorders>
              <w:left w:val="single" w:sz="4" w:space="0" w:color="000000"/>
              <w:bottom w:val="single" w:sz="4" w:space="0" w:color="000000"/>
              <w:right w:val="single" w:sz="4" w:space="0" w:color="000000"/>
            </w:tcBorders>
          </w:tcPr>
          <w:p>
            <w:pPr>
              <w:pStyle w:val="Style25"/>
              <w:widowControl w:val="false"/>
              <w:tabs>
                <w:tab w:val="clear" w:pos="720"/>
                <w:tab w:val="left" w:pos="-540" w:leader="none"/>
              </w:tabs>
              <w:snapToGrid w:val="false"/>
              <w:spacing w:before="0" w:after="240"/>
              <w:jc w:val="left"/>
              <w:rPr>
                <w:rFonts w:ascii="Calibri" w:hAnsi="Calibri" w:eastAsia="Calibri" w:cs="Calibri"/>
                <w:sz w:val="21"/>
                <w:szCs w:val="21"/>
              </w:rPr>
            </w:pPr>
            <w:r>
              <w:rPr>
                <w:rFonts w:eastAsia="Calibri" w:cs="Calibri"/>
                <w:sz w:val="21"/>
                <w:szCs w:val="21"/>
              </w:rPr>
            </w:r>
          </w:p>
        </w:tc>
      </w:tr>
    </w:tbl>
    <w:p>
      <w:pPr>
        <w:pStyle w:val="Style25"/>
        <w:tabs>
          <w:tab w:val="clear" w:pos="720"/>
          <w:tab w:val="center" w:pos="1985" w:leader="none"/>
          <w:tab w:val="center" w:pos="7371" w:leader="none"/>
        </w:tabs>
        <w:rPr>
          <w:rFonts w:ascii="Calibri" w:hAnsi="Calibri" w:eastAsia="Calibri" w:cs="Calibri"/>
          <w:b/>
          <w:b/>
        </w:rPr>
      </w:pPr>
      <w:r>
        <w:rPr>
          <w:rFonts w:eastAsia="Calibri" w:cs="Calibri"/>
          <w:b/>
        </w:rPr>
      </w:r>
    </w:p>
    <w:p>
      <w:pPr>
        <w:pStyle w:val="Normal"/>
        <w:tabs>
          <w:tab w:val="clear" w:pos="720"/>
          <w:tab w:val="left" w:pos="4800" w:leader="none"/>
        </w:tabs>
        <w:ind w:firstLine="1134"/>
        <w:rPr>
          <w:rFonts w:ascii="Calibri" w:hAnsi="Calibri" w:cs="Calibri"/>
          <w:b/>
          <w:b/>
          <w:bCs/>
          <w:sz w:val="22"/>
          <w:szCs w:val="22"/>
        </w:rPr>
      </w:pPr>
      <w:r>
        <w:rPr>
          <w:rFonts w:cs="Calibri"/>
          <w:b/>
          <w:bCs/>
          <w:sz w:val="22"/>
          <w:szCs w:val="22"/>
        </w:rPr>
        <w:t>5. Επιτοίχια βάση τηλεόρασης</w:t>
      </w:r>
    </w:p>
    <w:tbl>
      <w:tblPr>
        <w:tblW w:w="9416" w:type="dxa"/>
        <w:jc w:val="left"/>
        <w:tblInd w:w="-65" w:type="dxa"/>
        <w:tblLayout w:type="fixed"/>
        <w:tblCellMar>
          <w:top w:w="0" w:type="dxa"/>
          <w:left w:w="108" w:type="dxa"/>
          <w:bottom w:w="0" w:type="dxa"/>
          <w:right w:w="108" w:type="dxa"/>
        </w:tblCellMar>
      </w:tblPr>
      <w:tblGrid>
        <w:gridCol w:w="2434"/>
        <w:gridCol w:w="4353"/>
        <w:gridCol w:w="2629"/>
      </w:tblGrid>
      <w:tr>
        <w:trPr/>
        <w:tc>
          <w:tcPr>
            <w:tcW w:w="2434" w:type="dxa"/>
            <w:tcBorders>
              <w:top w:val="single" w:sz="4" w:space="0" w:color="000000"/>
              <w:left w:val="single" w:sz="4" w:space="0" w:color="000000"/>
              <w:bottom w:val="single" w:sz="4" w:space="0" w:color="000000"/>
            </w:tcBorders>
            <w:shd w:fill="F2F2F2" w:val="clear"/>
          </w:tcPr>
          <w:p>
            <w:pPr>
              <w:pStyle w:val="Style25"/>
              <w:widowControl w:val="false"/>
              <w:tabs>
                <w:tab w:val="clear" w:pos="720"/>
                <w:tab w:val="left" w:pos="-540" w:leader="none"/>
              </w:tabs>
              <w:spacing w:before="0" w:after="240"/>
              <w:jc w:val="left"/>
              <w:rPr>
                <w:rFonts w:ascii="Calibri" w:hAnsi="Calibri" w:cs="Calibri"/>
                <w:b/>
                <w:b/>
                <w:sz w:val="22"/>
                <w:szCs w:val="22"/>
              </w:rPr>
            </w:pPr>
            <w:r>
              <w:rPr>
                <w:rFonts w:cs="Calibri"/>
                <w:b/>
                <w:sz w:val="22"/>
                <w:szCs w:val="22"/>
              </w:rPr>
              <w:t>Χαρακτηριστικό</w:t>
            </w:r>
          </w:p>
        </w:tc>
        <w:tc>
          <w:tcPr>
            <w:tcW w:w="4353" w:type="dxa"/>
            <w:tcBorders>
              <w:top w:val="single" w:sz="4" w:space="0" w:color="000000"/>
              <w:left w:val="single" w:sz="4" w:space="0" w:color="000000"/>
              <w:bottom w:val="single" w:sz="4" w:space="0" w:color="000000"/>
            </w:tcBorders>
            <w:shd w:fill="F2F2F2" w:val="clear"/>
          </w:tcPr>
          <w:p>
            <w:pPr>
              <w:pStyle w:val="Style25"/>
              <w:widowControl w:val="false"/>
              <w:tabs>
                <w:tab w:val="clear" w:pos="720"/>
                <w:tab w:val="left" w:pos="-540" w:leader="none"/>
              </w:tabs>
              <w:spacing w:before="0" w:after="240"/>
              <w:jc w:val="left"/>
              <w:rPr>
                <w:rFonts w:ascii="Calibri" w:hAnsi="Calibri" w:cs="Calibri"/>
                <w:b/>
                <w:b/>
                <w:sz w:val="22"/>
                <w:szCs w:val="22"/>
              </w:rPr>
            </w:pPr>
            <w:r>
              <w:rPr>
                <w:rFonts w:cs="Calibri"/>
                <w:b/>
                <w:sz w:val="22"/>
                <w:szCs w:val="22"/>
              </w:rPr>
              <w:t>Απαίτηση</w:t>
            </w:r>
          </w:p>
        </w:tc>
        <w:tc>
          <w:tcPr>
            <w:tcW w:w="2629" w:type="dxa"/>
            <w:tcBorders>
              <w:top w:val="single" w:sz="4" w:space="0" w:color="000000"/>
              <w:left w:val="single" w:sz="4" w:space="0" w:color="000000"/>
              <w:bottom w:val="single" w:sz="4" w:space="0" w:color="000000"/>
              <w:right w:val="single" w:sz="4" w:space="0" w:color="000000"/>
            </w:tcBorders>
            <w:shd w:fill="F2F2F2" w:val="clear"/>
          </w:tcPr>
          <w:p>
            <w:pPr>
              <w:pStyle w:val="Style25"/>
              <w:widowControl w:val="false"/>
              <w:tabs>
                <w:tab w:val="clear" w:pos="720"/>
                <w:tab w:val="left" w:pos="-540" w:leader="none"/>
              </w:tabs>
              <w:spacing w:before="0" w:after="240"/>
              <w:jc w:val="left"/>
              <w:rPr>
                <w:rFonts w:ascii="Calibri" w:hAnsi="Calibri" w:cs="Calibri"/>
                <w:b/>
                <w:b/>
                <w:sz w:val="22"/>
                <w:szCs w:val="22"/>
              </w:rPr>
            </w:pPr>
            <w:r>
              <w:rPr>
                <w:rFonts w:cs="Calibri"/>
                <w:b/>
                <w:sz w:val="22"/>
                <w:szCs w:val="22"/>
              </w:rPr>
              <w:t>Παρατηρήσεις</w:t>
            </w:r>
          </w:p>
        </w:tc>
      </w:tr>
      <w:tr>
        <w:trPr/>
        <w:tc>
          <w:tcPr>
            <w:tcW w:w="2434" w:type="dxa"/>
            <w:tcBorders>
              <w:top w:val="single" w:sz="4" w:space="0" w:color="000000"/>
              <w:left w:val="single" w:sz="4" w:space="0" w:color="000000"/>
              <w:bottom w:val="single" w:sz="4" w:space="0" w:color="000000"/>
            </w:tcBorders>
          </w:tcPr>
          <w:p>
            <w:pPr>
              <w:pStyle w:val="Normal"/>
              <w:widowControl w:val="false"/>
              <w:snapToGrid w:val="false"/>
              <w:spacing w:before="0" w:after="120"/>
              <w:rPr>
                <w:rFonts w:ascii="Calibri" w:hAnsi="Calibri" w:cs="Calibri"/>
                <w:sz w:val="21"/>
                <w:szCs w:val="21"/>
              </w:rPr>
            </w:pPr>
            <w:r>
              <w:rPr>
                <w:rFonts w:cs="Calibri"/>
                <w:sz w:val="21"/>
                <w:szCs w:val="21"/>
              </w:rPr>
              <w:t>Τοποθέτηση</w:t>
            </w:r>
          </w:p>
        </w:tc>
        <w:tc>
          <w:tcPr>
            <w:tcW w:w="4353" w:type="dxa"/>
            <w:tcBorders>
              <w:top w:val="single" w:sz="4" w:space="0" w:color="000000"/>
              <w:left w:val="single" w:sz="4" w:space="0" w:color="000000"/>
              <w:bottom w:val="single" w:sz="4" w:space="0" w:color="000000"/>
            </w:tcBorders>
          </w:tcPr>
          <w:p>
            <w:pPr>
              <w:pStyle w:val="Normal"/>
              <w:widowControl w:val="false"/>
              <w:snapToGrid w:val="false"/>
              <w:spacing w:before="0" w:after="120"/>
              <w:rPr>
                <w:rFonts w:ascii="Calibri" w:hAnsi="Calibri" w:cs="Calibri"/>
                <w:sz w:val="21"/>
                <w:szCs w:val="21"/>
              </w:rPr>
            </w:pPr>
            <w:r>
              <w:rPr>
                <w:rFonts w:cs="Calibri"/>
                <w:sz w:val="21"/>
                <w:szCs w:val="21"/>
              </w:rPr>
              <w:t>Επιτοίχια</w:t>
            </w:r>
          </w:p>
        </w:tc>
        <w:tc>
          <w:tcPr>
            <w:tcW w:w="2629" w:type="dxa"/>
            <w:tcBorders>
              <w:top w:val="single" w:sz="4" w:space="0" w:color="000000"/>
              <w:left w:val="single" w:sz="4" w:space="0" w:color="000000"/>
              <w:bottom w:val="single" w:sz="4" w:space="0" w:color="000000"/>
              <w:right w:val="single" w:sz="4" w:space="0" w:color="000000"/>
            </w:tcBorders>
          </w:tcPr>
          <w:p>
            <w:pPr>
              <w:pStyle w:val="Style25"/>
              <w:widowControl w:val="false"/>
              <w:tabs>
                <w:tab w:val="clear" w:pos="720"/>
                <w:tab w:val="left" w:pos="-540" w:leader="none"/>
              </w:tabs>
              <w:snapToGrid w:val="false"/>
              <w:spacing w:before="0" w:after="240"/>
              <w:jc w:val="left"/>
              <w:rPr>
                <w:rFonts w:ascii="Calibri" w:hAnsi="Calibri" w:cs="Calibri"/>
                <w:sz w:val="21"/>
                <w:szCs w:val="21"/>
              </w:rPr>
            </w:pPr>
            <w:r>
              <w:rPr>
                <w:rFonts w:cs="Calibri"/>
                <w:sz w:val="21"/>
                <w:szCs w:val="21"/>
              </w:rPr>
            </w:r>
          </w:p>
        </w:tc>
      </w:tr>
      <w:tr>
        <w:trPr/>
        <w:tc>
          <w:tcPr>
            <w:tcW w:w="2434" w:type="dxa"/>
            <w:tcBorders>
              <w:left w:val="single" w:sz="4" w:space="0" w:color="000000"/>
              <w:bottom w:val="single" w:sz="4" w:space="0" w:color="000000"/>
            </w:tcBorders>
          </w:tcPr>
          <w:p>
            <w:pPr>
              <w:pStyle w:val="Normal"/>
              <w:widowControl w:val="false"/>
              <w:snapToGrid w:val="false"/>
              <w:spacing w:before="0" w:after="120"/>
              <w:rPr>
                <w:rFonts w:ascii="Calibri" w:hAnsi="Calibri" w:cs="Calibri"/>
                <w:sz w:val="21"/>
                <w:szCs w:val="21"/>
              </w:rPr>
            </w:pPr>
            <w:r>
              <w:rPr>
                <w:rFonts w:cs="Calibri"/>
                <w:sz w:val="21"/>
                <w:szCs w:val="21"/>
              </w:rPr>
              <w:t>Τύπος</w:t>
            </w:r>
          </w:p>
        </w:tc>
        <w:tc>
          <w:tcPr>
            <w:tcW w:w="4353" w:type="dxa"/>
            <w:tcBorders>
              <w:left w:val="single" w:sz="4" w:space="0" w:color="000000"/>
              <w:bottom w:val="single" w:sz="4" w:space="0" w:color="000000"/>
            </w:tcBorders>
          </w:tcPr>
          <w:p>
            <w:pPr>
              <w:pStyle w:val="Normal"/>
              <w:widowControl w:val="false"/>
              <w:snapToGrid w:val="false"/>
              <w:spacing w:before="0" w:after="120"/>
              <w:rPr>
                <w:rFonts w:ascii="Calibri" w:hAnsi="Calibri" w:cs="Calibri"/>
                <w:sz w:val="21"/>
                <w:szCs w:val="21"/>
              </w:rPr>
            </w:pPr>
            <w:r>
              <w:rPr>
                <w:rFonts w:cs="Calibri"/>
                <w:sz w:val="21"/>
                <w:szCs w:val="21"/>
              </w:rPr>
              <w:t>Με περιστροφή - κλίση</w:t>
            </w:r>
          </w:p>
        </w:tc>
        <w:tc>
          <w:tcPr>
            <w:tcW w:w="2629" w:type="dxa"/>
            <w:tcBorders>
              <w:left w:val="single" w:sz="4" w:space="0" w:color="000000"/>
              <w:bottom w:val="single" w:sz="4" w:space="0" w:color="000000"/>
              <w:right w:val="single" w:sz="4" w:space="0" w:color="000000"/>
            </w:tcBorders>
          </w:tcPr>
          <w:p>
            <w:pPr>
              <w:pStyle w:val="Style25"/>
              <w:widowControl w:val="false"/>
              <w:tabs>
                <w:tab w:val="clear" w:pos="720"/>
                <w:tab w:val="left" w:pos="-540" w:leader="none"/>
              </w:tabs>
              <w:snapToGrid w:val="false"/>
              <w:spacing w:before="0" w:after="240"/>
              <w:jc w:val="left"/>
              <w:rPr>
                <w:rFonts w:ascii="Calibri" w:hAnsi="Calibri" w:cs="Calibri"/>
                <w:sz w:val="21"/>
                <w:szCs w:val="21"/>
              </w:rPr>
            </w:pPr>
            <w:r>
              <w:rPr>
                <w:rFonts w:cs="Calibri"/>
                <w:sz w:val="21"/>
                <w:szCs w:val="21"/>
              </w:rPr>
            </w:r>
          </w:p>
        </w:tc>
      </w:tr>
      <w:tr>
        <w:trPr/>
        <w:tc>
          <w:tcPr>
            <w:tcW w:w="2434" w:type="dxa"/>
            <w:tcBorders>
              <w:left w:val="single" w:sz="4" w:space="0" w:color="000000"/>
              <w:bottom w:val="single" w:sz="4" w:space="0" w:color="000000"/>
            </w:tcBorders>
          </w:tcPr>
          <w:p>
            <w:pPr>
              <w:pStyle w:val="Normal"/>
              <w:widowControl w:val="false"/>
              <w:snapToGrid w:val="false"/>
              <w:spacing w:before="0" w:after="120"/>
              <w:rPr>
                <w:rFonts w:ascii="Calibri" w:hAnsi="Calibri" w:cs="Calibri"/>
                <w:sz w:val="21"/>
                <w:szCs w:val="21"/>
              </w:rPr>
            </w:pPr>
            <w:r>
              <w:rPr>
                <w:rFonts w:cs="Calibri"/>
                <w:sz w:val="21"/>
                <w:szCs w:val="21"/>
              </w:rPr>
              <w:t>Διάσταση τηλεόρασης</w:t>
            </w:r>
          </w:p>
        </w:tc>
        <w:tc>
          <w:tcPr>
            <w:tcW w:w="4353" w:type="dxa"/>
            <w:tcBorders>
              <w:left w:val="single" w:sz="4" w:space="0" w:color="000000"/>
              <w:bottom w:val="single" w:sz="4" w:space="0" w:color="000000"/>
            </w:tcBorders>
          </w:tcPr>
          <w:p>
            <w:pPr>
              <w:pStyle w:val="Normal"/>
              <w:widowControl w:val="false"/>
              <w:snapToGrid w:val="false"/>
              <w:spacing w:before="0" w:after="120"/>
              <w:rPr>
                <w:rFonts w:ascii="Calibri" w:hAnsi="Calibri" w:cs="Calibri"/>
                <w:sz w:val="21"/>
                <w:szCs w:val="21"/>
              </w:rPr>
            </w:pPr>
            <w:r>
              <w:rPr>
                <w:rFonts w:cs="Calibri"/>
                <w:sz w:val="21"/>
                <w:szCs w:val="21"/>
              </w:rPr>
              <w:t>Έως 42”</w:t>
            </w:r>
          </w:p>
        </w:tc>
        <w:tc>
          <w:tcPr>
            <w:tcW w:w="2629" w:type="dxa"/>
            <w:tcBorders>
              <w:left w:val="single" w:sz="4" w:space="0" w:color="000000"/>
              <w:bottom w:val="single" w:sz="4" w:space="0" w:color="000000"/>
              <w:right w:val="single" w:sz="4" w:space="0" w:color="000000"/>
            </w:tcBorders>
          </w:tcPr>
          <w:p>
            <w:pPr>
              <w:pStyle w:val="Style25"/>
              <w:widowControl w:val="false"/>
              <w:tabs>
                <w:tab w:val="clear" w:pos="720"/>
                <w:tab w:val="left" w:pos="-540" w:leader="none"/>
              </w:tabs>
              <w:snapToGrid w:val="false"/>
              <w:spacing w:before="0" w:after="240"/>
              <w:jc w:val="left"/>
              <w:rPr>
                <w:rFonts w:ascii="Calibri" w:hAnsi="Calibri" w:cs="Calibri"/>
                <w:sz w:val="21"/>
                <w:szCs w:val="21"/>
              </w:rPr>
            </w:pPr>
            <w:r>
              <w:rPr>
                <w:rFonts w:cs="Calibri"/>
                <w:sz w:val="21"/>
                <w:szCs w:val="21"/>
              </w:rPr>
              <w:t>μέγιστο</w:t>
            </w:r>
          </w:p>
        </w:tc>
      </w:tr>
      <w:tr>
        <w:trPr/>
        <w:tc>
          <w:tcPr>
            <w:tcW w:w="2434" w:type="dxa"/>
            <w:tcBorders>
              <w:left w:val="single" w:sz="4" w:space="0" w:color="000000"/>
              <w:bottom w:val="single" w:sz="4" w:space="0" w:color="000000"/>
            </w:tcBorders>
          </w:tcPr>
          <w:p>
            <w:pPr>
              <w:pStyle w:val="Normal"/>
              <w:widowControl w:val="false"/>
              <w:snapToGrid w:val="false"/>
              <w:spacing w:before="0" w:after="120"/>
              <w:rPr>
                <w:rFonts w:ascii="Calibri" w:hAnsi="Calibri" w:cs="Calibri"/>
                <w:sz w:val="21"/>
                <w:szCs w:val="21"/>
              </w:rPr>
            </w:pPr>
            <w:r>
              <w:rPr>
                <w:rFonts w:cs="Calibri"/>
                <w:sz w:val="21"/>
                <w:szCs w:val="21"/>
              </w:rPr>
              <w:t>Βάρος τηλεόρασης</w:t>
            </w:r>
          </w:p>
        </w:tc>
        <w:tc>
          <w:tcPr>
            <w:tcW w:w="4353" w:type="dxa"/>
            <w:tcBorders>
              <w:left w:val="single" w:sz="4" w:space="0" w:color="000000"/>
              <w:bottom w:val="single" w:sz="4" w:space="0" w:color="000000"/>
            </w:tcBorders>
          </w:tcPr>
          <w:p>
            <w:pPr>
              <w:pStyle w:val="Normal"/>
              <w:widowControl w:val="false"/>
              <w:snapToGrid w:val="false"/>
              <w:spacing w:before="0" w:after="120"/>
              <w:rPr>
                <w:sz w:val="21"/>
                <w:szCs w:val="21"/>
              </w:rPr>
            </w:pPr>
            <w:r>
              <w:rPr>
                <w:rFonts w:cs="Calibri"/>
                <w:sz w:val="21"/>
                <w:szCs w:val="21"/>
              </w:rPr>
              <w:t>Έως 20</w:t>
            </w:r>
            <w:r>
              <w:rPr>
                <w:rFonts w:cs="Calibri"/>
                <w:sz w:val="21"/>
                <w:szCs w:val="21"/>
                <w:lang w:val="en-US"/>
              </w:rPr>
              <w:t>Kg</w:t>
            </w:r>
          </w:p>
        </w:tc>
        <w:tc>
          <w:tcPr>
            <w:tcW w:w="2629" w:type="dxa"/>
            <w:tcBorders>
              <w:left w:val="single" w:sz="4" w:space="0" w:color="000000"/>
              <w:bottom w:val="single" w:sz="4" w:space="0" w:color="000000"/>
              <w:right w:val="single" w:sz="4" w:space="0" w:color="000000"/>
            </w:tcBorders>
          </w:tcPr>
          <w:p>
            <w:pPr>
              <w:pStyle w:val="Style25"/>
              <w:widowControl w:val="false"/>
              <w:tabs>
                <w:tab w:val="clear" w:pos="720"/>
                <w:tab w:val="left" w:pos="-540" w:leader="none"/>
              </w:tabs>
              <w:snapToGrid w:val="false"/>
              <w:spacing w:before="0" w:after="240"/>
              <w:jc w:val="left"/>
              <w:rPr>
                <w:rFonts w:ascii="Calibri" w:hAnsi="Calibri" w:cs="Calibri"/>
                <w:sz w:val="21"/>
                <w:szCs w:val="21"/>
              </w:rPr>
            </w:pPr>
            <w:r>
              <w:rPr>
                <w:rFonts w:cs="Calibri"/>
                <w:sz w:val="21"/>
                <w:szCs w:val="21"/>
              </w:rPr>
            </w:r>
          </w:p>
        </w:tc>
      </w:tr>
    </w:tbl>
    <w:p>
      <w:pPr>
        <w:pStyle w:val="Normal"/>
        <w:tabs>
          <w:tab w:val="clear" w:pos="720"/>
          <w:tab w:val="left" w:pos="4095" w:leader="none"/>
        </w:tabs>
        <w:rPr>
          <w:rFonts w:ascii="Calibri" w:hAnsi="Calibri" w:cs="Calibri"/>
          <w:b/>
          <w:b/>
          <w:sz w:val="22"/>
          <w:szCs w:val="22"/>
        </w:rPr>
      </w:pPr>
      <w:r>
        <w:rPr>
          <w:rFonts w:cs="Calibri"/>
          <w:b/>
          <w:sz w:val="22"/>
          <w:szCs w:val="22"/>
        </w:rPr>
      </w:r>
    </w:p>
    <w:p>
      <w:pPr>
        <w:pStyle w:val="Style25"/>
        <w:suppressAutoHyphens w:val="false"/>
        <w:ind w:left="1080" w:hanging="0"/>
        <w:rPr>
          <w:rFonts w:ascii="Calibri" w:hAnsi="Calibri" w:eastAsia="Calibri" w:cs="Calibri"/>
          <w:b/>
          <w:b/>
        </w:rPr>
      </w:pPr>
      <w:r>
        <w:rPr>
          <w:rFonts w:eastAsia="Calibri" w:cs="Calibri"/>
          <w:b/>
        </w:rPr>
        <w:t>6. Σαντουιτσιέρα-τοστιέρα</w:t>
      </w:r>
    </w:p>
    <w:tbl>
      <w:tblPr>
        <w:tblW w:w="9416" w:type="dxa"/>
        <w:jc w:val="left"/>
        <w:tblInd w:w="-65" w:type="dxa"/>
        <w:tblLayout w:type="fixed"/>
        <w:tblCellMar>
          <w:top w:w="0" w:type="dxa"/>
          <w:left w:w="108" w:type="dxa"/>
          <w:bottom w:w="0" w:type="dxa"/>
          <w:right w:w="108" w:type="dxa"/>
        </w:tblCellMar>
      </w:tblPr>
      <w:tblGrid>
        <w:gridCol w:w="3282"/>
        <w:gridCol w:w="3393"/>
        <w:gridCol w:w="2741"/>
      </w:tblGrid>
      <w:tr>
        <w:trPr/>
        <w:tc>
          <w:tcPr>
            <w:tcW w:w="3282" w:type="dxa"/>
            <w:tcBorders>
              <w:top w:val="single" w:sz="4" w:space="0" w:color="000000"/>
              <w:left w:val="single" w:sz="4" w:space="0" w:color="000000"/>
              <w:bottom w:val="single" w:sz="4" w:space="0" w:color="000000"/>
            </w:tcBorders>
            <w:shd w:fill="F2F2F2" w:val="clear"/>
          </w:tcPr>
          <w:p>
            <w:pPr>
              <w:pStyle w:val="Style25"/>
              <w:widowControl w:val="false"/>
              <w:tabs>
                <w:tab w:val="clear" w:pos="720"/>
                <w:tab w:val="left" w:pos="-540" w:leader="none"/>
              </w:tabs>
              <w:spacing w:before="0" w:after="240"/>
              <w:jc w:val="left"/>
              <w:rPr>
                <w:rFonts w:ascii="Calibri" w:hAnsi="Calibri" w:eastAsia="Calibri" w:cs="Calibri"/>
                <w:b/>
                <w:b/>
                <w:sz w:val="22"/>
                <w:szCs w:val="22"/>
              </w:rPr>
            </w:pPr>
            <w:r>
              <w:rPr>
                <w:rFonts w:eastAsia="Calibri" w:cs="Calibri"/>
                <w:b/>
                <w:sz w:val="22"/>
                <w:szCs w:val="22"/>
              </w:rPr>
              <w:t>Χαρακτηριστικό</w:t>
            </w:r>
          </w:p>
        </w:tc>
        <w:tc>
          <w:tcPr>
            <w:tcW w:w="3393" w:type="dxa"/>
            <w:tcBorders>
              <w:top w:val="single" w:sz="4" w:space="0" w:color="000000"/>
              <w:left w:val="single" w:sz="4" w:space="0" w:color="000000"/>
              <w:bottom w:val="single" w:sz="4" w:space="0" w:color="000000"/>
            </w:tcBorders>
            <w:shd w:fill="F2F2F2" w:val="clear"/>
          </w:tcPr>
          <w:p>
            <w:pPr>
              <w:pStyle w:val="Style25"/>
              <w:widowControl w:val="false"/>
              <w:tabs>
                <w:tab w:val="clear" w:pos="720"/>
                <w:tab w:val="left" w:pos="-540" w:leader="none"/>
              </w:tabs>
              <w:spacing w:before="0" w:after="240"/>
              <w:jc w:val="left"/>
              <w:rPr>
                <w:rFonts w:ascii="Calibri" w:hAnsi="Calibri" w:eastAsia="Calibri" w:cs="Calibri"/>
                <w:b/>
                <w:b/>
                <w:sz w:val="22"/>
                <w:szCs w:val="22"/>
              </w:rPr>
            </w:pPr>
            <w:r>
              <w:rPr>
                <w:rFonts w:eastAsia="Calibri" w:cs="Calibri"/>
                <w:b/>
                <w:sz w:val="22"/>
                <w:szCs w:val="22"/>
              </w:rPr>
              <w:t>Απαίτηση</w:t>
            </w:r>
          </w:p>
        </w:tc>
        <w:tc>
          <w:tcPr>
            <w:tcW w:w="2741" w:type="dxa"/>
            <w:tcBorders>
              <w:top w:val="single" w:sz="4" w:space="0" w:color="000000"/>
              <w:left w:val="single" w:sz="4" w:space="0" w:color="000000"/>
              <w:bottom w:val="single" w:sz="4" w:space="0" w:color="000000"/>
              <w:right w:val="single" w:sz="4" w:space="0" w:color="000000"/>
            </w:tcBorders>
            <w:shd w:fill="F2F2F2" w:val="clear"/>
          </w:tcPr>
          <w:p>
            <w:pPr>
              <w:pStyle w:val="Style25"/>
              <w:widowControl w:val="false"/>
              <w:tabs>
                <w:tab w:val="clear" w:pos="720"/>
                <w:tab w:val="left" w:pos="-540" w:leader="none"/>
              </w:tabs>
              <w:spacing w:before="0" w:after="240"/>
              <w:jc w:val="left"/>
              <w:rPr>
                <w:rFonts w:ascii="Calibri" w:hAnsi="Calibri" w:eastAsia="Calibri" w:cs="Calibri"/>
                <w:b/>
                <w:b/>
                <w:sz w:val="22"/>
                <w:szCs w:val="22"/>
              </w:rPr>
            </w:pPr>
            <w:r>
              <w:rPr>
                <w:rFonts w:eastAsia="Calibri" w:cs="Calibri"/>
                <w:b/>
                <w:sz w:val="22"/>
                <w:szCs w:val="22"/>
              </w:rPr>
              <w:t>Παρατηρήσεις</w:t>
            </w:r>
          </w:p>
        </w:tc>
      </w:tr>
      <w:tr>
        <w:trPr/>
        <w:tc>
          <w:tcPr>
            <w:tcW w:w="3282" w:type="dxa"/>
            <w:tcBorders>
              <w:top w:val="single" w:sz="4" w:space="0" w:color="000000"/>
              <w:left w:val="single" w:sz="4" w:space="0" w:color="000000"/>
              <w:bottom w:val="single" w:sz="4" w:space="0" w:color="000000"/>
            </w:tcBorders>
          </w:tcPr>
          <w:p>
            <w:pPr>
              <w:pStyle w:val="Style25"/>
              <w:widowControl w:val="false"/>
              <w:tabs>
                <w:tab w:val="clear" w:pos="720"/>
                <w:tab w:val="left" w:pos="-540" w:leader="none"/>
              </w:tabs>
              <w:snapToGrid w:val="false"/>
              <w:spacing w:before="0" w:after="240"/>
              <w:jc w:val="left"/>
              <w:rPr>
                <w:rFonts w:ascii="Calibri" w:hAnsi="Calibri" w:eastAsia="Calibri" w:cs="Calibri"/>
                <w:sz w:val="22"/>
                <w:szCs w:val="22"/>
              </w:rPr>
            </w:pPr>
            <w:r>
              <w:rPr>
                <w:rFonts w:eastAsia="Calibri" w:cs="Calibri"/>
                <w:sz w:val="22"/>
                <w:szCs w:val="22"/>
              </w:rPr>
              <w:t>Ισχύς</w:t>
            </w:r>
          </w:p>
        </w:tc>
        <w:tc>
          <w:tcPr>
            <w:tcW w:w="3393" w:type="dxa"/>
            <w:tcBorders>
              <w:top w:val="single" w:sz="4" w:space="0" w:color="000000"/>
              <w:left w:val="single" w:sz="4" w:space="0" w:color="000000"/>
              <w:bottom w:val="single" w:sz="4" w:space="0" w:color="000000"/>
            </w:tcBorders>
          </w:tcPr>
          <w:p>
            <w:pPr>
              <w:pStyle w:val="Style25"/>
              <w:widowControl w:val="false"/>
              <w:tabs>
                <w:tab w:val="clear" w:pos="720"/>
                <w:tab w:val="left" w:pos="-540" w:leader="none"/>
              </w:tabs>
              <w:snapToGrid w:val="false"/>
              <w:spacing w:before="0" w:after="240"/>
              <w:jc w:val="left"/>
              <w:rPr/>
            </w:pPr>
            <w:r>
              <w:rPr>
                <w:rFonts w:eastAsia="Calibri" w:cs="Calibri"/>
                <w:sz w:val="22"/>
                <w:szCs w:val="22"/>
              </w:rPr>
              <w:t>Τουλάχιστον 700</w:t>
            </w:r>
            <w:r>
              <w:rPr>
                <w:rFonts w:eastAsia="Calibri" w:cs="Calibri"/>
                <w:sz w:val="22"/>
                <w:szCs w:val="22"/>
                <w:lang w:val="en-US"/>
              </w:rPr>
              <w:t>W</w:t>
            </w:r>
          </w:p>
        </w:tc>
        <w:tc>
          <w:tcPr>
            <w:tcW w:w="2741" w:type="dxa"/>
            <w:tcBorders>
              <w:top w:val="single" w:sz="4" w:space="0" w:color="000000"/>
              <w:left w:val="single" w:sz="4" w:space="0" w:color="000000"/>
              <w:bottom w:val="single" w:sz="4" w:space="0" w:color="000000"/>
              <w:right w:val="single" w:sz="4" w:space="0" w:color="000000"/>
            </w:tcBorders>
          </w:tcPr>
          <w:p>
            <w:pPr>
              <w:pStyle w:val="Style25"/>
              <w:widowControl w:val="false"/>
              <w:tabs>
                <w:tab w:val="clear" w:pos="720"/>
                <w:tab w:val="left" w:pos="-540" w:leader="none"/>
              </w:tabs>
              <w:snapToGrid w:val="false"/>
              <w:spacing w:before="0" w:after="240"/>
              <w:jc w:val="left"/>
              <w:rPr>
                <w:rFonts w:ascii="Calibri" w:hAnsi="Calibri" w:eastAsia="Calibri" w:cs="Calibri"/>
                <w:sz w:val="22"/>
                <w:szCs w:val="22"/>
              </w:rPr>
            </w:pPr>
            <w:r>
              <w:rPr>
                <w:rFonts w:eastAsia="Calibri" w:cs="Calibri"/>
                <w:sz w:val="22"/>
                <w:szCs w:val="22"/>
              </w:rPr>
            </w:r>
          </w:p>
        </w:tc>
      </w:tr>
      <w:tr>
        <w:trPr/>
        <w:tc>
          <w:tcPr>
            <w:tcW w:w="3282" w:type="dxa"/>
            <w:tcBorders>
              <w:top w:val="single" w:sz="4" w:space="0" w:color="000000"/>
              <w:left w:val="single" w:sz="4" w:space="0" w:color="000000"/>
              <w:bottom w:val="single" w:sz="4" w:space="0" w:color="000000"/>
            </w:tcBorders>
          </w:tcPr>
          <w:p>
            <w:pPr>
              <w:pStyle w:val="Style25"/>
              <w:widowControl w:val="false"/>
              <w:tabs>
                <w:tab w:val="clear" w:pos="720"/>
                <w:tab w:val="left" w:pos="-540" w:leader="none"/>
              </w:tabs>
              <w:snapToGrid w:val="false"/>
              <w:spacing w:before="0" w:after="240"/>
              <w:jc w:val="left"/>
              <w:rPr>
                <w:rFonts w:ascii="Calibri" w:hAnsi="Calibri" w:eastAsia="Calibri" w:cs="Calibri"/>
                <w:sz w:val="22"/>
                <w:szCs w:val="22"/>
              </w:rPr>
            </w:pPr>
            <w:r>
              <w:rPr>
                <w:rFonts w:eastAsia="Calibri" w:cs="Calibri"/>
                <w:sz w:val="22"/>
                <w:szCs w:val="22"/>
              </w:rPr>
              <w:t>Αριθμός τοστ</w:t>
            </w:r>
          </w:p>
        </w:tc>
        <w:tc>
          <w:tcPr>
            <w:tcW w:w="3393" w:type="dxa"/>
            <w:tcBorders>
              <w:top w:val="single" w:sz="4" w:space="0" w:color="000000"/>
              <w:left w:val="single" w:sz="4" w:space="0" w:color="000000"/>
              <w:bottom w:val="single" w:sz="4" w:space="0" w:color="000000"/>
            </w:tcBorders>
          </w:tcPr>
          <w:p>
            <w:pPr>
              <w:pStyle w:val="Style25"/>
              <w:widowControl w:val="false"/>
              <w:tabs>
                <w:tab w:val="clear" w:pos="720"/>
                <w:tab w:val="left" w:pos="-540" w:leader="none"/>
              </w:tabs>
              <w:snapToGrid w:val="false"/>
              <w:spacing w:before="0" w:after="240"/>
              <w:jc w:val="left"/>
              <w:rPr>
                <w:rFonts w:ascii="Calibri" w:hAnsi="Calibri" w:eastAsia="Calibri" w:cs="Calibri"/>
                <w:sz w:val="22"/>
                <w:szCs w:val="22"/>
              </w:rPr>
            </w:pPr>
            <w:r>
              <w:rPr>
                <w:rFonts w:eastAsia="Calibri" w:cs="Calibri"/>
                <w:sz w:val="22"/>
                <w:szCs w:val="22"/>
              </w:rPr>
              <w:t>2</w:t>
            </w:r>
          </w:p>
        </w:tc>
        <w:tc>
          <w:tcPr>
            <w:tcW w:w="2741" w:type="dxa"/>
            <w:tcBorders>
              <w:top w:val="single" w:sz="4" w:space="0" w:color="000000"/>
              <w:left w:val="single" w:sz="4" w:space="0" w:color="000000"/>
              <w:bottom w:val="single" w:sz="4" w:space="0" w:color="000000"/>
              <w:right w:val="single" w:sz="4" w:space="0" w:color="000000"/>
            </w:tcBorders>
          </w:tcPr>
          <w:p>
            <w:pPr>
              <w:pStyle w:val="Style25"/>
              <w:widowControl w:val="false"/>
              <w:tabs>
                <w:tab w:val="clear" w:pos="720"/>
                <w:tab w:val="left" w:pos="-540" w:leader="none"/>
              </w:tabs>
              <w:snapToGrid w:val="false"/>
              <w:spacing w:before="0" w:after="240"/>
              <w:jc w:val="left"/>
              <w:rPr>
                <w:rFonts w:ascii="Calibri" w:hAnsi="Calibri" w:eastAsia="Calibri" w:cs="Calibri"/>
                <w:sz w:val="22"/>
                <w:szCs w:val="22"/>
              </w:rPr>
            </w:pPr>
            <w:r>
              <w:rPr>
                <w:rFonts w:eastAsia="Calibri" w:cs="Calibri"/>
                <w:sz w:val="22"/>
                <w:szCs w:val="22"/>
              </w:rPr>
            </w:r>
          </w:p>
        </w:tc>
      </w:tr>
      <w:tr>
        <w:trPr/>
        <w:tc>
          <w:tcPr>
            <w:tcW w:w="3282" w:type="dxa"/>
            <w:tcBorders>
              <w:top w:val="single" w:sz="4" w:space="0" w:color="000000"/>
              <w:left w:val="single" w:sz="4" w:space="0" w:color="000000"/>
              <w:bottom w:val="single" w:sz="4" w:space="0" w:color="000000"/>
            </w:tcBorders>
          </w:tcPr>
          <w:p>
            <w:pPr>
              <w:pStyle w:val="Style25"/>
              <w:widowControl w:val="false"/>
              <w:tabs>
                <w:tab w:val="clear" w:pos="720"/>
                <w:tab w:val="left" w:pos="-540" w:leader="none"/>
              </w:tabs>
              <w:snapToGrid w:val="false"/>
              <w:spacing w:before="0" w:after="240"/>
              <w:jc w:val="left"/>
              <w:rPr>
                <w:rFonts w:ascii="Calibri" w:hAnsi="Calibri" w:eastAsia="Calibri" w:cs="Calibri"/>
                <w:sz w:val="22"/>
                <w:szCs w:val="22"/>
              </w:rPr>
            </w:pPr>
            <w:r>
              <w:rPr>
                <w:rFonts w:eastAsia="Calibri" w:cs="Calibri"/>
                <w:sz w:val="22"/>
                <w:szCs w:val="22"/>
              </w:rPr>
              <w:t>Αντικολλητικές πλάκες</w:t>
            </w:r>
          </w:p>
        </w:tc>
        <w:tc>
          <w:tcPr>
            <w:tcW w:w="3393" w:type="dxa"/>
            <w:tcBorders>
              <w:top w:val="single" w:sz="4" w:space="0" w:color="000000"/>
              <w:left w:val="single" w:sz="4" w:space="0" w:color="000000"/>
              <w:bottom w:val="single" w:sz="4" w:space="0" w:color="000000"/>
            </w:tcBorders>
          </w:tcPr>
          <w:p>
            <w:pPr>
              <w:pStyle w:val="Style25"/>
              <w:widowControl w:val="false"/>
              <w:tabs>
                <w:tab w:val="clear" w:pos="720"/>
                <w:tab w:val="left" w:pos="-540" w:leader="none"/>
              </w:tabs>
              <w:snapToGrid w:val="false"/>
              <w:spacing w:before="0" w:after="240"/>
              <w:jc w:val="left"/>
              <w:rPr>
                <w:rFonts w:ascii="Calibri" w:hAnsi="Calibri" w:eastAsia="Calibri" w:cs="Calibri"/>
                <w:sz w:val="22"/>
                <w:szCs w:val="22"/>
              </w:rPr>
            </w:pPr>
            <w:r>
              <w:rPr>
                <w:rFonts w:eastAsia="Calibri" w:cs="Calibri"/>
                <w:sz w:val="22"/>
                <w:szCs w:val="22"/>
              </w:rPr>
              <w:t>Ναι</w:t>
            </w:r>
          </w:p>
        </w:tc>
        <w:tc>
          <w:tcPr>
            <w:tcW w:w="2741" w:type="dxa"/>
            <w:tcBorders>
              <w:top w:val="single" w:sz="4" w:space="0" w:color="000000"/>
              <w:left w:val="single" w:sz="4" w:space="0" w:color="000000"/>
              <w:bottom w:val="single" w:sz="4" w:space="0" w:color="000000"/>
              <w:right w:val="single" w:sz="4" w:space="0" w:color="000000"/>
            </w:tcBorders>
          </w:tcPr>
          <w:p>
            <w:pPr>
              <w:pStyle w:val="Style25"/>
              <w:widowControl w:val="false"/>
              <w:tabs>
                <w:tab w:val="clear" w:pos="720"/>
                <w:tab w:val="left" w:pos="-540" w:leader="none"/>
              </w:tabs>
              <w:snapToGrid w:val="false"/>
              <w:spacing w:before="0" w:after="240"/>
              <w:jc w:val="left"/>
              <w:rPr>
                <w:rFonts w:ascii="Calibri" w:hAnsi="Calibri" w:eastAsia="Calibri" w:cs="Calibri"/>
                <w:sz w:val="22"/>
                <w:szCs w:val="22"/>
              </w:rPr>
            </w:pPr>
            <w:r>
              <w:rPr>
                <w:rFonts w:eastAsia="Calibri" w:cs="Calibri"/>
                <w:sz w:val="22"/>
                <w:szCs w:val="22"/>
              </w:rPr>
            </w:r>
          </w:p>
        </w:tc>
      </w:tr>
      <w:tr>
        <w:trPr/>
        <w:tc>
          <w:tcPr>
            <w:tcW w:w="3282" w:type="dxa"/>
            <w:tcBorders>
              <w:top w:val="single" w:sz="4" w:space="0" w:color="000000"/>
              <w:left w:val="single" w:sz="4" w:space="0" w:color="000000"/>
              <w:bottom w:val="single" w:sz="4" w:space="0" w:color="000000"/>
            </w:tcBorders>
          </w:tcPr>
          <w:p>
            <w:pPr>
              <w:pStyle w:val="Style25"/>
              <w:widowControl w:val="false"/>
              <w:tabs>
                <w:tab w:val="clear" w:pos="720"/>
                <w:tab w:val="left" w:pos="-540" w:leader="none"/>
              </w:tabs>
              <w:snapToGrid w:val="false"/>
              <w:spacing w:before="0" w:after="240"/>
              <w:jc w:val="left"/>
              <w:rPr>
                <w:rFonts w:ascii="Calibri" w:hAnsi="Calibri" w:eastAsia="Calibri" w:cs="Calibri"/>
                <w:sz w:val="22"/>
                <w:szCs w:val="22"/>
              </w:rPr>
            </w:pPr>
            <w:r>
              <w:rPr>
                <w:rFonts w:eastAsia="Calibri" w:cs="Calibri"/>
                <w:sz w:val="22"/>
                <w:szCs w:val="22"/>
              </w:rPr>
              <w:t>Αποσπώμενες πλάκες</w:t>
            </w:r>
          </w:p>
        </w:tc>
        <w:tc>
          <w:tcPr>
            <w:tcW w:w="3393" w:type="dxa"/>
            <w:tcBorders>
              <w:top w:val="single" w:sz="4" w:space="0" w:color="000000"/>
              <w:left w:val="single" w:sz="4" w:space="0" w:color="000000"/>
              <w:bottom w:val="single" w:sz="4" w:space="0" w:color="000000"/>
            </w:tcBorders>
          </w:tcPr>
          <w:p>
            <w:pPr>
              <w:pStyle w:val="Style25"/>
              <w:widowControl w:val="false"/>
              <w:tabs>
                <w:tab w:val="clear" w:pos="720"/>
                <w:tab w:val="left" w:pos="-540" w:leader="none"/>
              </w:tabs>
              <w:snapToGrid w:val="false"/>
              <w:spacing w:before="0" w:after="240"/>
              <w:jc w:val="left"/>
              <w:rPr>
                <w:rFonts w:ascii="Calibri" w:hAnsi="Calibri" w:eastAsia="Calibri" w:cs="Calibri"/>
                <w:sz w:val="22"/>
                <w:szCs w:val="22"/>
              </w:rPr>
            </w:pPr>
            <w:r>
              <w:rPr>
                <w:rFonts w:eastAsia="Calibri" w:cs="Calibri"/>
                <w:sz w:val="22"/>
                <w:szCs w:val="22"/>
              </w:rPr>
              <w:t>Ναι</w:t>
            </w:r>
          </w:p>
        </w:tc>
        <w:tc>
          <w:tcPr>
            <w:tcW w:w="2741" w:type="dxa"/>
            <w:tcBorders>
              <w:top w:val="single" w:sz="4" w:space="0" w:color="000000"/>
              <w:left w:val="single" w:sz="4" w:space="0" w:color="000000"/>
              <w:bottom w:val="single" w:sz="4" w:space="0" w:color="000000"/>
              <w:right w:val="single" w:sz="4" w:space="0" w:color="000000"/>
            </w:tcBorders>
          </w:tcPr>
          <w:p>
            <w:pPr>
              <w:pStyle w:val="Style25"/>
              <w:widowControl w:val="false"/>
              <w:tabs>
                <w:tab w:val="clear" w:pos="720"/>
                <w:tab w:val="left" w:pos="-540" w:leader="none"/>
              </w:tabs>
              <w:snapToGrid w:val="false"/>
              <w:spacing w:before="0" w:after="240"/>
              <w:jc w:val="left"/>
              <w:rPr>
                <w:rFonts w:ascii="Calibri" w:hAnsi="Calibri" w:eastAsia="Calibri" w:cs="Calibri"/>
                <w:sz w:val="22"/>
                <w:szCs w:val="22"/>
              </w:rPr>
            </w:pPr>
            <w:r>
              <w:rPr>
                <w:rFonts w:eastAsia="Calibri" w:cs="Calibri"/>
                <w:sz w:val="22"/>
                <w:szCs w:val="22"/>
              </w:rPr>
            </w:r>
          </w:p>
        </w:tc>
      </w:tr>
      <w:tr>
        <w:trPr/>
        <w:tc>
          <w:tcPr>
            <w:tcW w:w="3282" w:type="dxa"/>
            <w:tcBorders>
              <w:top w:val="single" w:sz="4" w:space="0" w:color="000000"/>
              <w:left w:val="single" w:sz="4" w:space="0" w:color="000000"/>
              <w:bottom w:val="single" w:sz="4" w:space="0" w:color="000000"/>
            </w:tcBorders>
          </w:tcPr>
          <w:p>
            <w:pPr>
              <w:pStyle w:val="Style25"/>
              <w:widowControl w:val="false"/>
              <w:tabs>
                <w:tab w:val="clear" w:pos="720"/>
                <w:tab w:val="left" w:pos="-540" w:leader="none"/>
              </w:tabs>
              <w:snapToGrid w:val="false"/>
              <w:spacing w:before="0" w:after="240"/>
              <w:jc w:val="left"/>
              <w:rPr/>
            </w:pPr>
            <w:r>
              <w:rPr>
                <w:rFonts w:eastAsia="Calibri" w:cs="Calibri"/>
                <w:sz w:val="22"/>
                <w:szCs w:val="22"/>
              </w:rPr>
              <w:t xml:space="preserve">Πλάκες </w:t>
            </w:r>
            <w:r>
              <w:rPr>
                <w:rFonts w:eastAsia="Calibri" w:cs="Calibri"/>
                <w:sz w:val="22"/>
                <w:szCs w:val="22"/>
                <w:lang w:val="en-US"/>
              </w:rPr>
              <w:t>Grill</w:t>
            </w:r>
          </w:p>
        </w:tc>
        <w:tc>
          <w:tcPr>
            <w:tcW w:w="3393" w:type="dxa"/>
            <w:tcBorders>
              <w:top w:val="single" w:sz="4" w:space="0" w:color="000000"/>
              <w:left w:val="single" w:sz="4" w:space="0" w:color="000000"/>
              <w:bottom w:val="single" w:sz="4" w:space="0" w:color="000000"/>
            </w:tcBorders>
          </w:tcPr>
          <w:p>
            <w:pPr>
              <w:pStyle w:val="Style25"/>
              <w:widowControl w:val="false"/>
              <w:tabs>
                <w:tab w:val="clear" w:pos="720"/>
                <w:tab w:val="left" w:pos="-540" w:leader="none"/>
              </w:tabs>
              <w:snapToGrid w:val="false"/>
              <w:spacing w:before="0" w:after="240"/>
              <w:jc w:val="left"/>
              <w:rPr>
                <w:rFonts w:ascii="Calibri" w:hAnsi="Calibri" w:eastAsia="Calibri" w:cs="Calibri"/>
                <w:sz w:val="22"/>
                <w:szCs w:val="22"/>
              </w:rPr>
            </w:pPr>
            <w:r>
              <w:rPr>
                <w:rFonts w:eastAsia="Calibri" w:cs="Calibri"/>
                <w:sz w:val="22"/>
                <w:szCs w:val="22"/>
              </w:rPr>
              <w:t>Ναι</w:t>
            </w:r>
          </w:p>
        </w:tc>
        <w:tc>
          <w:tcPr>
            <w:tcW w:w="2741" w:type="dxa"/>
            <w:tcBorders>
              <w:top w:val="single" w:sz="4" w:space="0" w:color="000000"/>
              <w:left w:val="single" w:sz="4" w:space="0" w:color="000000"/>
              <w:bottom w:val="single" w:sz="4" w:space="0" w:color="000000"/>
              <w:right w:val="single" w:sz="4" w:space="0" w:color="000000"/>
            </w:tcBorders>
          </w:tcPr>
          <w:p>
            <w:pPr>
              <w:pStyle w:val="Style25"/>
              <w:widowControl w:val="false"/>
              <w:tabs>
                <w:tab w:val="clear" w:pos="720"/>
                <w:tab w:val="left" w:pos="-540" w:leader="none"/>
              </w:tabs>
              <w:snapToGrid w:val="false"/>
              <w:spacing w:before="0" w:after="240"/>
              <w:jc w:val="left"/>
              <w:rPr>
                <w:rFonts w:ascii="Calibri" w:hAnsi="Calibri" w:eastAsia="Calibri" w:cs="Calibri"/>
                <w:sz w:val="22"/>
                <w:szCs w:val="22"/>
              </w:rPr>
            </w:pPr>
            <w:r>
              <w:rPr>
                <w:rFonts w:eastAsia="Calibri" w:cs="Calibri"/>
                <w:sz w:val="22"/>
                <w:szCs w:val="22"/>
              </w:rPr>
            </w:r>
          </w:p>
        </w:tc>
      </w:tr>
      <w:tr>
        <w:trPr/>
        <w:tc>
          <w:tcPr>
            <w:tcW w:w="3282" w:type="dxa"/>
            <w:tcBorders>
              <w:top w:val="single" w:sz="4" w:space="0" w:color="000000"/>
              <w:left w:val="single" w:sz="4" w:space="0" w:color="000000"/>
              <w:bottom w:val="single" w:sz="4" w:space="0" w:color="000000"/>
            </w:tcBorders>
          </w:tcPr>
          <w:p>
            <w:pPr>
              <w:pStyle w:val="Style25"/>
              <w:widowControl w:val="false"/>
              <w:tabs>
                <w:tab w:val="clear" w:pos="720"/>
                <w:tab w:val="left" w:pos="-540" w:leader="none"/>
              </w:tabs>
              <w:snapToGrid w:val="false"/>
              <w:spacing w:before="0" w:after="240"/>
              <w:jc w:val="left"/>
              <w:rPr>
                <w:rFonts w:ascii="Calibri" w:hAnsi="Calibri" w:eastAsia="Calibri" w:cs="Calibri"/>
                <w:sz w:val="22"/>
                <w:szCs w:val="22"/>
              </w:rPr>
            </w:pPr>
            <w:r>
              <w:rPr>
                <w:rFonts w:eastAsia="Calibri" w:cs="Calibri"/>
                <w:sz w:val="22"/>
                <w:szCs w:val="22"/>
              </w:rPr>
              <w:t>Εγγύηση</w:t>
            </w:r>
          </w:p>
        </w:tc>
        <w:tc>
          <w:tcPr>
            <w:tcW w:w="3393" w:type="dxa"/>
            <w:tcBorders>
              <w:top w:val="single" w:sz="4" w:space="0" w:color="000000"/>
              <w:left w:val="single" w:sz="4" w:space="0" w:color="000000"/>
              <w:bottom w:val="single" w:sz="4" w:space="0" w:color="000000"/>
            </w:tcBorders>
          </w:tcPr>
          <w:p>
            <w:pPr>
              <w:pStyle w:val="Style25"/>
              <w:widowControl w:val="false"/>
              <w:tabs>
                <w:tab w:val="clear" w:pos="720"/>
                <w:tab w:val="left" w:pos="-540" w:leader="none"/>
              </w:tabs>
              <w:snapToGrid w:val="false"/>
              <w:spacing w:before="0" w:after="240"/>
              <w:jc w:val="left"/>
              <w:rPr>
                <w:rFonts w:ascii="Calibri" w:hAnsi="Calibri" w:eastAsia="Calibri" w:cs="Calibri"/>
                <w:sz w:val="22"/>
                <w:szCs w:val="22"/>
              </w:rPr>
            </w:pPr>
            <w:r>
              <w:rPr>
                <w:rFonts w:eastAsia="Calibri" w:cs="Calibri"/>
                <w:sz w:val="22"/>
                <w:szCs w:val="22"/>
              </w:rPr>
              <w:t>&gt;=2 έτη</w:t>
            </w:r>
          </w:p>
        </w:tc>
        <w:tc>
          <w:tcPr>
            <w:tcW w:w="2741" w:type="dxa"/>
            <w:tcBorders>
              <w:top w:val="single" w:sz="4" w:space="0" w:color="000000"/>
              <w:left w:val="single" w:sz="4" w:space="0" w:color="000000"/>
              <w:bottom w:val="single" w:sz="4" w:space="0" w:color="000000"/>
              <w:right w:val="single" w:sz="4" w:space="0" w:color="000000"/>
            </w:tcBorders>
          </w:tcPr>
          <w:p>
            <w:pPr>
              <w:pStyle w:val="Style25"/>
              <w:widowControl w:val="false"/>
              <w:tabs>
                <w:tab w:val="clear" w:pos="720"/>
                <w:tab w:val="left" w:pos="-540" w:leader="none"/>
              </w:tabs>
              <w:snapToGrid w:val="false"/>
              <w:spacing w:before="0" w:after="240"/>
              <w:jc w:val="left"/>
              <w:rPr>
                <w:rFonts w:ascii="Calibri" w:hAnsi="Calibri" w:eastAsia="Calibri" w:cs="Calibri"/>
                <w:sz w:val="22"/>
                <w:szCs w:val="22"/>
              </w:rPr>
            </w:pPr>
            <w:r>
              <w:rPr>
                <w:rFonts w:eastAsia="Calibri" w:cs="Calibri"/>
                <w:sz w:val="22"/>
                <w:szCs w:val="22"/>
              </w:rPr>
            </w:r>
          </w:p>
        </w:tc>
      </w:tr>
    </w:tbl>
    <w:p>
      <w:pPr>
        <w:pStyle w:val="Style25"/>
        <w:tabs>
          <w:tab w:val="clear" w:pos="720"/>
          <w:tab w:val="center" w:pos="1985" w:leader="none"/>
          <w:tab w:val="center" w:pos="7371" w:leader="none"/>
        </w:tabs>
        <w:rPr>
          <w:rFonts w:ascii="Calibri" w:hAnsi="Calibri" w:eastAsia="Calibri" w:cs="Calibri"/>
          <w:b/>
          <w:b/>
        </w:rPr>
      </w:pPr>
      <w:r>
        <w:rPr>
          <w:rFonts w:eastAsia="Calibri" w:cs="Calibri"/>
          <w:b/>
        </w:rPr>
      </w:r>
    </w:p>
    <w:p>
      <w:pPr>
        <w:pStyle w:val="Style25"/>
        <w:ind w:left="1080" w:hanging="0"/>
        <w:rPr>
          <w:rFonts w:ascii="Calibri" w:hAnsi="Calibri" w:eastAsia="Calibri" w:cs="Calibri"/>
          <w:b/>
          <w:b/>
        </w:rPr>
      </w:pPr>
      <w:r>
        <w:rPr>
          <w:rFonts w:eastAsia="Calibri" w:cs="Calibri"/>
          <w:b/>
        </w:rPr>
        <w:t>7. Καφετιέρα φίλτρου</w:t>
      </w:r>
    </w:p>
    <w:tbl>
      <w:tblPr>
        <w:tblW w:w="9416" w:type="dxa"/>
        <w:jc w:val="left"/>
        <w:tblInd w:w="-65" w:type="dxa"/>
        <w:tblLayout w:type="fixed"/>
        <w:tblCellMar>
          <w:top w:w="0" w:type="dxa"/>
          <w:left w:w="108" w:type="dxa"/>
          <w:bottom w:w="0" w:type="dxa"/>
          <w:right w:w="108" w:type="dxa"/>
        </w:tblCellMar>
      </w:tblPr>
      <w:tblGrid>
        <w:gridCol w:w="3321"/>
        <w:gridCol w:w="3556"/>
        <w:gridCol w:w="2539"/>
      </w:tblGrid>
      <w:tr>
        <w:trPr/>
        <w:tc>
          <w:tcPr>
            <w:tcW w:w="3321" w:type="dxa"/>
            <w:tcBorders>
              <w:top w:val="single" w:sz="4" w:space="0" w:color="000000"/>
              <w:left w:val="single" w:sz="4" w:space="0" w:color="000000"/>
              <w:bottom w:val="single" w:sz="4" w:space="0" w:color="000000"/>
            </w:tcBorders>
            <w:shd w:fill="F2F2F2" w:val="clear"/>
          </w:tcPr>
          <w:p>
            <w:pPr>
              <w:pStyle w:val="Style25"/>
              <w:widowControl w:val="false"/>
              <w:tabs>
                <w:tab w:val="clear" w:pos="720"/>
                <w:tab w:val="left" w:pos="-540" w:leader="none"/>
              </w:tabs>
              <w:spacing w:before="0" w:after="240"/>
              <w:jc w:val="left"/>
              <w:rPr>
                <w:rFonts w:ascii="Calibri" w:hAnsi="Calibri" w:eastAsia="Calibri" w:cs="Calibri"/>
                <w:b/>
                <w:b/>
                <w:sz w:val="22"/>
                <w:szCs w:val="22"/>
              </w:rPr>
            </w:pPr>
            <w:r>
              <w:rPr>
                <w:rFonts w:eastAsia="Calibri" w:cs="Calibri"/>
                <w:b/>
                <w:sz w:val="22"/>
                <w:szCs w:val="22"/>
              </w:rPr>
              <w:t>Χαρακτηριστικό</w:t>
            </w:r>
          </w:p>
        </w:tc>
        <w:tc>
          <w:tcPr>
            <w:tcW w:w="3556" w:type="dxa"/>
            <w:tcBorders>
              <w:top w:val="single" w:sz="4" w:space="0" w:color="000000"/>
              <w:left w:val="single" w:sz="4" w:space="0" w:color="000000"/>
              <w:bottom w:val="single" w:sz="4" w:space="0" w:color="000000"/>
            </w:tcBorders>
            <w:shd w:fill="F2F2F2" w:val="clear"/>
          </w:tcPr>
          <w:p>
            <w:pPr>
              <w:pStyle w:val="Style25"/>
              <w:widowControl w:val="false"/>
              <w:tabs>
                <w:tab w:val="clear" w:pos="720"/>
                <w:tab w:val="left" w:pos="-540" w:leader="none"/>
              </w:tabs>
              <w:spacing w:before="0" w:after="240"/>
              <w:jc w:val="left"/>
              <w:rPr>
                <w:rFonts w:ascii="Calibri" w:hAnsi="Calibri" w:eastAsia="Calibri" w:cs="Calibri"/>
                <w:b/>
                <w:b/>
                <w:sz w:val="22"/>
                <w:szCs w:val="22"/>
              </w:rPr>
            </w:pPr>
            <w:r>
              <w:rPr>
                <w:rFonts w:eastAsia="Calibri" w:cs="Calibri"/>
                <w:b/>
                <w:sz w:val="22"/>
                <w:szCs w:val="22"/>
              </w:rPr>
              <w:t>Απαίτηση</w:t>
            </w:r>
          </w:p>
        </w:tc>
        <w:tc>
          <w:tcPr>
            <w:tcW w:w="2539" w:type="dxa"/>
            <w:tcBorders>
              <w:top w:val="single" w:sz="4" w:space="0" w:color="000000"/>
              <w:left w:val="single" w:sz="4" w:space="0" w:color="000000"/>
              <w:bottom w:val="single" w:sz="4" w:space="0" w:color="000000"/>
              <w:right w:val="single" w:sz="4" w:space="0" w:color="000000"/>
            </w:tcBorders>
            <w:shd w:fill="F2F2F2" w:val="clear"/>
          </w:tcPr>
          <w:p>
            <w:pPr>
              <w:pStyle w:val="Style25"/>
              <w:widowControl w:val="false"/>
              <w:tabs>
                <w:tab w:val="clear" w:pos="720"/>
                <w:tab w:val="left" w:pos="-540" w:leader="none"/>
              </w:tabs>
              <w:spacing w:before="0" w:after="240"/>
              <w:jc w:val="left"/>
              <w:rPr>
                <w:rFonts w:ascii="Calibri" w:hAnsi="Calibri" w:eastAsia="Calibri" w:cs="Calibri"/>
                <w:b/>
                <w:b/>
                <w:sz w:val="22"/>
                <w:szCs w:val="22"/>
              </w:rPr>
            </w:pPr>
            <w:r>
              <w:rPr>
                <w:rFonts w:eastAsia="Calibri" w:cs="Calibri"/>
                <w:b/>
                <w:sz w:val="22"/>
                <w:szCs w:val="22"/>
              </w:rPr>
              <w:t>Παρατηρήσεις</w:t>
            </w:r>
          </w:p>
        </w:tc>
      </w:tr>
      <w:tr>
        <w:trPr/>
        <w:tc>
          <w:tcPr>
            <w:tcW w:w="3321" w:type="dxa"/>
            <w:tcBorders>
              <w:top w:val="single" w:sz="4" w:space="0" w:color="000000"/>
              <w:left w:val="single" w:sz="4" w:space="0" w:color="000000"/>
              <w:bottom w:val="single" w:sz="4" w:space="0" w:color="000000"/>
            </w:tcBorders>
          </w:tcPr>
          <w:p>
            <w:pPr>
              <w:pStyle w:val="Style25"/>
              <w:widowControl w:val="false"/>
              <w:tabs>
                <w:tab w:val="clear" w:pos="720"/>
                <w:tab w:val="left" w:pos="-540" w:leader="none"/>
              </w:tabs>
              <w:snapToGrid w:val="false"/>
              <w:spacing w:before="0" w:after="240"/>
              <w:jc w:val="left"/>
              <w:rPr>
                <w:rFonts w:ascii="Calibri" w:hAnsi="Calibri" w:cs="Calibri"/>
                <w:sz w:val="22"/>
                <w:szCs w:val="22"/>
              </w:rPr>
            </w:pPr>
            <w:r>
              <w:rPr>
                <w:rFonts w:cs="Calibri"/>
                <w:sz w:val="22"/>
                <w:szCs w:val="22"/>
              </w:rPr>
              <w:t>Χωρητικότητα σε φλυτζάνια</w:t>
            </w:r>
          </w:p>
        </w:tc>
        <w:tc>
          <w:tcPr>
            <w:tcW w:w="3556" w:type="dxa"/>
            <w:tcBorders>
              <w:top w:val="single" w:sz="4" w:space="0" w:color="000000"/>
              <w:left w:val="single" w:sz="4" w:space="0" w:color="000000"/>
              <w:bottom w:val="single" w:sz="4" w:space="0" w:color="000000"/>
            </w:tcBorders>
          </w:tcPr>
          <w:p>
            <w:pPr>
              <w:pStyle w:val="Style25"/>
              <w:widowControl w:val="false"/>
              <w:tabs>
                <w:tab w:val="clear" w:pos="720"/>
                <w:tab w:val="left" w:pos="-540" w:leader="none"/>
              </w:tabs>
              <w:snapToGrid w:val="false"/>
              <w:spacing w:before="0" w:after="240"/>
              <w:jc w:val="left"/>
              <w:rPr>
                <w:rFonts w:ascii="Calibri" w:hAnsi="Calibri" w:cs="Calibri"/>
                <w:sz w:val="22"/>
                <w:szCs w:val="22"/>
              </w:rPr>
            </w:pPr>
            <w:r>
              <w:rPr>
                <w:rFonts w:cs="Calibri"/>
                <w:sz w:val="22"/>
                <w:szCs w:val="22"/>
              </w:rPr>
              <w:t>&gt;=10</w:t>
            </w:r>
          </w:p>
        </w:tc>
        <w:tc>
          <w:tcPr>
            <w:tcW w:w="2539" w:type="dxa"/>
            <w:tcBorders>
              <w:top w:val="single" w:sz="4" w:space="0" w:color="000000"/>
              <w:left w:val="single" w:sz="4" w:space="0" w:color="000000"/>
              <w:bottom w:val="single" w:sz="4" w:space="0" w:color="000000"/>
              <w:right w:val="single" w:sz="4" w:space="0" w:color="000000"/>
            </w:tcBorders>
          </w:tcPr>
          <w:p>
            <w:pPr>
              <w:pStyle w:val="Style25"/>
              <w:widowControl w:val="false"/>
              <w:tabs>
                <w:tab w:val="clear" w:pos="720"/>
                <w:tab w:val="left" w:pos="-540" w:leader="none"/>
              </w:tabs>
              <w:snapToGrid w:val="false"/>
              <w:spacing w:before="0" w:after="240"/>
              <w:jc w:val="left"/>
              <w:rPr>
                <w:rFonts w:ascii="Calibri" w:hAnsi="Calibri" w:cs="Calibri"/>
                <w:sz w:val="22"/>
                <w:szCs w:val="22"/>
                <w:lang w:val="en-US"/>
              </w:rPr>
            </w:pPr>
            <w:r>
              <w:rPr>
                <w:rFonts w:cs="Calibri"/>
                <w:sz w:val="22"/>
                <w:szCs w:val="22"/>
                <w:lang w:val="en-US"/>
              </w:rPr>
            </w:r>
          </w:p>
        </w:tc>
      </w:tr>
      <w:tr>
        <w:trPr/>
        <w:tc>
          <w:tcPr>
            <w:tcW w:w="3321" w:type="dxa"/>
            <w:tcBorders>
              <w:top w:val="single" w:sz="4" w:space="0" w:color="000000"/>
              <w:left w:val="single" w:sz="4" w:space="0" w:color="000000"/>
              <w:bottom w:val="single" w:sz="4" w:space="0" w:color="000000"/>
            </w:tcBorders>
          </w:tcPr>
          <w:p>
            <w:pPr>
              <w:pStyle w:val="Style25"/>
              <w:widowControl w:val="false"/>
              <w:tabs>
                <w:tab w:val="clear" w:pos="720"/>
                <w:tab w:val="left" w:pos="-540" w:leader="none"/>
              </w:tabs>
              <w:snapToGrid w:val="false"/>
              <w:spacing w:before="0" w:after="240"/>
              <w:jc w:val="left"/>
              <w:rPr>
                <w:rFonts w:ascii="Calibri" w:hAnsi="Calibri" w:cs="Calibri"/>
                <w:sz w:val="22"/>
                <w:szCs w:val="22"/>
              </w:rPr>
            </w:pPr>
            <w:r>
              <w:rPr>
                <w:rFonts w:cs="Calibri"/>
                <w:sz w:val="22"/>
                <w:szCs w:val="22"/>
              </w:rPr>
              <w:t>Χωρητικότητα σε λίτρα</w:t>
            </w:r>
          </w:p>
        </w:tc>
        <w:tc>
          <w:tcPr>
            <w:tcW w:w="3556" w:type="dxa"/>
            <w:tcBorders>
              <w:top w:val="single" w:sz="4" w:space="0" w:color="000000"/>
              <w:left w:val="single" w:sz="4" w:space="0" w:color="000000"/>
              <w:bottom w:val="single" w:sz="4" w:space="0" w:color="000000"/>
            </w:tcBorders>
          </w:tcPr>
          <w:p>
            <w:pPr>
              <w:pStyle w:val="Style25"/>
              <w:widowControl w:val="false"/>
              <w:tabs>
                <w:tab w:val="clear" w:pos="720"/>
                <w:tab w:val="left" w:pos="-540" w:leader="none"/>
              </w:tabs>
              <w:snapToGrid w:val="false"/>
              <w:spacing w:before="0" w:after="240"/>
              <w:jc w:val="left"/>
              <w:rPr/>
            </w:pPr>
            <w:r>
              <w:rPr>
                <w:rFonts w:cs="Calibri"/>
                <w:sz w:val="22"/>
                <w:szCs w:val="22"/>
              </w:rPr>
              <w:t xml:space="preserve">&gt;=1 </w:t>
            </w:r>
            <w:r>
              <w:rPr>
                <w:rFonts w:cs="Calibri"/>
                <w:sz w:val="22"/>
                <w:szCs w:val="22"/>
                <w:lang w:val="en-US"/>
              </w:rPr>
              <w:t>Lt</w:t>
            </w:r>
          </w:p>
        </w:tc>
        <w:tc>
          <w:tcPr>
            <w:tcW w:w="2539" w:type="dxa"/>
            <w:tcBorders>
              <w:top w:val="single" w:sz="4" w:space="0" w:color="000000"/>
              <w:left w:val="single" w:sz="4" w:space="0" w:color="000000"/>
              <w:bottom w:val="single" w:sz="4" w:space="0" w:color="000000"/>
              <w:right w:val="single" w:sz="4" w:space="0" w:color="000000"/>
            </w:tcBorders>
          </w:tcPr>
          <w:p>
            <w:pPr>
              <w:pStyle w:val="Style25"/>
              <w:widowControl w:val="false"/>
              <w:tabs>
                <w:tab w:val="clear" w:pos="720"/>
                <w:tab w:val="left" w:pos="-540" w:leader="none"/>
              </w:tabs>
              <w:snapToGrid w:val="false"/>
              <w:spacing w:before="0" w:after="240"/>
              <w:jc w:val="left"/>
              <w:rPr>
                <w:rFonts w:ascii="Calibri" w:hAnsi="Calibri" w:cs="Calibri"/>
                <w:sz w:val="22"/>
                <w:szCs w:val="22"/>
                <w:lang w:val="en-US"/>
              </w:rPr>
            </w:pPr>
            <w:r>
              <w:rPr>
                <w:rFonts w:cs="Calibri"/>
                <w:sz w:val="22"/>
                <w:szCs w:val="22"/>
                <w:lang w:val="en-US"/>
              </w:rPr>
            </w:r>
          </w:p>
        </w:tc>
      </w:tr>
      <w:tr>
        <w:trPr/>
        <w:tc>
          <w:tcPr>
            <w:tcW w:w="3321" w:type="dxa"/>
            <w:tcBorders>
              <w:top w:val="single" w:sz="4" w:space="0" w:color="000000"/>
              <w:left w:val="single" w:sz="4" w:space="0" w:color="000000"/>
              <w:bottom w:val="single" w:sz="4" w:space="0" w:color="000000"/>
            </w:tcBorders>
          </w:tcPr>
          <w:p>
            <w:pPr>
              <w:pStyle w:val="Style25"/>
              <w:widowControl w:val="false"/>
              <w:tabs>
                <w:tab w:val="clear" w:pos="720"/>
                <w:tab w:val="left" w:pos="-540" w:leader="none"/>
              </w:tabs>
              <w:snapToGrid w:val="false"/>
              <w:spacing w:before="0" w:after="240"/>
              <w:jc w:val="left"/>
              <w:rPr>
                <w:rFonts w:ascii="Calibri" w:hAnsi="Calibri" w:cs="Calibri"/>
                <w:sz w:val="22"/>
                <w:szCs w:val="22"/>
              </w:rPr>
            </w:pPr>
            <w:r>
              <w:rPr>
                <w:rFonts w:cs="Calibri"/>
                <w:sz w:val="22"/>
                <w:szCs w:val="22"/>
              </w:rPr>
              <w:t>Ισχύς</w:t>
            </w:r>
          </w:p>
        </w:tc>
        <w:tc>
          <w:tcPr>
            <w:tcW w:w="3556" w:type="dxa"/>
            <w:tcBorders>
              <w:top w:val="single" w:sz="4" w:space="0" w:color="000000"/>
              <w:left w:val="single" w:sz="4" w:space="0" w:color="000000"/>
              <w:bottom w:val="single" w:sz="4" w:space="0" w:color="000000"/>
            </w:tcBorders>
          </w:tcPr>
          <w:p>
            <w:pPr>
              <w:pStyle w:val="Style25"/>
              <w:widowControl w:val="false"/>
              <w:tabs>
                <w:tab w:val="clear" w:pos="720"/>
                <w:tab w:val="left" w:pos="-540" w:leader="none"/>
              </w:tabs>
              <w:snapToGrid w:val="false"/>
              <w:spacing w:before="0" w:after="240"/>
              <w:jc w:val="left"/>
              <w:rPr/>
            </w:pPr>
            <w:r>
              <w:rPr>
                <w:rFonts w:cs="Calibri"/>
                <w:sz w:val="22"/>
                <w:szCs w:val="22"/>
              </w:rPr>
              <w:t>&gt;=1000</w:t>
            </w:r>
            <w:r>
              <w:rPr>
                <w:rFonts w:cs="Calibri"/>
                <w:sz w:val="22"/>
                <w:szCs w:val="22"/>
                <w:lang w:val="en-US"/>
              </w:rPr>
              <w:t>W</w:t>
            </w:r>
          </w:p>
        </w:tc>
        <w:tc>
          <w:tcPr>
            <w:tcW w:w="2539" w:type="dxa"/>
            <w:tcBorders>
              <w:top w:val="single" w:sz="4" w:space="0" w:color="000000"/>
              <w:left w:val="single" w:sz="4" w:space="0" w:color="000000"/>
              <w:bottom w:val="single" w:sz="4" w:space="0" w:color="000000"/>
              <w:right w:val="single" w:sz="4" w:space="0" w:color="000000"/>
            </w:tcBorders>
          </w:tcPr>
          <w:p>
            <w:pPr>
              <w:pStyle w:val="Style25"/>
              <w:widowControl w:val="false"/>
              <w:tabs>
                <w:tab w:val="clear" w:pos="720"/>
                <w:tab w:val="left" w:pos="-540" w:leader="none"/>
              </w:tabs>
              <w:snapToGrid w:val="false"/>
              <w:spacing w:before="0" w:after="240"/>
              <w:jc w:val="left"/>
              <w:rPr>
                <w:rFonts w:ascii="Calibri" w:hAnsi="Calibri" w:cs="Calibri"/>
                <w:sz w:val="22"/>
                <w:szCs w:val="22"/>
              </w:rPr>
            </w:pPr>
            <w:r>
              <w:rPr>
                <w:rFonts w:cs="Calibri"/>
                <w:sz w:val="22"/>
                <w:szCs w:val="22"/>
              </w:rPr>
            </w:r>
          </w:p>
        </w:tc>
      </w:tr>
      <w:tr>
        <w:trPr>
          <w:trHeight w:val="238" w:hRule="atLeast"/>
        </w:trPr>
        <w:tc>
          <w:tcPr>
            <w:tcW w:w="3321" w:type="dxa"/>
            <w:tcBorders>
              <w:top w:val="single" w:sz="4" w:space="0" w:color="000000"/>
              <w:left w:val="single" w:sz="4" w:space="0" w:color="000000"/>
              <w:bottom w:val="single" w:sz="4" w:space="0" w:color="000000"/>
            </w:tcBorders>
          </w:tcPr>
          <w:p>
            <w:pPr>
              <w:pStyle w:val="Style25"/>
              <w:widowControl w:val="false"/>
              <w:tabs>
                <w:tab w:val="clear" w:pos="720"/>
                <w:tab w:val="left" w:pos="-540" w:leader="none"/>
              </w:tabs>
              <w:snapToGrid w:val="false"/>
              <w:spacing w:before="0" w:after="240"/>
              <w:jc w:val="left"/>
              <w:rPr>
                <w:rFonts w:ascii="Calibri" w:hAnsi="Calibri" w:cs="Calibri"/>
                <w:sz w:val="22"/>
                <w:szCs w:val="22"/>
              </w:rPr>
            </w:pPr>
            <w:r>
              <w:rPr>
                <w:rFonts w:cs="Calibri"/>
                <w:sz w:val="22"/>
                <w:szCs w:val="22"/>
              </w:rPr>
              <w:t>Ασφάλεια υπερθέρμανσης</w:t>
            </w:r>
          </w:p>
        </w:tc>
        <w:tc>
          <w:tcPr>
            <w:tcW w:w="3556" w:type="dxa"/>
            <w:tcBorders>
              <w:top w:val="single" w:sz="4" w:space="0" w:color="000000"/>
              <w:left w:val="single" w:sz="4" w:space="0" w:color="000000"/>
              <w:bottom w:val="single" w:sz="4" w:space="0" w:color="000000"/>
            </w:tcBorders>
          </w:tcPr>
          <w:p>
            <w:pPr>
              <w:pStyle w:val="Style25"/>
              <w:widowControl w:val="false"/>
              <w:tabs>
                <w:tab w:val="clear" w:pos="720"/>
                <w:tab w:val="left" w:pos="-540" w:leader="none"/>
              </w:tabs>
              <w:snapToGrid w:val="false"/>
              <w:spacing w:before="0" w:after="240"/>
              <w:jc w:val="left"/>
              <w:rPr>
                <w:rFonts w:ascii="Calibri" w:hAnsi="Calibri" w:cs="Calibri"/>
                <w:sz w:val="22"/>
                <w:szCs w:val="22"/>
              </w:rPr>
            </w:pPr>
            <w:r>
              <w:rPr>
                <w:rFonts w:cs="Calibri"/>
                <w:sz w:val="22"/>
                <w:szCs w:val="22"/>
              </w:rPr>
              <w:t>Ναι</w:t>
            </w:r>
          </w:p>
        </w:tc>
        <w:tc>
          <w:tcPr>
            <w:tcW w:w="2539" w:type="dxa"/>
            <w:tcBorders>
              <w:top w:val="single" w:sz="4" w:space="0" w:color="000000"/>
              <w:left w:val="single" w:sz="4" w:space="0" w:color="000000"/>
              <w:bottom w:val="single" w:sz="4" w:space="0" w:color="000000"/>
              <w:right w:val="single" w:sz="4" w:space="0" w:color="000000"/>
            </w:tcBorders>
          </w:tcPr>
          <w:p>
            <w:pPr>
              <w:pStyle w:val="Style25"/>
              <w:widowControl w:val="false"/>
              <w:tabs>
                <w:tab w:val="clear" w:pos="720"/>
                <w:tab w:val="left" w:pos="-540" w:leader="none"/>
              </w:tabs>
              <w:snapToGrid w:val="false"/>
              <w:spacing w:before="0" w:after="240"/>
              <w:jc w:val="left"/>
              <w:rPr>
                <w:rFonts w:ascii="Calibri" w:hAnsi="Calibri" w:cs="Calibri"/>
                <w:sz w:val="22"/>
                <w:szCs w:val="22"/>
              </w:rPr>
            </w:pPr>
            <w:r>
              <w:rPr>
                <w:rFonts w:cs="Calibri"/>
                <w:sz w:val="22"/>
                <w:szCs w:val="22"/>
              </w:rPr>
            </w:r>
          </w:p>
        </w:tc>
      </w:tr>
      <w:tr>
        <w:trPr>
          <w:trHeight w:val="238" w:hRule="atLeast"/>
        </w:trPr>
        <w:tc>
          <w:tcPr>
            <w:tcW w:w="3321" w:type="dxa"/>
            <w:tcBorders>
              <w:left w:val="single" w:sz="4" w:space="0" w:color="000000"/>
              <w:bottom w:val="single" w:sz="4" w:space="0" w:color="000000"/>
            </w:tcBorders>
          </w:tcPr>
          <w:p>
            <w:pPr>
              <w:pStyle w:val="Style25"/>
              <w:widowControl w:val="false"/>
              <w:tabs>
                <w:tab w:val="clear" w:pos="720"/>
                <w:tab w:val="left" w:pos="-540" w:leader="none"/>
              </w:tabs>
              <w:snapToGrid w:val="false"/>
              <w:spacing w:before="0" w:after="240"/>
              <w:jc w:val="left"/>
              <w:rPr>
                <w:rFonts w:ascii="Calibri" w:hAnsi="Calibri" w:cs="Calibri"/>
                <w:sz w:val="22"/>
                <w:szCs w:val="22"/>
              </w:rPr>
            </w:pPr>
            <w:r>
              <w:rPr>
                <w:rFonts w:cs="Calibri"/>
                <w:sz w:val="22"/>
                <w:szCs w:val="22"/>
              </w:rPr>
              <w:t>Αυτόματη διακοπή λειτουργίας</w:t>
            </w:r>
          </w:p>
        </w:tc>
        <w:tc>
          <w:tcPr>
            <w:tcW w:w="3556" w:type="dxa"/>
            <w:tcBorders>
              <w:left w:val="single" w:sz="4" w:space="0" w:color="000000"/>
              <w:bottom w:val="single" w:sz="4" w:space="0" w:color="000000"/>
            </w:tcBorders>
          </w:tcPr>
          <w:p>
            <w:pPr>
              <w:pStyle w:val="Style25"/>
              <w:widowControl w:val="false"/>
              <w:tabs>
                <w:tab w:val="clear" w:pos="720"/>
                <w:tab w:val="left" w:pos="-540" w:leader="none"/>
              </w:tabs>
              <w:snapToGrid w:val="false"/>
              <w:spacing w:before="0" w:after="240"/>
              <w:jc w:val="left"/>
              <w:rPr>
                <w:rFonts w:ascii="Calibri" w:hAnsi="Calibri" w:cs="Calibri"/>
                <w:sz w:val="22"/>
                <w:szCs w:val="22"/>
              </w:rPr>
            </w:pPr>
            <w:r>
              <w:rPr>
                <w:rFonts w:cs="Calibri"/>
                <w:sz w:val="22"/>
                <w:szCs w:val="22"/>
              </w:rPr>
              <w:t>Ναι</w:t>
            </w:r>
          </w:p>
        </w:tc>
        <w:tc>
          <w:tcPr>
            <w:tcW w:w="2539" w:type="dxa"/>
            <w:tcBorders>
              <w:left w:val="single" w:sz="4" w:space="0" w:color="000000"/>
              <w:bottom w:val="single" w:sz="4" w:space="0" w:color="000000"/>
              <w:right w:val="single" w:sz="4" w:space="0" w:color="000000"/>
            </w:tcBorders>
          </w:tcPr>
          <w:p>
            <w:pPr>
              <w:pStyle w:val="Style25"/>
              <w:widowControl w:val="false"/>
              <w:tabs>
                <w:tab w:val="clear" w:pos="720"/>
                <w:tab w:val="left" w:pos="-540" w:leader="none"/>
              </w:tabs>
              <w:snapToGrid w:val="false"/>
              <w:spacing w:before="0" w:after="240"/>
              <w:jc w:val="left"/>
              <w:rPr>
                <w:rFonts w:ascii="Calibri" w:hAnsi="Calibri" w:cs="Calibri"/>
                <w:sz w:val="22"/>
                <w:szCs w:val="22"/>
              </w:rPr>
            </w:pPr>
            <w:r>
              <w:rPr>
                <w:rFonts w:cs="Calibri"/>
                <w:sz w:val="22"/>
                <w:szCs w:val="22"/>
              </w:rPr>
            </w:r>
          </w:p>
        </w:tc>
      </w:tr>
      <w:tr>
        <w:trPr/>
        <w:tc>
          <w:tcPr>
            <w:tcW w:w="3321" w:type="dxa"/>
            <w:tcBorders>
              <w:left w:val="single" w:sz="4" w:space="0" w:color="000000"/>
              <w:bottom w:val="single" w:sz="4" w:space="0" w:color="000000"/>
            </w:tcBorders>
          </w:tcPr>
          <w:p>
            <w:pPr>
              <w:pStyle w:val="Style25"/>
              <w:widowControl w:val="false"/>
              <w:tabs>
                <w:tab w:val="clear" w:pos="720"/>
                <w:tab w:val="left" w:pos="-540" w:leader="none"/>
              </w:tabs>
              <w:snapToGrid w:val="false"/>
              <w:spacing w:before="0" w:after="240"/>
              <w:jc w:val="left"/>
              <w:rPr>
                <w:rFonts w:ascii="Calibri" w:hAnsi="Calibri" w:cs="Calibri"/>
                <w:sz w:val="22"/>
                <w:szCs w:val="22"/>
              </w:rPr>
            </w:pPr>
            <w:r>
              <w:rPr>
                <w:rFonts w:cs="Calibri"/>
                <w:sz w:val="22"/>
                <w:szCs w:val="22"/>
              </w:rPr>
              <w:t>Ένδειξη στάθμης νερού</w:t>
            </w:r>
          </w:p>
        </w:tc>
        <w:tc>
          <w:tcPr>
            <w:tcW w:w="3556" w:type="dxa"/>
            <w:tcBorders>
              <w:left w:val="single" w:sz="4" w:space="0" w:color="000000"/>
              <w:bottom w:val="single" w:sz="4" w:space="0" w:color="000000"/>
            </w:tcBorders>
          </w:tcPr>
          <w:p>
            <w:pPr>
              <w:pStyle w:val="Style25"/>
              <w:widowControl w:val="false"/>
              <w:tabs>
                <w:tab w:val="clear" w:pos="720"/>
                <w:tab w:val="left" w:pos="-540" w:leader="none"/>
              </w:tabs>
              <w:snapToGrid w:val="false"/>
              <w:spacing w:before="0" w:after="240"/>
              <w:jc w:val="left"/>
              <w:rPr>
                <w:rFonts w:ascii="Calibri" w:hAnsi="Calibri" w:cs="Calibri"/>
                <w:sz w:val="22"/>
                <w:szCs w:val="22"/>
              </w:rPr>
            </w:pPr>
            <w:r>
              <w:rPr>
                <w:rFonts w:cs="Calibri"/>
                <w:sz w:val="22"/>
                <w:szCs w:val="22"/>
              </w:rPr>
              <w:t>Ναι</w:t>
            </w:r>
          </w:p>
        </w:tc>
        <w:tc>
          <w:tcPr>
            <w:tcW w:w="2539" w:type="dxa"/>
            <w:tcBorders>
              <w:left w:val="single" w:sz="4" w:space="0" w:color="000000"/>
              <w:bottom w:val="single" w:sz="4" w:space="0" w:color="000000"/>
              <w:right w:val="single" w:sz="4" w:space="0" w:color="000000"/>
            </w:tcBorders>
          </w:tcPr>
          <w:p>
            <w:pPr>
              <w:pStyle w:val="Style25"/>
              <w:widowControl w:val="false"/>
              <w:tabs>
                <w:tab w:val="clear" w:pos="720"/>
                <w:tab w:val="left" w:pos="-540" w:leader="none"/>
              </w:tabs>
              <w:snapToGrid w:val="false"/>
              <w:spacing w:before="0" w:after="240"/>
              <w:jc w:val="left"/>
              <w:rPr>
                <w:rFonts w:ascii="Calibri" w:hAnsi="Calibri" w:cs="Calibri"/>
                <w:sz w:val="22"/>
                <w:szCs w:val="22"/>
              </w:rPr>
            </w:pPr>
            <w:r>
              <w:rPr>
                <w:rFonts w:cs="Calibri"/>
                <w:sz w:val="22"/>
                <w:szCs w:val="22"/>
              </w:rPr>
            </w:r>
          </w:p>
        </w:tc>
      </w:tr>
      <w:tr>
        <w:trPr/>
        <w:tc>
          <w:tcPr>
            <w:tcW w:w="3321" w:type="dxa"/>
            <w:tcBorders>
              <w:left w:val="single" w:sz="4" w:space="0" w:color="000000"/>
              <w:bottom w:val="single" w:sz="4" w:space="0" w:color="000000"/>
            </w:tcBorders>
          </w:tcPr>
          <w:p>
            <w:pPr>
              <w:pStyle w:val="Style25"/>
              <w:widowControl w:val="false"/>
              <w:tabs>
                <w:tab w:val="clear" w:pos="720"/>
                <w:tab w:val="left" w:pos="-540" w:leader="none"/>
              </w:tabs>
              <w:snapToGrid w:val="false"/>
              <w:spacing w:before="0" w:after="240"/>
              <w:jc w:val="left"/>
              <w:rPr>
                <w:rFonts w:ascii="Calibri" w:hAnsi="Calibri" w:cs="Calibri"/>
                <w:sz w:val="22"/>
                <w:szCs w:val="22"/>
              </w:rPr>
            </w:pPr>
            <w:r>
              <w:rPr>
                <w:rFonts w:cs="Calibri"/>
                <w:sz w:val="22"/>
                <w:szCs w:val="22"/>
              </w:rPr>
              <w:t>Εγγύηση</w:t>
            </w:r>
          </w:p>
        </w:tc>
        <w:tc>
          <w:tcPr>
            <w:tcW w:w="3556" w:type="dxa"/>
            <w:tcBorders>
              <w:left w:val="single" w:sz="4" w:space="0" w:color="000000"/>
              <w:bottom w:val="single" w:sz="4" w:space="0" w:color="000000"/>
            </w:tcBorders>
          </w:tcPr>
          <w:p>
            <w:pPr>
              <w:pStyle w:val="Style25"/>
              <w:widowControl w:val="false"/>
              <w:tabs>
                <w:tab w:val="clear" w:pos="720"/>
                <w:tab w:val="left" w:pos="-540" w:leader="none"/>
              </w:tabs>
              <w:snapToGrid w:val="false"/>
              <w:spacing w:before="0" w:after="240"/>
              <w:jc w:val="left"/>
              <w:rPr>
                <w:rFonts w:ascii="Calibri" w:hAnsi="Calibri" w:cs="Calibri"/>
                <w:sz w:val="22"/>
                <w:szCs w:val="22"/>
              </w:rPr>
            </w:pPr>
            <w:r>
              <w:rPr>
                <w:rFonts w:cs="Calibri"/>
                <w:sz w:val="22"/>
                <w:szCs w:val="22"/>
              </w:rPr>
              <w:t>&gt;=2 χρόνια</w:t>
            </w:r>
          </w:p>
        </w:tc>
        <w:tc>
          <w:tcPr>
            <w:tcW w:w="2539" w:type="dxa"/>
            <w:tcBorders>
              <w:left w:val="single" w:sz="4" w:space="0" w:color="000000"/>
              <w:bottom w:val="single" w:sz="4" w:space="0" w:color="000000"/>
              <w:right w:val="single" w:sz="4" w:space="0" w:color="000000"/>
            </w:tcBorders>
          </w:tcPr>
          <w:p>
            <w:pPr>
              <w:pStyle w:val="Style25"/>
              <w:widowControl w:val="false"/>
              <w:tabs>
                <w:tab w:val="clear" w:pos="720"/>
                <w:tab w:val="left" w:pos="-540" w:leader="none"/>
              </w:tabs>
              <w:snapToGrid w:val="false"/>
              <w:spacing w:before="0" w:after="240"/>
              <w:jc w:val="left"/>
              <w:rPr>
                <w:rFonts w:ascii="Calibri" w:hAnsi="Calibri" w:cs="Calibri"/>
                <w:sz w:val="22"/>
                <w:szCs w:val="22"/>
              </w:rPr>
            </w:pPr>
            <w:r>
              <w:rPr>
                <w:rFonts w:cs="Calibri"/>
                <w:sz w:val="22"/>
                <w:szCs w:val="22"/>
              </w:rPr>
            </w:r>
          </w:p>
        </w:tc>
      </w:tr>
    </w:tbl>
    <w:p>
      <w:pPr>
        <w:pStyle w:val="Style25"/>
        <w:tabs>
          <w:tab w:val="clear" w:pos="720"/>
          <w:tab w:val="left" w:pos="1062" w:leader="none"/>
        </w:tabs>
        <w:rPr>
          <w:rFonts w:ascii="Calibri" w:hAnsi="Calibri" w:eastAsia="Calibri" w:cs="Calibri"/>
          <w:b/>
          <w:b/>
        </w:rPr>
      </w:pPr>
      <w:r>
        <w:rPr>
          <w:rFonts w:eastAsia="Calibri" w:cs="Calibri"/>
          <w:b/>
        </w:rPr>
      </w:r>
    </w:p>
    <w:p>
      <w:pPr>
        <w:pStyle w:val="Style25"/>
        <w:ind w:left="1080" w:hanging="0"/>
        <w:rPr>
          <w:rFonts w:ascii="Calibri" w:hAnsi="Calibri" w:eastAsia="Calibri" w:cs="Calibri"/>
          <w:b/>
          <w:b/>
        </w:rPr>
      </w:pPr>
      <w:r>
        <w:rPr>
          <w:rFonts w:eastAsia="Calibri" w:cs="Calibri"/>
          <w:b/>
        </w:rPr>
        <w:t>8. Ατμοσίδερο</w:t>
      </w:r>
    </w:p>
    <w:tbl>
      <w:tblPr>
        <w:tblW w:w="9416" w:type="dxa"/>
        <w:jc w:val="left"/>
        <w:tblInd w:w="-65" w:type="dxa"/>
        <w:tblLayout w:type="fixed"/>
        <w:tblCellMar>
          <w:top w:w="0" w:type="dxa"/>
          <w:left w:w="108" w:type="dxa"/>
          <w:bottom w:w="0" w:type="dxa"/>
          <w:right w:w="108" w:type="dxa"/>
        </w:tblCellMar>
      </w:tblPr>
      <w:tblGrid>
        <w:gridCol w:w="3321"/>
        <w:gridCol w:w="3556"/>
        <w:gridCol w:w="2539"/>
      </w:tblGrid>
      <w:tr>
        <w:trPr/>
        <w:tc>
          <w:tcPr>
            <w:tcW w:w="3321" w:type="dxa"/>
            <w:tcBorders>
              <w:top w:val="single" w:sz="4" w:space="0" w:color="000000"/>
              <w:left w:val="single" w:sz="4" w:space="0" w:color="000000"/>
              <w:bottom w:val="single" w:sz="4" w:space="0" w:color="000000"/>
            </w:tcBorders>
            <w:shd w:fill="F2F2F2" w:val="clear"/>
          </w:tcPr>
          <w:p>
            <w:pPr>
              <w:pStyle w:val="Style25"/>
              <w:widowControl w:val="false"/>
              <w:tabs>
                <w:tab w:val="clear" w:pos="720"/>
                <w:tab w:val="left" w:pos="-540" w:leader="none"/>
              </w:tabs>
              <w:spacing w:before="0" w:after="240"/>
              <w:jc w:val="left"/>
              <w:rPr>
                <w:rFonts w:ascii="Calibri" w:hAnsi="Calibri" w:eastAsia="Calibri" w:cs="Calibri"/>
                <w:b/>
                <w:b/>
                <w:sz w:val="22"/>
                <w:szCs w:val="22"/>
              </w:rPr>
            </w:pPr>
            <w:r>
              <w:rPr>
                <w:rFonts w:eastAsia="Calibri" w:cs="Calibri"/>
                <w:b/>
                <w:sz w:val="22"/>
                <w:szCs w:val="22"/>
              </w:rPr>
              <w:t>Χαρακτηριστικό</w:t>
            </w:r>
          </w:p>
        </w:tc>
        <w:tc>
          <w:tcPr>
            <w:tcW w:w="3556" w:type="dxa"/>
            <w:tcBorders>
              <w:top w:val="single" w:sz="4" w:space="0" w:color="000000"/>
              <w:left w:val="single" w:sz="4" w:space="0" w:color="000000"/>
              <w:bottom w:val="single" w:sz="4" w:space="0" w:color="000000"/>
            </w:tcBorders>
            <w:shd w:fill="F2F2F2" w:val="clear"/>
          </w:tcPr>
          <w:p>
            <w:pPr>
              <w:pStyle w:val="Style25"/>
              <w:widowControl w:val="false"/>
              <w:tabs>
                <w:tab w:val="clear" w:pos="720"/>
                <w:tab w:val="left" w:pos="-540" w:leader="none"/>
              </w:tabs>
              <w:spacing w:before="0" w:after="240"/>
              <w:jc w:val="left"/>
              <w:rPr>
                <w:rFonts w:ascii="Calibri" w:hAnsi="Calibri" w:eastAsia="Calibri" w:cs="Calibri"/>
                <w:b/>
                <w:b/>
                <w:sz w:val="22"/>
                <w:szCs w:val="22"/>
              </w:rPr>
            </w:pPr>
            <w:r>
              <w:rPr>
                <w:rFonts w:eastAsia="Calibri" w:cs="Calibri"/>
                <w:b/>
                <w:sz w:val="22"/>
                <w:szCs w:val="22"/>
              </w:rPr>
              <w:t>Απαίτηση</w:t>
            </w:r>
          </w:p>
        </w:tc>
        <w:tc>
          <w:tcPr>
            <w:tcW w:w="2539" w:type="dxa"/>
            <w:tcBorders>
              <w:top w:val="single" w:sz="4" w:space="0" w:color="000000"/>
              <w:left w:val="single" w:sz="4" w:space="0" w:color="000000"/>
              <w:bottom w:val="single" w:sz="4" w:space="0" w:color="000000"/>
              <w:right w:val="single" w:sz="4" w:space="0" w:color="000000"/>
            </w:tcBorders>
            <w:shd w:fill="F2F2F2" w:val="clear"/>
          </w:tcPr>
          <w:p>
            <w:pPr>
              <w:pStyle w:val="Style25"/>
              <w:widowControl w:val="false"/>
              <w:tabs>
                <w:tab w:val="clear" w:pos="720"/>
                <w:tab w:val="left" w:pos="-540" w:leader="none"/>
              </w:tabs>
              <w:spacing w:before="0" w:after="240"/>
              <w:jc w:val="left"/>
              <w:rPr>
                <w:rFonts w:ascii="Calibri" w:hAnsi="Calibri" w:eastAsia="Calibri" w:cs="Calibri"/>
                <w:b/>
                <w:b/>
                <w:sz w:val="22"/>
                <w:szCs w:val="22"/>
              </w:rPr>
            </w:pPr>
            <w:r>
              <w:rPr>
                <w:rFonts w:eastAsia="Calibri" w:cs="Calibri"/>
                <w:b/>
                <w:sz w:val="22"/>
                <w:szCs w:val="22"/>
              </w:rPr>
              <w:t>Παρατηρήσεις</w:t>
            </w:r>
          </w:p>
        </w:tc>
      </w:tr>
      <w:tr>
        <w:trPr/>
        <w:tc>
          <w:tcPr>
            <w:tcW w:w="3321" w:type="dxa"/>
            <w:tcBorders>
              <w:top w:val="single" w:sz="4" w:space="0" w:color="000000"/>
              <w:left w:val="single" w:sz="4" w:space="0" w:color="000000"/>
              <w:bottom w:val="single" w:sz="4" w:space="0" w:color="000000"/>
            </w:tcBorders>
          </w:tcPr>
          <w:p>
            <w:pPr>
              <w:pStyle w:val="Style25"/>
              <w:widowControl w:val="false"/>
              <w:tabs>
                <w:tab w:val="clear" w:pos="720"/>
                <w:tab w:val="left" w:pos="-540" w:leader="none"/>
              </w:tabs>
              <w:spacing w:before="0" w:after="240"/>
              <w:jc w:val="left"/>
              <w:rPr>
                <w:rFonts w:ascii="Calibri" w:hAnsi="Calibri" w:cs="Calibri"/>
                <w:sz w:val="22"/>
                <w:szCs w:val="22"/>
              </w:rPr>
            </w:pPr>
            <w:r>
              <w:rPr>
                <w:rFonts w:cs="Calibri"/>
                <w:sz w:val="22"/>
                <w:szCs w:val="22"/>
              </w:rPr>
              <w:t>Ισχύς</w:t>
            </w:r>
          </w:p>
        </w:tc>
        <w:tc>
          <w:tcPr>
            <w:tcW w:w="3556" w:type="dxa"/>
            <w:tcBorders>
              <w:top w:val="single" w:sz="4" w:space="0" w:color="000000"/>
              <w:left w:val="single" w:sz="4" w:space="0" w:color="000000"/>
              <w:bottom w:val="single" w:sz="4" w:space="0" w:color="000000"/>
            </w:tcBorders>
          </w:tcPr>
          <w:p>
            <w:pPr>
              <w:pStyle w:val="Style25"/>
              <w:widowControl w:val="false"/>
              <w:tabs>
                <w:tab w:val="clear" w:pos="720"/>
                <w:tab w:val="left" w:pos="-540" w:leader="none"/>
              </w:tabs>
              <w:spacing w:before="0" w:after="240"/>
              <w:jc w:val="left"/>
              <w:rPr>
                <w:rFonts w:ascii="Calibri" w:hAnsi="Calibri" w:cs="Calibri"/>
                <w:sz w:val="22"/>
                <w:szCs w:val="22"/>
              </w:rPr>
            </w:pPr>
            <w:r>
              <w:rPr>
                <w:rFonts w:cs="Calibri"/>
                <w:sz w:val="22"/>
                <w:szCs w:val="22"/>
              </w:rPr>
              <w:t>3.000W</w:t>
            </w:r>
          </w:p>
        </w:tc>
        <w:tc>
          <w:tcPr>
            <w:tcW w:w="2539" w:type="dxa"/>
            <w:tcBorders>
              <w:top w:val="single" w:sz="4" w:space="0" w:color="000000"/>
              <w:left w:val="single" w:sz="4" w:space="0" w:color="000000"/>
              <w:bottom w:val="single" w:sz="4" w:space="0" w:color="000000"/>
              <w:right w:val="single" w:sz="4" w:space="0" w:color="000000"/>
            </w:tcBorders>
          </w:tcPr>
          <w:p>
            <w:pPr>
              <w:pStyle w:val="Style25"/>
              <w:widowControl w:val="false"/>
              <w:tabs>
                <w:tab w:val="clear" w:pos="720"/>
                <w:tab w:val="left" w:pos="-540" w:leader="none"/>
              </w:tabs>
              <w:snapToGrid w:val="false"/>
              <w:spacing w:before="0" w:after="240"/>
              <w:jc w:val="left"/>
              <w:rPr>
                <w:rFonts w:ascii="Calibri" w:hAnsi="Calibri" w:cs="Calibri"/>
                <w:sz w:val="22"/>
                <w:szCs w:val="22"/>
                <w:lang w:val="en-US"/>
              </w:rPr>
            </w:pPr>
            <w:r>
              <w:rPr>
                <w:rFonts w:cs="Calibri"/>
                <w:sz w:val="22"/>
                <w:szCs w:val="22"/>
                <w:lang w:val="en-US"/>
              </w:rPr>
            </w:r>
          </w:p>
        </w:tc>
      </w:tr>
      <w:tr>
        <w:trPr/>
        <w:tc>
          <w:tcPr>
            <w:tcW w:w="3321" w:type="dxa"/>
            <w:tcBorders>
              <w:top w:val="single" w:sz="4" w:space="0" w:color="000000"/>
              <w:left w:val="single" w:sz="4" w:space="0" w:color="000000"/>
              <w:bottom w:val="single" w:sz="4" w:space="0" w:color="000000"/>
            </w:tcBorders>
          </w:tcPr>
          <w:p>
            <w:pPr>
              <w:pStyle w:val="Style25"/>
              <w:widowControl w:val="false"/>
              <w:tabs>
                <w:tab w:val="clear" w:pos="720"/>
                <w:tab w:val="left" w:pos="-540" w:leader="none"/>
              </w:tabs>
              <w:spacing w:before="0" w:after="240"/>
              <w:jc w:val="left"/>
              <w:rPr>
                <w:rFonts w:ascii="Calibri" w:hAnsi="Calibri" w:cs="Calibri"/>
                <w:sz w:val="22"/>
                <w:szCs w:val="22"/>
              </w:rPr>
            </w:pPr>
            <w:r>
              <w:rPr>
                <w:rFonts w:cs="Calibri"/>
                <w:sz w:val="22"/>
                <w:szCs w:val="22"/>
              </w:rPr>
              <w:t>Ατμός</w:t>
            </w:r>
          </w:p>
        </w:tc>
        <w:tc>
          <w:tcPr>
            <w:tcW w:w="3556" w:type="dxa"/>
            <w:tcBorders>
              <w:top w:val="single" w:sz="4" w:space="0" w:color="000000"/>
              <w:left w:val="single" w:sz="4" w:space="0" w:color="000000"/>
              <w:bottom w:val="single" w:sz="4" w:space="0" w:color="000000"/>
            </w:tcBorders>
          </w:tcPr>
          <w:p>
            <w:pPr>
              <w:pStyle w:val="Style25"/>
              <w:widowControl w:val="false"/>
              <w:tabs>
                <w:tab w:val="clear" w:pos="720"/>
                <w:tab w:val="left" w:pos="-540" w:leader="none"/>
              </w:tabs>
              <w:spacing w:before="0" w:after="240"/>
              <w:jc w:val="left"/>
              <w:rPr>
                <w:rFonts w:ascii="Calibri" w:hAnsi="Calibri" w:cs="Calibri"/>
                <w:sz w:val="22"/>
                <w:szCs w:val="22"/>
              </w:rPr>
            </w:pPr>
            <w:r>
              <w:rPr>
                <w:rFonts w:cs="Calibri"/>
                <w:sz w:val="22"/>
                <w:szCs w:val="22"/>
              </w:rPr>
              <w:t>&gt;=50 gr/min</w:t>
            </w:r>
          </w:p>
        </w:tc>
        <w:tc>
          <w:tcPr>
            <w:tcW w:w="2539" w:type="dxa"/>
            <w:tcBorders>
              <w:top w:val="single" w:sz="4" w:space="0" w:color="000000"/>
              <w:left w:val="single" w:sz="4" w:space="0" w:color="000000"/>
              <w:bottom w:val="single" w:sz="4" w:space="0" w:color="000000"/>
              <w:right w:val="single" w:sz="4" w:space="0" w:color="000000"/>
            </w:tcBorders>
          </w:tcPr>
          <w:p>
            <w:pPr>
              <w:pStyle w:val="Style25"/>
              <w:widowControl w:val="false"/>
              <w:tabs>
                <w:tab w:val="clear" w:pos="720"/>
                <w:tab w:val="left" w:pos="-540" w:leader="none"/>
              </w:tabs>
              <w:snapToGrid w:val="false"/>
              <w:spacing w:before="0" w:after="240"/>
              <w:jc w:val="left"/>
              <w:rPr>
                <w:rFonts w:ascii="Calibri" w:hAnsi="Calibri" w:cs="Calibri"/>
                <w:sz w:val="22"/>
                <w:szCs w:val="22"/>
                <w:lang w:val="en-US"/>
              </w:rPr>
            </w:pPr>
            <w:r>
              <w:rPr>
                <w:rFonts w:cs="Calibri"/>
                <w:sz w:val="22"/>
                <w:szCs w:val="22"/>
                <w:lang w:val="en-US"/>
              </w:rPr>
            </w:r>
          </w:p>
        </w:tc>
      </w:tr>
      <w:tr>
        <w:trPr/>
        <w:tc>
          <w:tcPr>
            <w:tcW w:w="3321" w:type="dxa"/>
            <w:tcBorders>
              <w:top w:val="single" w:sz="4" w:space="0" w:color="000000"/>
              <w:left w:val="single" w:sz="4" w:space="0" w:color="000000"/>
              <w:bottom w:val="single" w:sz="4" w:space="0" w:color="000000"/>
            </w:tcBorders>
          </w:tcPr>
          <w:p>
            <w:pPr>
              <w:pStyle w:val="Style25"/>
              <w:widowControl w:val="false"/>
              <w:tabs>
                <w:tab w:val="clear" w:pos="720"/>
                <w:tab w:val="left" w:pos="-540" w:leader="none"/>
              </w:tabs>
              <w:spacing w:before="0" w:after="240"/>
              <w:jc w:val="left"/>
              <w:rPr>
                <w:rFonts w:ascii="Calibri" w:hAnsi="Calibri" w:cs="Calibri"/>
                <w:sz w:val="22"/>
                <w:szCs w:val="22"/>
              </w:rPr>
            </w:pPr>
            <w:r>
              <w:rPr>
                <w:rFonts w:cs="Calibri"/>
                <w:sz w:val="22"/>
                <w:szCs w:val="22"/>
              </w:rPr>
              <w:t>Πλάκα</w:t>
            </w:r>
          </w:p>
        </w:tc>
        <w:tc>
          <w:tcPr>
            <w:tcW w:w="3556" w:type="dxa"/>
            <w:tcBorders>
              <w:top w:val="single" w:sz="4" w:space="0" w:color="000000"/>
              <w:left w:val="single" w:sz="4" w:space="0" w:color="000000"/>
              <w:bottom w:val="single" w:sz="4" w:space="0" w:color="000000"/>
            </w:tcBorders>
          </w:tcPr>
          <w:p>
            <w:pPr>
              <w:pStyle w:val="Style25"/>
              <w:widowControl w:val="false"/>
              <w:tabs>
                <w:tab w:val="clear" w:pos="720"/>
                <w:tab w:val="left" w:pos="-540" w:leader="none"/>
              </w:tabs>
              <w:spacing w:before="0" w:after="240"/>
              <w:jc w:val="left"/>
              <w:rPr>
                <w:rFonts w:ascii="Calibri" w:hAnsi="Calibri" w:cs="Calibri"/>
                <w:sz w:val="22"/>
                <w:szCs w:val="22"/>
              </w:rPr>
            </w:pPr>
            <w:r>
              <w:rPr>
                <w:rFonts w:cs="Calibri"/>
                <w:sz w:val="22"/>
                <w:szCs w:val="22"/>
              </w:rPr>
              <w:t>Κεραμική</w:t>
            </w:r>
          </w:p>
        </w:tc>
        <w:tc>
          <w:tcPr>
            <w:tcW w:w="2539" w:type="dxa"/>
            <w:tcBorders>
              <w:top w:val="single" w:sz="4" w:space="0" w:color="000000"/>
              <w:left w:val="single" w:sz="4" w:space="0" w:color="000000"/>
              <w:bottom w:val="single" w:sz="4" w:space="0" w:color="000000"/>
              <w:right w:val="single" w:sz="4" w:space="0" w:color="000000"/>
            </w:tcBorders>
          </w:tcPr>
          <w:p>
            <w:pPr>
              <w:pStyle w:val="Style25"/>
              <w:widowControl w:val="false"/>
              <w:tabs>
                <w:tab w:val="clear" w:pos="720"/>
                <w:tab w:val="left" w:pos="-540" w:leader="none"/>
              </w:tabs>
              <w:snapToGrid w:val="false"/>
              <w:spacing w:before="0" w:after="240"/>
              <w:jc w:val="left"/>
              <w:rPr>
                <w:rFonts w:ascii="Calibri" w:hAnsi="Calibri" w:cs="Calibri"/>
                <w:sz w:val="22"/>
                <w:szCs w:val="22"/>
                <w:lang w:val="en-US"/>
              </w:rPr>
            </w:pPr>
            <w:r>
              <w:rPr>
                <w:rFonts w:cs="Calibri"/>
                <w:sz w:val="22"/>
                <w:szCs w:val="22"/>
                <w:lang w:val="en-US"/>
              </w:rPr>
            </w:r>
          </w:p>
        </w:tc>
      </w:tr>
      <w:tr>
        <w:trPr/>
        <w:tc>
          <w:tcPr>
            <w:tcW w:w="3321" w:type="dxa"/>
            <w:tcBorders>
              <w:top w:val="single" w:sz="4" w:space="0" w:color="000000"/>
              <w:left w:val="single" w:sz="4" w:space="0" w:color="000000"/>
              <w:bottom w:val="single" w:sz="4" w:space="0" w:color="000000"/>
            </w:tcBorders>
          </w:tcPr>
          <w:p>
            <w:pPr>
              <w:pStyle w:val="Style25"/>
              <w:widowControl w:val="false"/>
              <w:tabs>
                <w:tab w:val="clear" w:pos="720"/>
                <w:tab w:val="left" w:pos="-540" w:leader="none"/>
              </w:tabs>
              <w:spacing w:before="0" w:after="240"/>
              <w:jc w:val="left"/>
              <w:rPr>
                <w:rFonts w:ascii="Calibri" w:hAnsi="Calibri" w:cs="Calibri"/>
                <w:sz w:val="22"/>
                <w:szCs w:val="22"/>
              </w:rPr>
            </w:pPr>
            <w:r>
              <w:rPr>
                <w:rFonts w:cs="Calibri"/>
                <w:sz w:val="22"/>
                <w:szCs w:val="22"/>
              </w:rPr>
              <w:t>Δοχείο</w:t>
            </w:r>
          </w:p>
        </w:tc>
        <w:tc>
          <w:tcPr>
            <w:tcW w:w="3556" w:type="dxa"/>
            <w:tcBorders>
              <w:top w:val="single" w:sz="4" w:space="0" w:color="000000"/>
              <w:left w:val="single" w:sz="4" w:space="0" w:color="000000"/>
              <w:bottom w:val="single" w:sz="4" w:space="0" w:color="000000"/>
            </w:tcBorders>
          </w:tcPr>
          <w:p>
            <w:pPr>
              <w:pStyle w:val="Style25"/>
              <w:widowControl w:val="false"/>
              <w:tabs>
                <w:tab w:val="clear" w:pos="720"/>
                <w:tab w:val="left" w:pos="-540" w:leader="none"/>
              </w:tabs>
              <w:spacing w:before="0" w:after="240"/>
              <w:jc w:val="left"/>
              <w:rPr>
                <w:rFonts w:ascii="Calibri" w:hAnsi="Calibri" w:cs="Calibri"/>
                <w:sz w:val="22"/>
                <w:szCs w:val="22"/>
              </w:rPr>
            </w:pPr>
            <w:r>
              <w:rPr>
                <w:rFonts w:cs="Calibri"/>
                <w:sz w:val="22"/>
                <w:szCs w:val="22"/>
              </w:rPr>
              <w:t>&gt;=300ml</w:t>
            </w:r>
          </w:p>
        </w:tc>
        <w:tc>
          <w:tcPr>
            <w:tcW w:w="2539" w:type="dxa"/>
            <w:tcBorders>
              <w:top w:val="single" w:sz="4" w:space="0" w:color="000000"/>
              <w:left w:val="single" w:sz="4" w:space="0" w:color="000000"/>
              <w:bottom w:val="single" w:sz="4" w:space="0" w:color="000000"/>
              <w:right w:val="single" w:sz="4" w:space="0" w:color="000000"/>
            </w:tcBorders>
          </w:tcPr>
          <w:p>
            <w:pPr>
              <w:pStyle w:val="Style25"/>
              <w:widowControl w:val="false"/>
              <w:tabs>
                <w:tab w:val="clear" w:pos="720"/>
                <w:tab w:val="left" w:pos="-540" w:leader="none"/>
              </w:tabs>
              <w:snapToGrid w:val="false"/>
              <w:spacing w:before="0" w:after="240"/>
              <w:jc w:val="left"/>
              <w:rPr>
                <w:rFonts w:ascii="Calibri" w:hAnsi="Calibri" w:cs="Calibri"/>
                <w:sz w:val="22"/>
                <w:szCs w:val="22"/>
                <w:lang w:val="en-US"/>
              </w:rPr>
            </w:pPr>
            <w:r>
              <w:rPr>
                <w:rFonts w:cs="Calibri"/>
                <w:sz w:val="22"/>
                <w:szCs w:val="22"/>
                <w:lang w:val="en-US"/>
              </w:rPr>
            </w:r>
          </w:p>
        </w:tc>
      </w:tr>
      <w:tr>
        <w:trPr/>
        <w:tc>
          <w:tcPr>
            <w:tcW w:w="3321" w:type="dxa"/>
            <w:tcBorders>
              <w:left w:val="single" w:sz="4" w:space="0" w:color="000000"/>
              <w:bottom w:val="single" w:sz="4" w:space="0" w:color="000000"/>
            </w:tcBorders>
          </w:tcPr>
          <w:p>
            <w:pPr>
              <w:pStyle w:val="Style25"/>
              <w:widowControl w:val="false"/>
              <w:tabs>
                <w:tab w:val="clear" w:pos="720"/>
                <w:tab w:val="left" w:pos="-540" w:leader="none"/>
              </w:tabs>
              <w:spacing w:before="0" w:after="240"/>
              <w:jc w:val="left"/>
              <w:rPr>
                <w:rFonts w:ascii="Calibri" w:hAnsi="Calibri" w:cs="Calibri"/>
                <w:sz w:val="22"/>
                <w:szCs w:val="22"/>
              </w:rPr>
            </w:pPr>
            <w:r>
              <w:rPr>
                <w:rFonts w:cs="Calibri"/>
                <w:sz w:val="22"/>
                <w:szCs w:val="22"/>
              </w:rPr>
              <w:t>Αντιαλκαλική προστασία</w:t>
            </w:r>
          </w:p>
        </w:tc>
        <w:tc>
          <w:tcPr>
            <w:tcW w:w="3556" w:type="dxa"/>
            <w:tcBorders>
              <w:left w:val="single" w:sz="4" w:space="0" w:color="000000"/>
              <w:bottom w:val="single" w:sz="4" w:space="0" w:color="000000"/>
            </w:tcBorders>
          </w:tcPr>
          <w:p>
            <w:pPr>
              <w:pStyle w:val="Style25"/>
              <w:widowControl w:val="false"/>
              <w:tabs>
                <w:tab w:val="clear" w:pos="720"/>
                <w:tab w:val="left" w:pos="-540" w:leader="none"/>
              </w:tabs>
              <w:spacing w:before="0" w:after="240"/>
              <w:jc w:val="left"/>
              <w:rPr>
                <w:rFonts w:ascii="Calibri" w:hAnsi="Calibri" w:cs="Calibri"/>
                <w:sz w:val="22"/>
                <w:szCs w:val="22"/>
              </w:rPr>
            </w:pPr>
            <w:r>
              <w:rPr>
                <w:rFonts w:cs="Calibri"/>
                <w:sz w:val="22"/>
                <w:szCs w:val="22"/>
              </w:rPr>
              <w:t>Ναι</w:t>
            </w:r>
          </w:p>
        </w:tc>
        <w:tc>
          <w:tcPr>
            <w:tcW w:w="2539" w:type="dxa"/>
            <w:tcBorders>
              <w:left w:val="single" w:sz="4" w:space="0" w:color="000000"/>
              <w:bottom w:val="single" w:sz="4" w:space="0" w:color="000000"/>
              <w:right w:val="single" w:sz="4" w:space="0" w:color="000000"/>
            </w:tcBorders>
          </w:tcPr>
          <w:p>
            <w:pPr>
              <w:pStyle w:val="Style25"/>
              <w:widowControl w:val="false"/>
              <w:tabs>
                <w:tab w:val="clear" w:pos="720"/>
                <w:tab w:val="left" w:pos="-540" w:leader="none"/>
              </w:tabs>
              <w:snapToGrid w:val="false"/>
              <w:spacing w:before="0" w:after="240"/>
              <w:jc w:val="left"/>
              <w:rPr>
                <w:rFonts w:ascii="Calibri" w:hAnsi="Calibri" w:cs="Calibri"/>
                <w:sz w:val="22"/>
                <w:szCs w:val="22"/>
                <w:lang w:val="en-US"/>
              </w:rPr>
            </w:pPr>
            <w:r>
              <w:rPr>
                <w:rFonts w:cs="Calibri"/>
                <w:sz w:val="22"/>
                <w:szCs w:val="22"/>
                <w:lang w:val="en-US"/>
              </w:rPr>
            </w:r>
          </w:p>
        </w:tc>
      </w:tr>
      <w:tr>
        <w:trPr/>
        <w:tc>
          <w:tcPr>
            <w:tcW w:w="3321" w:type="dxa"/>
            <w:tcBorders>
              <w:top w:val="single" w:sz="4" w:space="0" w:color="000000"/>
              <w:left w:val="single" w:sz="4" w:space="0" w:color="000000"/>
              <w:bottom w:val="single" w:sz="4" w:space="0" w:color="000000"/>
            </w:tcBorders>
          </w:tcPr>
          <w:p>
            <w:pPr>
              <w:pStyle w:val="Style25"/>
              <w:widowControl w:val="false"/>
              <w:tabs>
                <w:tab w:val="clear" w:pos="720"/>
                <w:tab w:val="left" w:pos="-540" w:leader="none"/>
              </w:tabs>
              <w:spacing w:before="0" w:after="240"/>
              <w:jc w:val="left"/>
              <w:rPr>
                <w:rFonts w:ascii="Calibri" w:hAnsi="Calibri" w:cs="Calibri"/>
                <w:sz w:val="22"/>
                <w:szCs w:val="22"/>
              </w:rPr>
            </w:pPr>
            <w:r>
              <w:rPr>
                <w:rFonts w:cs="Calibri"/>
                <w:sz w:val="22"/>
                <w:szCs w:val="22"/>
              </w:rPr>
              <w:t>Εγγύηση</w:t>
            </w:r>
          </w:p>
        </w:tc>
        <w:tc>
          <w:tcPr>
            <w:tcW w:w="3556" w:type="dxa"/>
            <w:tcBorders>
              <w:top w:val="single" w:sz="4" w:space="0" w:color="000000"/>
              <w:left w:val="single" w:sz="4" w:space="0" w:color="000000"/>
              <w:bottom w:val="single" w:sz="4" w:space="0" w:color="000000"/>
            </w:tcBorders>
          </w:tcPr>
          <w:p>
            <w:pPr>
              <w:pStyle w:val="Style25"/>
              <w:widowControl w:val="false"/>
              <w:tabs>
                <w:tab w:val="clear" w:pos="720"/>
                <w:tab w:val="left" w:pos="-540" w:leader="none"/>
              </w:tabs>
              <w:spacing w:before="0" w:after="240"/>
              <w:jc w:val="left"/>
              <w:rPr>
                <w:rFonts w:ascii="Calibri" w:hAnsi="Calibri" w:cs="Calibri"/>
                <w:sz w:val="22"/>
                <w:szCs w:val="22"/>
              </w:rPr>
            </w:pPr>
            <w:r>
              <w:rPr>
                <w:rFonts w:cs="Calibri"/>
                <w:sz w:val="22"/>
                <w:szCs w:val="22"/>
              </w:rPr>
              <w:t>&gt;=2 έτη</w:t>
            </w:r>
          </w:p>
        </w:tc>
        <w:tc>
          <w:tcPr>
            <w:tcW w:w="2539" w:type="dxa"/>
            <w:tcBorders>
              <w:top w:val="single" w:sz="4" w:space="0" w:color="000000"/>
              <w:left w:val="single" w:sz="4" w:space="0" w:color="000000"/>
              <w:bottom w:val="single" w:sz="4" w:space="0" w:color="000000"/>
              <w:right w:val="single" w:sz="4" w:space="0" w:color="000000"/>
            </w:tcBorders>
          </w:tcPr>
          <w:p>
            <w:pPr>
              <w:pStyle w:val="Style25"/>
              <w:widowControl w:val="false"/>
              <w:tabs>
                <w:tab w:val="clear" w:pos="720"/>
                <w:tab w:val="left" w:pos="-540" w:leader="none"/>
              </w:tabs>
              <w:snapToGrid w:val="false"/>
              <w:spacing w:before="0" w:after="240"/>
              <w:jc w:val="left"/>
              <w:rPr>
                <w:rFonts w:ascii="Calibri" w:hAnsi="Calibri" w:cs="Calibri"/>
                <w:sz w:val="22"/>
                <w:szCs w:val="22"/>
              </w:rPr>
            </w:pPr>
            <w:r>
              <w:rPr>
                <w:rFonts w:cs="Calibri"/>
                <w:sz w:val="22"/>
                <w:szCs w:val="22"/>
              </w:rPr>
            </w:r>
          </w:p>
        </w:tc>
      </w:tr>
    </w:tbl>
    <w:p>
      <w:pPr>
        <w:pStyle w:val="Normal"/>
        <w:tabs>
          <w:tab w:val="clear" w:pos="720"/>
          <w:tab w:val="left" w:pos="2595" w:leader="none"/>
        </w:tabs>
        <w:rPr>
          <w:rFonts w:ascii="Calibri" w:hAnsi="Calibri" w:eastAsia="Calibri" w:cs="Calibri"/>
          <w:b/>
          <w:b/>
          <w:szCs w:val="20"/>
        </w:rPr>
      </w:pPr>
      <w:r>
        <w:rPr>
          <w:rFonts w:eastAsia="Calibri" w:cs="Calibri"/>
          <w:b/>
          <w:szCs w:val="20"/>
        </w:rPr>
      </w:r>
    </w:p>
    <w:p>
      <w:pPr>
        <w:pStyle w:val="Style25"/>
        <w:ind w:left="1080" w:hanging="0"/>
        <w:rPr>
          <w:rFonts w:ascii="Calibri" w:hAnsi="Calibri" w:eastAsia="Calibri" w:cs="Calibri"/>
          <w:b/>
          <w:b/>
        </w:rPr>
      </w:pPr>
      <w:r>
        <w:rPr>
          <w:rFonts w:eastAsia="Calibri" w:cs="Calibri"/>
          <w:b/>
        </w:rPr>
        <w:t>9. Βραστήρας</w:t>
      </w:r>
    </w:p>
    <w:tbl>
      <w:tblPr>
        <w:tblW w:w="9416" w:type="dxa"/>
        <w:jc w:val="left"/>
        <w:tblInd w:w="-65" w:type="dxa"/>
        <w:tblLayout w:type="fixed"/>
        <w:tblCellMar>
          <w:top w:w="0" w:type="dxa"/>
          <w:left w:w="108" w:type="dxa"/>
          <w:bottom w:w="0" w:type="dxa"/>
          <w:right w:w="108" w:type="dxa"/>
        </w:tblCellMar>
      </w:tblPr>
      <w:tblGrid>
        <w:gridCol w:w="3321"/>
        <w:gridCol w:w="3556"/>
        <w:gridCol w:w="2539"/>
      </w:tblGrid>
      <w:tr>
        <w:trPr/>
        <w:tc>
          <w:tcPr>
            <w:tcW w:w="3321" w:type="dxa"/>
            <w:tcBorders>
              <w:top w:val="single" w:sz="4" w:space="0" w:color="000000"/>
              <w:left w:val="single" w:sz="4" w:space="0" w:color="000000"/>
              <w:bottom w:val="single" w:sz="4" w:space="0" w:color="000000"/>
            </w:tcBorders>
            <w:shd w:fill="F2F2F2" w:val="clear"/>
          </w:tcPr>
          <w:p>
            <w:pPr>
              <w:pStyle w:val="Style25"/>
              <w:widowControl w:val="false"/>
              <w:tabs>
                <w:tab w:val="clear" w:pos="720"/>
                <w:tab w:val="left" w:pos="-540" w:leader="none"/>
              </w:tabs>
              <w:spacing w:before="0" w:after="240"/>
              <w:jc w:val="left"/>
              <w:rPr>
                <w:rFonts w:ascii="Calibri" w:hAnsi="Calibri" w:eastAsia="Calibri" w:cs="Calibri"/>
                <w:b/>
                <w:b/>
                <w:sz w:val="22"/>
                <w:szCs w:val="22"/>
              </w:rPr>
            </w:pPr>
            <w:r>
              <w:rPr>
                <w:rFonts w:eastAsia="Calibri" w:cs="Calibri"/>
                <w:b/>
                <w:sz w:val="22"/>
                <w:szCs w:val="22"/>
              </w:rPr>
              <w:t>Χαρακτηριστικό</w:t>
            </w:r>
          </w:p>
        </w:tc>
        <w:tc>
          <w:tcPr>
            <w:tcW w:w="3556" w:type="dxa"/>
            <w:tcBorders>
              <w:top w:val="single" w:sz="4" w:space="0" w:color="000000"/>
              <w:left w:val="single" w:sz="4" w:space="0" w:color="000000"/>
              <w:bottom w:val="single" w:sz="4" w:space="0" w:color="000000"/>
            </w:tcBorders>
            <w:shd w:fill="F2F2F2" w:val="clear"/>
          </w:tcPr>
          <w:p>
            <w:pPr>
              <w:pStyle w:val="Style25"/>
              <w:widowControl w:val="false"/>
              <w:tabs>
                <w:tab w:val="clear" w:pos="720"/>
                <w:tab w:val="left" w:pos="-540" w:leader="none"/>
              </w:tabs>
              <w:spacing w:before="0" w:after="240"/>
              <w:jc w:val="left"/>
              <w:rPr>
                <w:rFonts w:ascii="Calibri" w:hAnsi="Calibri" w:eastAsia="Calibri" w:cs="Calibri"/>
                <w:b/>
                <w:b/>
                <w:sz w:val="22"/>
                <w:szCs w:val="22"/>
              </w:rPr>
            </w:pPr>
            <w:r>
              <w:rPr>
                <w:rFonts w:eastAsia="Calibri" w:cs="Calibri"/>
                <w:b/>
                <w:sz w:val="22"/>
                <w:szCs w:val="22"/>
              </w:rPr>
              <w:t>Απαίτηση</w:t>
            </w:r>
          </w:p>
        </w:tc>
        <w:tc>
          <w:tcPr>
            <w:tcW w:w="2539" w:type="dxa"/>
            <w:tcBorders>
              <w:top w:val="single" w:sz="4" w:space="0" w:color="000000"/>
              <w:left w:val="single" w:sz="4" w:space="0" w:color="000000"/>
              <w:bottom w:val="single" w:sz="4" w:space="0" w:color="000000"/>
              <w:right w:val="single" w:sz="4" w:space="0" w:color="000000"/>
            </w:tcBorders>
            <w:shd w:fill="F2F2F2" w:val="clear"/>
          </w:tcPr>
          <w:p>
            <w:pPr>
              <w:pStyle w:val="Style25"/>
              <w:widowControl w:val="false"/>
              <w:tabs>
                <w:tab w:val="clear" w:pos="720"/>
                <w:tab w:val="left" w:pos="-540" w:leader="none"/>
              </w:tabs>
              <w:spacing w:before="0" w:after="240"/>
              <w:jc w:val="left"/>
              <w:rPr>
                <w:rFonts w:ascii="Calibri" w:hAnsi="Calibri" w:eastAsia="Calibri" w:cs="Calibri"/>
                <w:b/>
                <w:b/>
                <w:sz w:val="22"/>
                <w:szCs w:val="22"/>
              </w:rPr>
            </w:pPr>
            <w:r>
              <w:rPr>
                <w:rFonts w:eastAsia="Calibri" w:cs="Calibri"/>
                <w:b/>
                <w:sz w:val="22"/>
                <w:szCs w:val="22"/>
              </w:rPr>
              <w:t>Παρατηρήσεις</w:t>
            </w:r>
          </w:p>
        </w:tc>
      </w:tr>
      <w:tr>
        <w:trPr/>
        <w:tc>
          <w:tcPr>
            <w:tcW w:w="3321" w:type="dxa"/>
            <w:tcBorders>
              <w:top w:val="single" w:sz="4" w:space="0" w:color="000000"/>
              <w:left w:val="single" w:sz="4" w:space="0" w:color="000000"/>
              <w:bottom w:val="single" w:sz="4" w:space="0" w:color="000000"/>
            </w:tcBorders>
          </w:tcPr>
          <w:p>
            <w:pPr>
              <w:pStyle w:val="Style25"/>
              <w:widowControl w:val="false"/>
              <w:tabs>
                <w:tab w:val="clear" w:pos="720"/>
                <w:tab w:val="left" w:pos="-540" w:leader="none"/>
              </w:tabs>
              <w:spacing w:before="0" w:after="240"/>
              <w:jc w:val="left"/>
              <w:rPr>
                <w:rFonts w:ascii="Calibri" w:hAnsi="Calibri" w:cs="Calibri"/>
                <w:sz w:val="22"/>
                <w:szCs w:val="22"/>
              </w:rPr>
            </w:pPr>
            <w:r>
              <w:rPr>
                <w:rFonts w:cs="Calibri"/>
                <w:sz w:val="22"/>
                <w:szCs w:val="22"/>
              </w:rPr>
              <w:t>Ισχύς</w:t>
            </w:r>
          </w:p>
        </w:tc>
        <w:tc>
          <w:tcPr>
            <w:tcW w:w="3556" w:type="dxa"/>
            <w:tcBorders>
              <w:top w:val="single" w:sz="4" w:space="0" w:color="000000"/>
              <w:left w:val="single" w:sz="4" w:space="0" w:color="000000"/>
              <w:bottom w:val="single" w:sz="4" w:space="0" w:color="000000"/>
            </w:tcBorders>
          </w:tcPr>
          <w:p>
            <w:pPr>
              <w:pStyle w:val="Style25"/>
              <w:widowControl w:val="false"/>
              <w:tabs>
                <w:tab w:val="clear" w:pos="720"/>
                <w:tab w:val="left" w:pos="-540" w:leader="none"/>
              </w:tabs>
              <w:spacing w:before="0" w:after="240"/>
              <w:jc w:val="left"/>
              <w:rPr/>
            </w:pPr>
            <w:r>
              <w:rPr>
                <w:rFonts w:cs="Calibri"/>
                <w:sz w:val="22"/>
                <w:szCs w:val="22"/>
              </w:rPr>
              <w:t>2.200</w:t>
            </w:r>
            <w:r>
              <w:rPr>
                <w:rFonts w:cs="Calibri"/>
                <w:sz w:val="22"/>
                <w:szCs w:val="22"/>
                <w:lang w:val="en-US"/>
              </w:rPr>
              <w:t>W</w:t>
            </w:r>
          </w:p>
        </w:tc>
        <w:tc>
          <w:tcPr>
            <w:tcW w:w="2539" w:type="dxa"/>
            <w:tcBorders>
              <w:top w:val="single" w:sz="4" w:space="0" w:color="000000"/>
              <w:left w:val="single" w:sz="4" w:space="0" w:color="000000"/>
              <w:bottom w:val="single" w:sz="4" w:space="0" w:color="000000"/>
              <w:right w:val="single" w:sz="4" w:space="0" w:color="000000"/>
            </w:tcBorders>
          </w:tcPr>
          <w:p>
            <w:pPr>
              <w:pStyle w:val="Style25"/>
              <w:widowControl w:val="false"/>
              <w:tabs>
                <w:tab w:val="clear" w:pos="720"/>
                <w:tab w:val="left" w:pos="-540" w:leader="none"/>
              </w:tabs>
              <w:snapToGrid w:val="false"/>
              <w:spacing w:before="0" w:after="240"/>
              <w:jc w:val="left"/>
              <w:rPr>
                <w:rFonts w:ascii="Calibri" w:hAnsi="Calibri" w:cs="Calibri"/>
                <w:sz w:val="22"/>
                <w:szCs w:val="22"/>
                <w:lang w:val="en-US"/>
              </w:rPr>
            </w:pPr>
            <w:r>
              <w:rPr>
                <w:rFonts w:cs="Calibri"/>
                <w:sz w:val="22"/>
                <w:szCs w:val="22"/>
                <w:lang w:val="en-US"/>
              </w:rPr>
            </w:r>
          </w:p>
        </w:tc>
      </w:tr>
      <w:tr>
        <w:trPr/>
        <w:tc>
          <w:tcPr>
            <w:tcW w:w="3321" w:type="dxa"/>
            <w:tcBorders>
              <w:top w:val="single" w:sz="4" w:space="0" w:color="000000"/>
              <w:left w:val="single" w:sz="4" w:space="0" w:color="000000"/>
              <w:bottom w:val="single" w:sz="4" w:space="0" w:color="000000"/>
            </w:tcBorders>
          </w:tcPr>
          <w:p>
            <w:pPr>
              <w:pStyle w:val="Style25"/>
              <w:widowControl w:val="false"/>
              <w:tabs>
                <w:tab w:val="clear" w:pos="720"/>
                <w:tab w:val="left" w:pos="-540" w:leader="none"/>
              </w:tabs>
              <w:spacing w:before="0" w:after="240"/>
              <w:jc w:val="left"/>
              <w:rPr>
                <w:rFonts w:ascii="Calibri" w:hAnsi="Calibri" w:cs="Calibri"/>
                <w:sz w:val="22"/>
                <w:szCs w:val="22"/>
              </w:rPr>
            </w:pPr>
            <w:r>
              <w:rPr>
                <w:rFonts w:cs="Calibri"/>
                <w:sz w:val="22"/>
                <w:szCs w:val="22"/>
              </w:rPr>
              <w:t>Χωρητικότητα</w:t>
            </w:r>
          </w:p>
        </w:tc>
        <w:tc>
          <w:tcPr>
            <w:tcW w:w="3556" w:type="dxa"/>
            <w:tcBorders>
              <w:top w:val="single" w:sz="4" w:space="0" w:color="000000"/>
              <w:left w:val="single" w:sz="4" w:space="0" w:color="000000"/>
              <w:bottom w:val="single" w:sz="4" w:space="0" w:color="000000"/>
            </w:tcBorders>
          </w:tcPr>
          <w:p>
            <w:pPr>
              <w:pStyle w:val="Style25"/>
              <w:widowControl w:val="false"/>
              <w:tabs>
                <w:tab w:val="clear" w:pos="720"/>
                <w:tab w:val="left" w:pos="-540" w:leader="none"/>
              </w:tabs>
              <w:spacing w:before="0" w:after="240"/>
              <w:jc w:val="left"/>
              <w:rPr/>
            </w:pPr>
            <w:r>
              <w:rPr>
                <w:rFonts w:cs="Calibri"/>
                <w:sz w:val="22"/>
                <w:szCs w:val="22"/>
              </w:rPr>
              <w:t>&gt;= 1,700</w:t>
            </w:r>
            <w:r>
              <w:rPr>
                <w:rFonts w:cs="Calibri"/>
                <w:sz w:val="22"/>
                <w:szCs w:val="22"/>
                <w:lang w:val="en-US"/>
              </w:rPr>
              <w:t>Lt</w:t>
            </w:r>
          </w:p>
        </w:tc>
        <w:tc>
          <w:tcPr>
            <w:tcW w:w="2539" w:type="dxa"/>
            <w:tcBorders>
              <w:top w:val="single" w:sz="4" w:space="0" w:color="000000"/>
              <w:left w:val="single" w:sz="4" w:space="0" w:color="000000"/>
              <w:bottom w:val="single" w:sz="4" w:space="0" w:color="000000"/>
              <w:right w:val="single" w:sz="4" w:space="0" w:color="000000"/>
            </w:tcBorders>
          </w:tcPr>
          <w:p>
            <w:pPr>
              <w:pStyle w:val="Style25"/>
              <w:widowControl w:val="false"/>
              <w:tabs>
                <w:tab w:val="clear" w:pos="720"/>
                <w:tab w:val="left" w:pos="-540" w:leader="none"/>
              </w:tabs>
              <w:snapToGrid w:val="false"/>
              <w:spacing w:before="0" w:after="240"/>
              <w:jc w:val="left"/>
              <w:rPr>
                <w:rFonts w:ascii="Calibri" w:hAnsi="Calibri" w:cs="Calibri"/>
                <w:sz w:val="22"/>
                <w:szCs w:val="22"/>
                <w:lang w:val="en-US"/>
              </w:rPr>
            </w:pPr>
            <w:r>
              <w:rPr>
                <w:rFonts w:cs="Calibri"/>
                <w:sz w:val="22"/>
                <w:szCs w:val="22"/>
                <w:lang w:val="en-US"/>
              </w:rPr>
            </w:r>
          </w:p>
        </w:tc>
      </w:tr>
      <w:tr>
        <w:trPr/>
        <w:tc>
          <w:tcPr>
            <w:tcW w:w="3321" w:type="dxa"/>
            <w:tcBorders>
              <w:top w:val="single" w:sz="4" w:space="0" w:color="000000"/>
              <w:left w:val="single" w:sz="4" w:space="0" w:color="000000"/>
              <w:bottom w:val="single" w:sz="4" w:space="0" w:color="000000"/>
            </w:tcBorders>
          </w:tcPr>
          <w:p>
            <w:pPr>
              <w:pStyle w:val="Style25"/>
              <w:widowControl w:val="false"/>
              <w:tabs>
                <w:tab w:val="clear" w:pos="720"/>
                <w:tab w:val="left" w:pos="-540" w:leader="none"/>
              </w:tabs>
              <w:spacing w:before="0" w:after="240"/>
              <w:jc w:val="left"/>
              <w:rPr>
                <w:rFonts w:ascii="Calibri" w:hAnsi="Calibri" w:cs="Calibri"/>
                <w:sz w:val="22"/>
                <w:szCs w:val="22"/>
              </w:rPr>
            </w:pPr>
            <w:r>
              <w:rPr>
                <w:rFonts w:cs="Calibri"/>
                <w:sz w:val="22"/>
                <w:szCs w:val="22"/>
              </w:rPr>
              <w:t>Αυτόματη παύση λειτουργίας</w:t>
            </w:r>
          </w:p>
        </w:tc>
        <w:tc>
          <w:tcPr>
            <w:tcW w:w="3556" w:type="dxa"/>
            <w:tcBorders>
              <w:top w:val="single" w:sz="4" w:space="0" w:color="000000"/>
              <w:left w:val="single" w:sz="4" w:space="0" w:color="000000"/>
              <w:bottom w:val="single" w:sz="4" w:space="0" w:color="000000"/>
            </w:tcBorders>
          </w:tcPr>
          <w:p>
            <w:pPr>
              <w:pStyle w:val="Style25"/>
              <w:widowControl w:val="false"/>
              <w:tabs>
                <w:tab w:val="clear" w:pos="720"/>
                <w:tab w:val="left" w:pos="-540" w:leader="none"/>
              </w:tabs>
              <w:spacing w:before="0" w:after="240"/>
              <w:jc w:val="left"/>
              <w:rPr>
                <w:rFonts w:ascii="Calibri" w:hAnsi="Calibri" w:cs="Calibri"/>
                <w:sz w:val="22"/>
                <w:szCs w:val="22"/>
              </w:rPr>
            </w:pPr>
            <w:r>
              <w:rPr>
                <w:rFonts w:cs="Calibri"/>
                <w:sz w:val="22"/>
                <w:szCs w:val="22"/>
              </w:rPr>
              <w:t>Ναι</w:t>
            </w:r>
          </w:p>
        </w:tc>
        <w:tc>
          <w:tcPr>
            <w:tcW w:w="2539" w:type="dxa"/>
            <w:tcBorders>
              <w:top w:val="single" w:sz="4" w:space="0" w:color="000000"/>
              <w:left w:val="single" w:sz="4" w:space="0" w:color="000000"/>
              <w:bottom w:val="single" w:sz="4" w:space="0" w:color="000000"/>
              <w:right w:val="single" w:sz="4" w:space="0" w:color="000000"/>
            </w:tcBorders>
          </w:tcPr>
          <w:p>
            <w:pPr>
              <w:pStyle w:val="Style25"/>
              <w:widowControl w:val="false"/>
              <w:tabs>
                <w:tab w:val="clear" w:pos="720"/>
                <w:tab w:val="left" w:pos="-540" w:leader="none"/>
              </w:tabs>
              <w:snapToGrid w:val="false"/>
              <w:spacing w:before="0" w:after="240"/>
              <w:jc w:val="left"/>
              <w:rPr>
                <w:rFonts w:ascii="Calibri" w:hAnsi="Calibri" w:cs="Calibri"/>
                <w:sz w:val="22"/>
                <w:szCs w:val="22"/>
              </w:rPr>
            </w:pPr>
            <w:r>
              <w:rPr>
                <w:rFonts w:cs="Calibri"/>
                <w:sz w:val="22"/>
                <w:szCs w:val="22"/>
              </w:rPr>
            </w:r>
          </w:p>
        </w:tc>
      </w:tr>
      <w:tr>
        <w:trPr/>
        <w:tc>
          <w:tcPr>
            <w:tcW w:w="3321" w:type="dxa"/>
            <w:tcBorders>
              <w:top w:val="single" w:sz="4" w:space="0" w:color="000000"/>
              <w:left w:val="single" w:sz="4" w:space="0" w:color="000000"/>
              <w:bottom w:val="single" w:sz="4" w:space="0" w:color="000000"/>
            </w:tcBorders>
          </w:tcPr>
          <w:p>
            <w:pPr>
              <w:pStyle w:val="Style25"/>
              <w:widowControl w:val="false"/>
              <w:tabs>
                <w:tab w:val="clear" w:pos="720"/>
                <w:tab w:val="left" w:pos="-540" w:leader="none"/>
              </w:tabs>
              <w:spacing w:before="0" w:after="240"/>
              <w:jc w:val="left"/>
              <w:rPr>
                <w:rFonts w:ascii="Calibri" w:hAnsi="Calibri" w:cs="Calibri"/>
                <w:sz w:val="22"/>
                <w:szCs w:val="22"/>
              </w:rPr>
            </w:pPr>
            <w:r>
              <w:rPr>
                <w:rFonts w:cs="Calibri"/>
                <w:sz w:val="22"/>
                <w:szCs w:val="22"/>
              </w:rPr>
              <w:t>Ενδείξεις νερού</w:t>
            </w:r>
          </w:p>
        </w:tc>
        <w:tc>
          <w:tcPr>
            <w:tcW w:w="3556" w:type="dxa"/>
            <w:tcBorders>
              <w:top w:val="single" w:sz="4" w:space="0" w:color="000000"/>
              <w:left w:val="single" w:sz="4" w:space="0" w:color="000000"/>
              <w:bottom w:val="single" w:sz="4" w:space="0" w:color="000000"/>
            </w:tcBorders>
          </w:tcPr>
          <w:p>
            <w:pPr>
              <w:pStyle w:val="Style25"/>
              <w:widowControl w:val="false"/>
              <w:tabs>
                <w:tab w:val="clear" w:pos="720"/>
                <w:tab w:val="left" w:pos="-540" w:leader="none"/>
              </w:tabs>
              <w:spacing w:before="0" w:after="240"/>
              <w:jc w:val="left"/>
              <w:rPr>
                <w:rFonts w:ascii="Calibri" w:hAnsi="Calibri" w:cs="Calibri"/>
                <w:sz w:val="22"/>
                <w:szCs w:val="22"/>
              </w:rPr>
            </w:pPr>
            <w:r>
              <w:rPr>
                <w:rFonts w:cs="Calibri"/>
                <w:sz w:val="22"/>
                <w:szCs w:val="22"/>
              </w:rPr>
              <w:t>Ναι</w:t>
            </w:r>
          </w:p>
        </w:tc>
        <w:tc>
          <w:tcPr>
            <w:tcW w:w="2539" w:type="dxa"/>
            <w:tcBorders>
              <w:top w:val="single" w:sz="4" w:space="0" w:color="000000"/>
              <w:left w:val="single" w:sz="4" w:space="0" w:color="000000"/>
              <w:bottom w:val="single" w:sz="4" w:space="0" w:color="000000"/>
              <w:right w:val="single" w:sz="4" w:space="0" w:color="000000"/>
            </w:tcBorders>
          </w:tcPr>
          <w:p>
            <w:pPr>
              <w:pStyle w:val="Style25"/>
              <w:widowControl w:val="false"/>
              <w:tabs>
                <w:tab w:val="clear" w:pos="720"/>
                <w:tab w:val="left" w:pos="-540" w:leader="none"/>
              </w:tabs>
              <w:snapToGrid w:val="false"/>
              <w:spacing w:before="0" w:after="240"/>
              <w:jc w:val="left"/>
              <w:rPr>
                <w:rFonts w:ascii="Calibri" w:hAnsi="Calibri" w:cs="Calibri"/>
                <w:sz w:val="22"/>
                <w:szCs w:val="22"/>
                <w:lang w:val="en-US"/>
              </w:rPr>
            </w:pPr>
            <w:r>
              <w:rPr>
                <w:rFonts w:cs="Calibri"/>
                <w:sz w:val="22"/>
                <w:szCs w:val="22"/>
                <w:lang w:val="en-US"/>
              </w:rPr>
            </w:r>
          </w:p>
        </w:tc>
      </w:tr>
      <w:tr>
        <w:trPr/>
        <w:tc>
          <w:tcPr>
            <w:tcW w:w="3321" w:type="dxa"/>
            <w:tcBorders>
              <w:left w:val="single" w:sz="4" w:space="0" w:color="000000"/>
              <w:bottom w:val="single" w:sz="4" w:space="0" w:color="000000"/>
            </w:tcBorders>
          </w:tcPr>
          <w:p>
            <w:pPr>
              <w:pStyle w:val="Style25"/>
              <w:widowControl w:val="false"/>
              <w:tabs>
                <w:tab w:val="clear" w:pos="720"/>
                <w:tab w:val="left" w:pos="-540" w:leader="none"/>
              </w:tabs>
              <w:spacing w:before="0" w:after="240"/>
              <w:jc w:val="left"/>
              <w:rPr>
                <w:rFonts w:ascii="Calibri" w:hAnsi="Calibri" w:cs="Calibri"/>
                <w:sz w:val="22"/>
                <w:szCs w:val="22"/>
              </w:rPr>
            </w:pPr>
            <w:r>
              <w:rPr>
                <w:rFonts w:cs="Calibri"/>
                <w:sz w:val="22"/>
                <w:szCs w:val="22"/>
              </w:rPr>
              <w:t>Ανοξείδωτη αντίσταση</w:t>
            </w:r>
          </w:p>
        </w:tc>
        <w:tc>
          <w:tcPr>
            <w:tcW w:w="3556" w:type="dxa"/>
            <w:tcBorders>
              <w:left w:val="single" w:sz="4" w:space="0" w:color="000000"/>
              <w:bottom w:val="single" w:sz="4" w:space="0" w:color="000000"/>
            </w:tcBorders>
          </w:tcPr>
          <w:p>
            <w:pPr>
              <w:pStyle w:val="Style25"/>
              <w:widowControl w:val="false"/>
              <w:tabs>
                <w:tab w:val="clear" w:pos="720"/>
                <w:tab w:val="left" w:pos="-540" w:leader="none"/>
              </w:tabs>
              <w:spacing w:before="0" w:after="240"/>
              <w:jc w:val="left"/>
              <w:rPr>
                <w:rFonts w:ascii="Calibri" w:hAnsi="Calibri" w:cs="Calibri"/>
                <w:sz w:val="22"/>
                <w:szCs w:val="22"/>
              </w:rPr>
            </w:pPr>
            <w:r>
              <w:rPr>
                <w:rFonts w:cs="Calibri"/>
                <w:sz w:val="22"/>
                <w:szCs w:val="22"/>
              </w:rPr>
              <w:t>Ναι</w:t>
            </w:r>
          </w:p>
        </w:tc>
        <w:tc>
          <w:tcPr>
            <w:tcW w:w="2539" w:type="dxa"/>
            <w:tcBorders>
              <w:left w:val="single" w:sz="4" w:space="0" w:color="000000"/>
              <w:bottom w:val="single" w:sz="4" w:space="0" w:color="000000"/>
              <w:right w:val="single" w:sz="4" w:space="0" w:color="000000"/>
            </w:tcBorders>
          </w:tcPr>
          <w:p>
            <w:pPr>
              <w:pStyle w:val="Style25"/>
              <w:widowControl w:val="false"/>
              <w:tabs>
                <w:tab w:val="clear" w:pos="720"/>
                <w:tab w:val="left" w:pos="-540" w:leader="none"/>
              </w:tabs>
              <w:snapToGrid w:val="false"/>
              <w:spacing w:before="0" w:after="240"/>
              <w:jc w:val="left"/>
              <w:rPr>
                <w:rFonts w:ascii="Calibri" w:hAnsi="Calibri" w:cs="Calibri"/>
                <w:sz w:val="22"/>
                <w:szCs w:val="22"/>
                <w:lang w:val="en-US"/>
              </w:rPr>
            </w:pPr>
            <w:r>
              <w:rPr>
                <w:rFonts w:cs="Calibri"/>
                <w:sz w:val="22"/>
                <w:szCs w:val="22"/>
                <w:lang w:val="en-US"/>
              </w:rPr>
            </w:r>
          </w:p>
        </w:tc>
      </w:tr>
      <w:tr>
        <w:trPr/>
        <w:tc>
          <w:tcPr>
            <w:tcW w:w="3321" w:type="dxa"/>
            <w:tcBorders>
              <w:top w:val="single" w:sz="4" w:space="0" w:color="000000"/>
              <w:left w:val="single" w:sz="4" w:space="0" w:color="000000"/>
              <w:bottom w:val="single" w:sz="4" w:space="0" w:color="000000"/>
            </w:tcBorders>
          </w:tcPr>
          <w:p>
            <w:pPr>
              <w:pStyle w:val="Style25"/>
              <w:widowControl w:val="false"/>
              <w:tabs>
                <w:tab w:val="clear" w:pos="720"/>
                <w:tab w:val="left" w:pos="-540" w:leader="none"/>
              </w:tabs>
              <w:spacing w:before="0" w:after="240"/>
              <w:jc w:val="left"/>
              <w:rPr>
                <w:rFonts w:ascii="Calibri" w:hAnsi="Calibri" w:cs="Calibri"/>
                <w:sz w:val="22"/>
                <w:szCs w:val="22"/>
              </w:rPr>
            </w:pPr>
            <w:r>
              <w:rPr>
                <w:rFonts w:cs="Calibri"/>
                <w:sz w:val="22"/>
                <w:szCs w:val="22"/>
              </w:rPr>
              <w:t>Αποσπώμενη βάση</w:t>
            </w:r>
          </w:p>
        </w:tc>
        <w:tc>
          <w:tcPr>
            <w:tcW w:w="3556" w:type="dxa"/>
            <w:tcBorders>
              <w:top w:val="single" w:sz="4" w:space="0" w:color="000000"/>
              <w:left w:val="single" w:sz="4" w:space="0" w:color="000000"/>
              <w:bottom w:val="single" w:sz="4" w:space="0" w:color="000000"/>
            </w:tcBorders>
          </w:tcPr>
          <w:p>
            <w:pPr>
              <w:pStyle w:val="Style25"/>
              <w:widowControl w:val="false"/>
              <w:tabs>
                <w:tab w:val="clear" w:pos="720"/>
                <w:tab w:val="left" w:pos="-540" w:leader="none"/>
              </w:tabs>
              <w:spacing w:before="0" w:after="240"/>
              <w:jc w:val="left"/>
              <w:rPr>
                <w:rFonts w:ascii="Calibri" w:hAnsi="Calibri" w:cs="Calibri"/>
                <w:sz w:val="22"/>
                <w:szCs w:val="22"/>
              </w:rPr>
            </w:pPr>
            <w:r>
              <w:rPr>
                <w:rFonts w:cs="Calibri"/>
                <w:sz w:val="22"/>
                <w:szCs w:val="22"/>
              </w:rPr>
              <w:t>Ναι</w:t>
            </w:r>
          </w:p>
        </w:tc>
        <w:tc>
          <w:tcPr>
            <w:tcW w:w="2539" w:type="dxa"/>
            <w:tcBorders>
              <w:top w:val="single" w:sz="4" w:space="0" w:color="000000"/>
              <w:left w:val="single" w:sz="4" w:space="0" w:color="000000"/>
              <w:bottom w:val="single" w:sz="4" w:space="0" w:color="000000"/>
              <w:right w:val="single" w:sz="4" w:space="0" w:color="000000"/>
            </w:tcBorders>
          </w:tcPr>
          <w:p>
            <w:pPr>
              <w:pStyle w:val="Style25"/>
              <w:widowControl w:val="false"/>
              <w:tabs>
                <w:tab w:val="clear" w:pos="720"/>
                <w:tab w:val="left" w:pos="-540" w:leader="none"/>
              </w:tabs>
              <w:snapToGrid w:val="false"/>
              <w:spacing w:before="0" w:after="240"/>
              <w:jc w:val="left"/>
              <w:rPr>
                <w:rFonts w:ascii="Calibri" w:hAnsi="Calibri" w:cs="Calibri"/>
                <w:sz w:val="22"/>
                <w:szCs w:val="22"/>
              </w:rPr>
            </w:pPr>
            <w:r>
              <w:rPr>
                <w:rFonts w:cs="Calibri"/>
                <w:sz w:val="22"/>
                <w:szCs w:val="22"/>
              </w:rPr>
            </w:r>
          </w:p>
        </w:tc>
      </w:tr>
      <w:tr>
        <w:trPr/>
        <w:tc>
          <w:tcPr>
            <w:tcW w:w="3321" w:type="dxa"/>
            <w:tcBorders>
              <w:left w:val="single" w:sz="4" w:space="0" w:color="000000"/>
              <w:bottom w:val="single" w:sz="4" w:space="0" w:color="000000"/>
            </w:tcBorders>
          </w:tcPr>
          <w:p>
            <w:pPr>
              <w:pStyle w:val="Style25"/>
              <w:widowControl w:val="false"/>
              <w:tabs>
                <w:tab w:val="clear" w:pos="720"/>
                <w:tab w:val="left" w:pos="-540" w:leader="none"/>
              </w:tabs>
              <w:spacing w:before="0" w:after="240"/>
              <w:jc w:val="left"/>
              <w:rPr>
                <w:rFonts w:ascii="Calibri" w:hAnsi="Calibri" w:cs="Calibri"/>
                <w:sz w:val="22"/>
                <w:szCs w:val="22"/>
              </w:rPr>
            </w:pPr>
            <w:r>
              <w:rPr>
                <w:rFonts w:cs="Calibri"/>
                <w:sz w:val="22"/>
                <w:szCs w:val="22"/>
              </w:rPr>
              <w:t>Εγγύηση</w:t>
            </w:r>
          </w:p>
        </w:tc>
        <w:tc>
          <w:tcPr>
            <w:tcW w:w="3556" w:type="dxa"/>
            <w:tcBorders>
              <w:left w:val="single" w:sz="4" w:space="0" w:color="000000"/>
              <w:bottom w:val="single" w:sz="4" w:space="0" w:color="000000"/>
            </w:tcBorders>
          </w:tcPr>
          <w:p>
            <w:pPr>
              <w:pStyle w:val="Style25"/>
              <w:widowControl w:val="false"/>
              <w:tabs>
                <w:tab w:val="clear" w:pos="720"/>
                <w:tab w:val="left" w:pos="-540" w:leader="none"/>
              </w:tabs>
              <w:spacing w:before="0" w:after="240"/>
              <w:jc w:val="left"/>
              <w:rPr>
                <w:rFonts w:ascii="Calibri" w:hAnsi="Calibri" w:cs="Calibri"/>
                <w:sz w:val="22"/>
                <w:szCs w:val="22"/>
              </w:rPr>
            </w:pPr>
            <w:r>
              <w:rPr>
                <w:rFonts w:cs="Calibri"/>
                <w:sz w:val="22"/>
                <w:szCs w:val="22"/>
              </w:rPr>
              <w:t>&gt;=2 χρόνια</w:t>
            </w:r>
          </w:p>
        </w:tc>
        <w:tc>
          <w:tcPr>
            <w:tcW w:w="2539" w:type="dxa"/>
            <w:tcBorders>
              <w:left w:val="single" w:sz="4" w:space="0" w:color="000000"/>
              <w:bottom w:val="single" w:sz="4" w:space="0" w:color="000000"/>
              <w:right w:val="single" w:sz="4" w:space="0" w:color="000000"/>
            </w:tcBorders>
          </w:tcPr>
          <w:p>
            <w:pPr>
              <w:pStyle w:val="Style25"/>
              <w:widowControl w:val="false"/>
              <w:tabs>
                <w:tab w:val="clear" w:pos="720"/>
                <w:tab w:val="left" w:pos="-540" w:leader="none"/>
              </w:tabs>
              <w:snapToGrid w:val="false"/>
              <w:spacing w:before="0" w:after="240"/>
              <w:jc w:val="left"/>
              <w:rPr>
                <w:rFonts w:ascii="Calibri" w:hAnsi="Calibri" w:cs="Calibri"/>
                <w:sz w:val="22"/>
                <w:szCs w:val="22"/>
              </w:rPr>
            </w:pPr>
            <w:r>
              <w:rPr>
                <w:rFonts w:cs="Calibri"/>
                <w:sz w:val="22"/>
                <w:szCs w:val="22"/>
              </w:rPr>
            </w:r>
          </w:p>
        </w:tc>
      </w:tr>
    </w:tbl>
    <w:p>
      <w:pPr>
        <w:pStyle w:val="Normal"/>
        <w:tabs>
          <w:tab w:val="clear" w:pos="720"/>
          <w:tab w:val="left" w:pos="2595" w:leader="none"/>
        </w:tabs>
        <w:rPr>
          <w:rFonts w:ascii="Calibri" w:hAnsi="Calibri" w:eastAsia="Calibri" w:cs="Calibri"/>
          <w:b/>
          <w:b/>
          <w:szCs w:val="20"/>
        </w:rPr>
      </w:pPr>
      <w:r>
        <w:rPr>
          <w:rFonts w:eastAsia="Calibri" w:cs="Calibri"/>
          <w:b/>
          <w:szCs w:val="20"/>
        </w:rPr>
      </w:r>
    </w:p>
    <w:p>
      <w:pPr>
        <w:pStyle w:val="Style25"/>
        <w:ind w:left="1080" w:hanging="0"/>
        <w:rPr>
          <w:rFonts w:ascii="Calibri" w:hAnsi="Calibri" w:eastAsia="Calibri" w:cs="Calibri"/>
          <w:b/>
          <w:b/>
        </w:rPr>
      </w:pPr>
      <w:r>
        <w:rPr>
          <w:rFonts w:eastAsia="Calibri" w:cs="Calibri"/>
          <w:b/>
        </w:rPr>
        <w:t>10. Πολυκόπτης</w:t>
      </w:r>
    </w:p>
    <w:tbl>
      <w:tblPr>
        <w:tblW w:w="9416" w:type="dxa"/>
        <w:jc w:val="left"/>
        <w:tblInd w:w="-65" w:type="dxa"/>
        <w:tblLayout w:type="fixed"/>
        <w:tblCellMar>
          <w:top w:w="0" w:type="dxa"/>
          <w:left w:w="108" w:type="dxa"/>
          <w:bottom w:w="0" w:type="dxa"/>
          <w:right w:w="108" w:type="dxa"/>
        </w:tblCellMar>
      </w:tblPr>
      <w:tblGrid>
        <w:gridCol w:w="2733"/>
        <w:gridCol w:w="3958"/>
        <w:gridCol w:w="2725"/>
      </w:tblGrid>
      <w:tr>
        <w:trPr/>
        <w:tc>
          <w:tcPr>
            <w:tcW w:w="2733" w:type="dxa"/>
            <w:tcBorders>
              <w:top w:val="single" w:sz="4" w:space="0" w:color="000000"/>
              <w:left w:val="single" w:sz="4" w:space="0" w:color="000000"/>
              <w:bottom w:val="single" w:sz="4" w:space="0" w:color="000000"/>
            </w:tcBorders>
            <w:shd w:fill="F2F2F2" w:val="clear"/>
          </w:tcPr>
          <w:p>
            <w:pPr>
              <w:pStyle w:val="Style25"/>
              <w:widowControl w:val="false"/>
              <w:tabs>
                <w:tab w:val="clear" w:pos="720"/>
                <w:tab w:val="left" w:pos="-540" w:leader="none"/>
              </w:tabs>
              <w:spacing w:before="0" w:after="240"/>
              <w:jc w:val="left"/>
              <w:rPr>
                <w:rFonts w:ascii="Calibri" w:hAnsi="Calibri" w:eastAsia="Calibri" w:cs="Calibri"/>
                <w:b/>
                <w:b/>
                <w:sz w:val="22"/>
                <w:szCs w:val="22"/>
              </w:rPr>
            </w:pPr>
            <w:r>
              <w:rPr>
                <w:rFonts w:eastAsia="Calibri" w:cs="Calibri"/>
                <w:b/>
                <w:sz w:val="22"/>
                <w:szCs w:val="22"/>
              </w:rPr>
              <w:t>Χαρακτηριστικό</w:t>
            </w:r>
          </w:p>
        </w:tc>
        <w:tc>
          <w:tcPr>
            <w:tcW w:w="3958" w:type="dxa"/>
            <w:tcBorders>
              <w:top w:val="single" w:sz="4" w:space="0" w:color="000000"/>
              <w:left w:val="single" w:sz="4" w:space="0" w:color="000000"/>
              <w:bottom w:val="single" w:sz="4" w:space="0" w:color="000000"/>
            </w:tcBorders>
            <w:shd w:fill="F2F2F2" w:val="clear"/>
          </w:tcPr>
          <w:p>
            <w:pPr>
              <w:pStyle w:val="Style25"/>
              <w:widowControl w:val="false"/>
              <w:tabs>
                <w:tab w:val="clear" w:pos="720"/>
                <w:tab w:val="left" w:pos="-540" w:leader="none"/>
              </w:tabs>
              <w:spacing w:before="0" w:after="240"/>
              <w:jc w:val="left"/>
              <w:rPr>
                <w:rFonts w:ascii="Calibri" w:hAnsi="Calibri" w:eastAsia="Calibri" w:cs="Calibri"/>
                <w:b/>
                <w:b/>
                <w:sz w:val="22"/>
                <w:szCs w:val="22"/>
              </w:rPr>
            </w:pPr>
            <w:r>
              <w:rPr>
                <w:rFonts w:eastAsia="Calibri" w:cs="Calibri"/>
                <w:b/>
                <w:sz w:val="22"/>
                <w:szCs w:val="22"/>
              </w:rPr>
              <w:t>Απαίτηση</w:t>
            </w:r>
          </w:p>
        </w:tc>
        <w:tc>
          <w:tcPr>
            <w:tcW w:w="2725" w:type="dxa"/>
            <w:tcBorders>
              <w:top w:val="single" w:sz="4" w:space="0" w:color="000000"/>
              <w:left w:val="single" w:sz="4" w:space="0" w:color="000000"/>
              <w:bottom w:val="single" w:sz="4" w:space="0" w:color="000000"/>
              <w:right w:val="single" w:sz="4" w:space="0" w:color="000000"/>
            </w:tcBorders>
            <w:shd w:fill="F2F2F2" w:val="clear"/>
          </w:tcPr>
          <w:p>
            <w:pPr>
              <w:pStyle w:val="Style25"/>
              <w:widowControl w:val="false"/>
              <w:tabs>
                <w:tab w:val="clear" w:pos="720"/>
                <w:tab w:val="left" w:pos="-540" w:leader="none"/>
              </w:tabs>
              <w:spacing w:before="0" w:after="240"/>
              <w:jc w:val="left"/>
              <w:rPr>
                <w:rFonts w:ascii="Calibri" w:hAnsi="Calibri" w:eastAsia="Calibri" w:cs="Calibri"/>
                <w:b/>
                <w:b/>
                <w:sz w:val="22"/>
                <w:szCs w:val="22"/>
              </w:rPr>
            </w:pPr>
            <w:r>
              <w:rPr>
                <w:rFonts w:eastAsia="Calibri" w:cs="Calibri"/>
                <w:b/>
                <w:sz w:val="22"/>
                <w:szCs w:val="22"/>
              </w:rPr>
              <w:t>Παρατηρήσεις</w:t>
            </w:r>
          </w:p>
        </w:tc>
      </w:tr>
      <w:tr>
        <w:trPr/>
        <w:tc>
          <w:tcPr>
            <w:tcW w:w="2733" w:type="dxa"/>
            <w:tcBorders>
              <w:top w:val="single" w:sz="4" w:space="0" w:color="000000"/>
              <w:left w:val="single" w:sz="4" w:space="0" w:color="000000"/>
              <w:bottom w:val="single" w:sz="4" w:space="0" w:color="000000"/>
            </w:tcBorders>
          </w:tcPr>
          <w:p>
            <w:pPr>
              <w:pStyle w:val="Style25"/>
              <w:widowControl w:val="false"/>
              <w:tabs>
                <w:tab w:val="clear" w:pos="720"/>
                <w:tab w:val="left" w:pos="-540" w:leader="none"/>
              </w:tabs>
              <w:spacing w:before="0" w:after="240"/>
              <w:jc w:val="left"/>
              <w:rPr>
                <w:rFonts w:ascii="Calibri" w:hAnsi="Calibri" w:cs="Calibri"/>
                <w:sz w:val="22"/>
                <w:szCs w:val="22"/>
              </w:rPr>
            </w:pPr>
            <w:r>
              <w:rPr>
                <w:rFonts w:cs="Calibri"/>
                <w:sz w:val="22"/>
                <w:szCs w:val="22"/>
              </w:rPr>
              <w:t>Ισχύς</w:t>
            </w:r>
          </w:p>
        </w:tc>
        <w:tc>
          <w:tcPr>
            <w:tcW w:w="3958" w:type="dxa"/>
            <w:tcBorders>
              <w:top w:val="single" w:sz="4" w:space="0" w:color="000000"/>
              <w:left w:val="single" w:sz="4" w:space="0" w:color="000000"/>
              <w:bottom w:val="single" w:sz="4" w:space="0" w:color="000000"/>
            </w:tcBorders>
          </w:tcPr>
          <w:p>
            <w:pPr>
              <w:pStyle w:val="Style25"/>
              <w:widowControl w:val="false"/>
              <w:tabs>
                <w:tab w:val="clear" w:pos="720"/>
                <w:tab w:val="left" w:pos="-540" w:leader="none"/>
              </w:tabs>
              <w:spacing w:before="0" w:after="240"/>
              <w:jc w:val="left"/>
              <w:rPr/>
            </w:pPr>
            <w:r>
              <w:rPr>
                <w:rFonts w:cs="Calibri"/>
                <w:sz w:val="22"/>
                <w:szCs w:val="22"/>
              </w:rPr>
              <w:t>Τουλάχιστον 500</w:t>
            </w:r>
            <w:r>
              <w:rPr>
                <w:rFonts w:cs="Calibri"/>
                <w:sz w:val="22"/>
                <w:szCs w:val="22"/>
                <w:lang w:val="en-US"/>
              </w:rPr>
              <w:t>W</w:t>
            </w:r>
          </w:p>
        </w:tc>
        <w:tc>
          <w:tcPr>
            <w:tcW w:w="2725" w:type="dxa"/>
            <w:tcBorders>
              <w:top w:val="single" w:sz="4" w:space="0" w:color="000000"/>
              <w:left w:val="single" w:sz="4" w:space="0" w:color="000000"/>
              <w:bottom w:val="single" w:sz="4" w:space="0" w:color="000000"/>
              <w:right w:val="single" w:sz="4" w:space="0" w:color="000000"/>
            </w:tcBorders>
          </w:tcPr>
          <w:p>
            <w:pPr>
              <w:pStyle w:val="Style25"/>
              <w:widowControl w:val="false"/>
              <w:tabs>
                <w:tab w:val="clear" w:pos="720"/>
                <w:tab w:val="left" w:pos="-540" w:leader="none"/>
              </w:tabs>
              <w:snapToGrid w:val="false"/>
              <w:spacing w:before="0" w:after="240"/>
              <w:jc w:val="left"/>
              <w:rPr>
                <w:rFonts w:ascii="Calibri" w:hAnsi="Calibri" w:cs="Calibri"/>
                <w:sz w:val="22"/>
                <w:szCs w:val="22"/>
              </w:rPr>
            </w:pPr>
            <w:r>
              <w:rPr>
                <w:rFonts w:cs="Calibri"/>
                <w:sz w:val="22"/>
                <w:szCs w:val="22"/>
              </w:rPr>
            </w:r>
          </w:p>
        </w:tc>
      </w:tr>
      <w:tr>
        <w:trPr/>
        <w:tc>
          <w:tcPr>
            <w:tcW w:w="2733" w:type="dxa"/>
            <w:tcBorders>
              <w:top w:val="single" w:sz="4" w:space="0" w:color="000000"/>
              <w:left w:val="single" w:sz="4" w:space="0" w:color="000000"/>
              <w:bottom w:val="single" w:sz="4" w:space="0" w:color="000000"/>
            </w:tcBorders>
          </w:tcPr>
          <w:p>
            <w:pPr>
              <w:pStyle w:val="Style25"/>
              <w:widowControl w:val="false"/>
              <w:tabs>
                <w:tab w:val="clear" w:pos="720"/>
                <w:tab w:val="left" w:pos="-540" w:leader="none"/>
              </w:tabs>
              <w:spacing w:before="0" w:after="240"/>
              <w:jc w:val="left"/>
              <w:rPr>
                <w:rFonts w:ascii="Calibri" w:hAnsi="Calibri" w:cs="Calibri"/>
                <w:sz w:val="22"/>
                <w:szCs w:val="22"/>
              </w:rPr>
            </w:pPr>
            <w:r>
              <w:rPr>
                <w:rFonts w:cs="Calibri"/>
                <w:sz w:val="22"/>
                <w:szCs w:val="22"/>
              </w:rPr>
              <w:t>Χωρητικότητα δοχείου</w:t>
            </w:r>
          </w:p>
        </w:tc>
        <w:tc>
          <w:tcPr>
            <w:tcW w:w="3958" w:type="dxa"/>
            <w:tcBorders>
              <w:top w:val="single" w:sz="4" w:space="0" w:color="000000"/>
              <w:left w:val="single" w:sz="4" w:space="0" w:color="000000"/>
              <w:bottom w:val="single" w:sz="4" w:space="0" w:color="000000"/>
            </w:tcBorders>
          </w:tcPr>
          <w:p>
            <w:pPr>
              <w:pStyle w:val="Style25"/>
              <w:widowControl w:val="false"/>
              <w:tabs>
                <w:tab w:val="clear" w:pos="720"/>
                <w:tab w:val="left" w:pos="-540" w:leader="none"/>
              </w:tabs>
              <w:spacing w:before="0" w:after="240"/>
              <w:jc w:val="left"/>
              <w:rPr/>
            </w:pPr>
            <w:r>
              <w:rPr>
                <w:rFonts w:cs="Calibri"/>
                <w:sz w:val="22"/>
                <w:szCs w:val="22"/>
              </w:rPr>
              <w:t>&gt;=0,5</w:t>
            </w:r>
            <w:r>
              <w:rPr>
                <w:rFonts w:cs="Calibri"/>
                <w:sz w:val="22"/>
                <w:szCs w:val="22"/>
                <w:lang w:val="en-US"/>
              </w:rPr>
              <w:t>Lt</w:t>
            </w:r>
          </w:p>
        </w:tc>
        <w:tc>
          <w:tcPr>
            <w:tcW w:w="2725" w:type="dxa"/>
            <w:tcBorders>
              <w:top w:val="single" w:sz="4" w:space="0" w:color="000000"/>
              <w:left w:val="single" w:sz="4" w:space="0" w:color="000000"/>
              <w:bottom w:val="single" w:sz="4" w:space="0" w:color="000000"/>
              <w:right w:val="single" w:sz="4" w:space="0" w:color="000000"/>
            </w:tcBorders>
          </w:tcPr>
          <w:p>
            <w:pPr>
              <w:pStyle w:val="Style25"/>
              <w:widowControl w:val="false"/>
              <w:tabs>
                <w:tab w:val="clear" w:pos="720"/>
                <w:tab w:val="left" w:pos="-540" w:leader="none"/>
              </w:tabs>
              <w:snapToGrid w:val="false"/>
              <w:spacing w:before="0" w:after="240"/>
              <w:jc w:val="left"/>
              <w:rPr>
                <w:rFonts w:ascii="Calibri" w:hAnsi="Calibri" w:cs="Calibri"/>
                <w:sz w:val="22"/>
                <w:szCs w:val="22"/>
              </w:rPr>
            </w:pPr>
            <w:r>
              <w:rPr>
                <w:rFonts w:cs="Calibri"/>
                <w:sz w:val="22"/>
                <w:szCs w:val="22"/>
              </w:rPr>
            </w:r>
          </w:p>
        </w:tc>
      </w:tr>
      <w:tr>
        <w:trPr/>
        <w:tc>
          <w:tcPr>
            <w:tcW w:w="2733" w:type="dxa"/>
            <w:tcBorders>
              <w:top w:val="single" w:sz="4" w:space="0" w:color="000000"/>
              <w:left w:val="single" w:sz="4" w:space="0" w:color="000000"/>
              <w:bottom w:val="single" w:sz="4" w:space="0" w:color="000000"/>
            </w:tcBorders>
          </w:tcPr>
          <w:p>
            <w:pPr>
              <w:pStyle w:val="Style25"/>
              <w:widowControl w:val="false"/>
              <w:tabs>
                <w:tab w:val="clear" w:pos="720"/>
                <w:tab w:val="left" w:pos="-540" w:leader="none"/>
              </w:tabs>
              <w:spacing w:before="0" w:after="240"/>
              <w:jc w:val="left"/>
              <w:rPr>
                <w:rFonts w:ascii="Calibri" w:hAnsi="Calibri" w:cs="Calibri"/>
                <w:sz w:val="22"/>
                <w:szCs w:val="22"/>
              </w:rPr>
            </w:pPr>
            <w:r>
              <w:rPr>
                <w:rFonts w:cs="Calibri"/>
                <w:sz w:val="22"/>
                <w:szCs w:val="22"/>
              </w:rPr>
              <w:t>Επίπεδα λειτουργίας</w:t>
            </w:r>
          </w:p>
        </w:tc>
        <w:tc>
          <w:tcPr>
            <w:tcW w:w="3958" w:type="dxa"/>
            <w:tcBorders>
              <w:top w:val="single" w:sz="4" w:space="0" w:color="000000"/>
              <w:left w:val="single" w:sz="4" w:space="0" w:color="000000"/>
              <w:bottom w:val="single" w:sz="4" w:space="0" w:color="000000"/>
            </w:tcBorders>
          </w:tcPr>
          <w:p>
            <w:pPr>
              <w:pStyle w:val="Style25"/>
              <w:widowControl w:val="false"/>
              <w:tabs>
                <w:tab w:val="clear" w:pos="720"/>
                <w:tab w:val="left" w:pos="-540" w:leader="none"/>
              </w:tabs>
              <w:spacing w:before="0" w:after="240"/>
              <w:jc w:val="left"/>
              <w:rPr>
                <w:rFonts w:ascii="Calibri" w:hAnsi="Calibri" w:cs="Calibri"/>
                <w:sz w:val="22"/>
                <w:szCs w:val="22"/>
              </w:rPr>
            </w:pPr>
            <w:r>
              <w:rPr>
                <w:rFonts w:cs="Calibri"/>
                <w:sz w:val="22"/>
                <w:szCs w:val="22"/>
              </w:rPr>
              <w:t>2</w:t>
            </w:r>
          </w:p>
        </w:tc>
        <w:tc>
          <w:tcPr>
            <w:tcW w:w="2725" w:type="dxa"/>
            <w:tcBorders>
              <w:top w:val="single" w:sz="4" w:space="0" w:color="000000"/>
              <w:left w:val="single" w:sz="4" w:space="0" w:color="000000"/>
              <w:bottom w:val="single" w:sz="4" w:space="0" w:color="000000"/>
              <w:right w:val="single" w:sz="4" w:space="0" w:color="000000"/>
            </w:tcBorders>
          </w:tcPr>
          <w:p>
            <w:pPr>
              <w:pStyle w:val="Style25"/>
              <w:widowControl w:val="false"/>
              <w:tabs>
                <w:tab w:val="clear" w:pos="720"/>
                <w:tab w:val="left" w:pos="-540" w:leader="none"/>
              </w:tabs>
              <w:snapToGrid w:val="false"/>
              <w:spacing w:before="0" w:after="240"/>
              <w:jc w:val="left"/>
              <w:rPr>
                <w:rFonts w:ascii="Calibri" w:hAnsi="Calibri" w:cs="Calibri"/>
                <w:sz w:val="22"/>
                <w:szCs w:val="22"/>
              </w:rPr>
            </w:pPr>
            <w:r>
              <w:rPr>
                <w:rFonts w:cs="Calibri"/>
                <w:sz w:val="22"/>
                <w:szCs w:val="22"/>
              </w:rPr>
            </w:r>
          </w:p>
        </w:tc>
      </w:tr>
      <w:tr>
        <w:trPr/>
        <w:tc>
          <w:tcPr>
            <w:tcW w:w="2733" w:type="dxa"/>
            <w:tcBorders>
              <w:top w:val="single" w:sz="4" w:space="0" w:color="000000"/>
              <w:left w:val="single" w:sz="4" w:space="0" w:color="000000"/>
              <w:bottom w:val="single" w:sz="4" w:space="0" w:color="000000"/>
            </w:tcBorders>
          </w:tcPr>
          <w:p>
            <w:pPr>
              <w:pStyle w:val="Style25"/>
              <w:widowControl w:val="false"/>
              <w:tabs>
                <w:tab w:val="clear" w:pos="720"/>
                <w:tab w:val="left" w:pos="-540" w:leader="none"/>
              </w:tabs>
              <w:spacing w:before="0" w:after="240"/>
              <w:jc w:val="left"/>
              <w:rPr>
                <w:rFonts w:ascii="Calibri" w:hAnsi="Calibri" w:cs="Calibri"/>
                <w:sz w:val="22"/>
                <w:szCs w:val="22"/>
              </w:rPr>
            </w:pPr>
            <w:r>
              <w:rPr>
                <w:rFonts w:cs="Calibri"/>
                <w:sz w:val="22"/>
                <w:szCs w:val="22"/>
              </w:rPr>
              <w:t>Σετ λεπίδων</w:t>
            </w:r>
          </w:p>
        </w:tc>
        <w:tc>
          <w:tcPr>
            <w:tcW w:w="3958" w:type="dxa"/>
            <w:tcBorders>
              <w:top w:val="single" w:sz="4" w:space="0" w:color="000000"/>
              <w:left w:val="single" w:sz="4" w:space="0" w:color="000000"/>
              <w:bottom w:val="single" w:sz="4" w:space="0" w:color="000000"/>
            </w:tcBorders>
          </w:tcPr>
          <w:p>
            <w:pPr>
              <w:pStyle w:val="Style25"/>
              <w:widowControl w:val="false"/>
              <w:tabs>
                <w:tab w:val="clear" w:pos="720"/>
                <w:tab w:val="left" w:pos="-540" w:leader="none"/>
              </w:tabs>
              <w:spacing w:before="0" w:after="240"/>
              <w:jc w:val="left"/>
              <w:rPr>
                <w:rFonts w:ascii="Calibri" w:hAnsi="Calibri" w:cs="Calibri"/>
                <w:sz w:val="22"/>
                <w:szCs w:val="22"/>
              </w:rPr>
            </w:pPr>
            <w:r>
              <w:rPr>
                <w:rFonts w:cs="Calibri"/>
                <w:sz w:val="22"/>
                <w:szCs w:val="22"/>
              </w:rPr>
              <w:t>&gt;2</w:t>
            </w:r>
          </w:p>
        </w:tc>
        <w:tc>
          <w:tcPr>
            <w:tcW w:w="2725" w:type="dxa"/>
            <w:tcBorders>
              <w:top w:val="single" w:sz="4" w:space="0" w:color="000000"/>
              <w:left w:val="single" w:sz="4" w:space="0" w:color="000000"/>
              <w:bottom w:val="single" w:sz="4" w:space="0" w:color="000000"/>
              <w:right w:val="single" w:sz="4" w:space="0" w:color="000000"/>
            </w:tcBorders>
          </w:tcPr>
          <w:p>
            <w:pPr>
              <w:pStyle w:val="Style25"/>
              <w:widowControl w:val="false"/>
              <w:tabs>
                <w:tab w:val="clear" w:pos="720"/>
                <w:tab w:val="left" w:pos="-540" w:leader="none"/>
              </w:tabs>
              <w:snapToGrid w:val="false"/>
              <w:spacing w:before="0" w:after="240"/>
              <w:jc w:val="left"/>
              <w:rPr>
                <w:rFonts w:ascii="Calibri" w:hAnsi="Calibri" w:cs="Calibri"/>
                <w:sz w:val="22"/>
                <w:szCs w:val="22"/>
              </w:rPr>
            </w:pPr>
            <w:r>
              <w:rPr>
                <w:rFonts w:cs="Calibri"/>
                <w:sz w:val="22"/>
                <w:szCs w:val="22"/>
              </w:rPr>
              <w:t>Ανοξείδωτες</w:t>
            </w:r>
          </w:p>
        </w:tc>
      </w:tr>
      <w:tr>
        <w:trPr/>
        <w:tc>
          <w:tcPr>
            <w:tcW w:w="2733" w:type="dxa"/>
            <w:tcBorders>
              <w:top w:val="single" w:sz="4" w:space="0" w:color="000000"/>
              <w:left w:val="single" w:sz="4" w:space="0" w:color="000000"/>
              <w:bottom w:val="single" w:sz="4" w:space="0" w:color="000000"/>
            </w:tcBorders>
          </w:tcPr>
          <w:p>
            <w:pPr>
              <w:pStyle w:val="Style25"/>
              <w:widowControl w:val="false"/>
              <w:tabs>
                <w:tab w:val="clear" w:pos="720"/>
                <w:tab w:val="left" w:pos="-540" w:leader="none"/>
              </w:tabs>
              <w:spacing w:before="0" w:after="240"/>
              <w:jc w:val="left"/>
              <w:rPr>
                <w:rFonts w:ascii="Calibri" w:hAnsi="Calibri" w:cs="Calibri"/>
                <w:sz w:val="22"/>
                <w:szCs w:val="22"/>
              </w:rPr>
            </w:pPr>
            <w:r>
              <w:rPr>
                <w:rFonts w:cs="Calibri"/>
                <w:sz w:val="22"/>
                <w:szCs w:val="22"/>
              </w:rPr>
              <w:t>Αντιολισθητική βάση</w:t>
            </w:r>
          </w:p>
        </w:tc>
        <w:tc>
          <w:tcPr>
            <w:tcW w:w="3958" w:type="dxa"/>
            <w:tcBorders>
              <w:top w:val="single" w:sz="4" w:space="0" w:color="000000"/>
              <w:left w:val="single" w:sz="4" w:space="0" w:color="000000"/>
              <w:bottom w:val="single" w:sz="4" w:space="0" w:color="000000"/>
            </w:tcBorders>
          </w:tcPr>
          <w:p>
            <w:pPr>
              <w:pStyle w:val="Style25"/>
              <w:widowControl w:val="false"/>
              <w:tabs>
                <w:tab w:val="clear" w:pos="720"/>
                <w:tab w:val="left" w:pos="-540" w:leader="none"/>
              </w:tabs>
              <w:spacing w:before="0" w:after="240"/>
              <w:jc w:val="left"/>
              <w:rPr>
                <w:rFonts w:ascii="Calibri" w:hAnsi="Calibri" w:cs="Calibri"/>
                <w:sz w:val="22"/>
                <w:szCs w:val="22"/>
              </w:rPr>
            </w:pPr>
            <w:r>
              <w:rPr>
                <w:rFonts w:cs="Calibri"/>
                <w:sz w:val="22"/>
                <w:szCs w:val="22"/>
              </w:rPr>
              <w:t>Ναι</w:t>
            </w:r>
          </w:p>
        </w:tc>
        <w:tc>
          <w:tcPr>
            <w:tcW w:w="2725" w:type="dxa"/>
            <w:tcBorders>
              <w:top w:val="single" w:sz="4" w:space="0" w:color="000000"/>
              <w:left w:val="single" w:sz="4" w:space="0" w:color="000000"/>
              <w:bottom w:val="single" w:sz="4" w:space="0" w:color="000000"/>
              <w:right w:val="single" w:sz="4" w:space="0" w:color="000000"/>
            </w:tcBorders>
          </w:tcPr>
          <w:p>
            <w:pPr>
              <w:pStyle w:val="Style25"/>
              <w:widowControl w:val="false"/>
              <w:tabs>
                <w:tab w:val="clear" w:pos="720"/>
                <w:tab w:val="left" w:pos="-540" w:leader="none"/>
              </w:tabs>
              <w:snapToGrid w:val="false"/>
              <w:spacing w:before="0" w:after="240"/>
              <w:jc w:val="left"/>
              <w:rPr>
                <w:rFonts w:ascii="Calibri" w:hAnsi="Calibri" w:cs="Calibri"/>
                <w:sz w:val="22"/>
                <w:szCs w:val="22"/>
              </w:rPr>
            </w:pPr>
            <w:r>
              <w:rPr>
                <w:rFonts w:cs="Calibri"/>
                <w:sz w:val="22"/>
                <w:szCs w:val="22"/>
              </w:rPr>
            </w:r>
          </w:p>
        </w:tc>
      </w:tr>
      <w:tr>
        <w:trPr/>
        <w:tc>
          <w:tcPr>
            <w:tcW w:w="2733" w:type="dxa"/>
            <w:tcBorders>
              <w:top w:val="single" w:sz="4" w:space="0" w:color="000000"/>
              <w:left w:val="single" w:sz="4" w:space="0" w:color="000000"/>
              <w:bottom w:val="single" w:sz="4" w:space="0" w:color="000000"/>
            </w:tcBorders>
          </w:tcPr>
          <w:p>
            <w:pPr>
              <w:pStyle w:val="Style25"/>
              <w:widowControl w:val="false"/>
              <w:tabs>
                <w:tab w:val="clear" w:pos="720"/>
                <w:tab w:val="left" w:pos="-540" w:leader="none"/>
              </w:tabs>
              <w:spacing w:before="0" w:after="240"/>
              <w:jc w:val="left"/>
              <w:rPr>
                <w:rFonts w:ascii="Calibri" w:hAnsi="Calibri" w:cs="Calibri"/>
                <w:sz w:val="22"/>
                <w:szCs w:val="22"/>
              </w:rPr>
            </w:pPr>
            <w:r>
              <w:rPr>
                <w:rFonts w:cs="Calibri"/>
                <w:sz w:val="22"/>
                <w:szCs w:val="22"/>
              </w:rPr>
              <w:t>Εγγύηση</w:t>
            </w:r>
          </w:p>
        </w:tc>
        <w:tc>
          <w:tcPr>
            <w:tcW w:w="3958" w:type="dxa"/>
            <w:tcBorders>
              <w:top w:val="single" w:sz="4" w:space="0" w:color="000000"/>
              <w:left w:val="single" w:sz="4" w:space="0" w:color="000000"/>
              <w:bottom w:val="single" w:sz="4" w:space="0" w:color="000000"/>
            </w:tcBorders>
          </w:tcPr>
          <w:p>
            <w:pPr>
              <w:pStyle w:val="Style25"/>
              <w:widowControl w:val="false"/>
              <w:tabs>
                <w:tab w:val="clear" w:pos="720"/>
                <w:tab w:val="left" w:pos="-540" w:leader="none"/>
              </w:tabs>
              <w:spacing w:before="0" w:after="240"/>
              <w:jc w:val="left"/>
              <w:rPr>
                <w:rFonts w:ascii="Calibri" w:hAnsi="Calibri" w:cs="Calibri"/>
                <w:sz w:val="22"/>
                <w:szCs w:val="22"/>
              </w:rPr>
            </w:pPr>
            <w:r>
              <w:rPr>
                <w:rFonts w:cs="Calibri"/>
                <w:sz w:val="22"/>
                <w:szCs w:val="22"/>
              </w:rPr>
              <w:t>&gt;=2 έτη</w:t>
            </w:r>
          </w:p>
        </w:tc>
        <w:tc>
          <w:tcPr>
            <w:tcW w:w="2725" w:type="dxa"/>
            <w:tcBorders>
              <w:top w:val="single" w:sz="4" w:space="0" w:color="000000"/>
              <w:left w:val="single" w:sz="4" w:space="0" w:color="000000"/>
              <w:bottom w:val="single" w:sz="4" w:space="0" w:color="000000"/>
              <w:right w:val="single" w:sz="4" w:space="0" w:color="000000"/>
            </w:tcBorders>
          </w:tcPr>
          <w:p>
            <w:pPr>
              <w:pStyle w:val="Style25"/>
              <w:widowControl w:val="false"/>
              <w:tabs>
                <w:tab w:val="clear" w:pos="720"/>
                <w:tab w:val="left" w:pos="-540" w:leader="none"/>
              </w:tabs>
              <w:snapToGrid w:val="false"/>
              <w:spacing w:before="0" w:after="240"/>
              <w:jc w:val="left"/>
              <w:rPr>
                <w:rFonts w:ascii="Calibri" w:hAnsi="Calibri" w:cs="Calibri"/>
                <w:sz w:val="22"/>
                <w:szCs w:val="22"/>
                <w:lang w:val="en-US"/>
              </w:rPr>
            </w:pPr>
            <w:r>
              <w:rPr>
                <w:rFonts w:cs="Calibri"/>
                <w:sz w:val="22"/>
                <w:szCs w:val="22"/>
                <w:lang w:val="en-US"/>
              </w:rPr>
            </w:r>
          </w:p>
        </w:tc>
      </w:tr>
    </w:tbl>
    <w:p>
      <w:pPr>
        <w:pStyle w:val="Normal"/>
        <w:ind w:left="1080" w:hanging="0"/>
        <w:rPr>
          <w:rFonts w:ascii="Calibri" w:hAnsi="Calibri" w:eastAsia="Calibri" w:cs="Calibri"/>
          <w:b/>
          <w:b/>
        </w:rPr>
      </w:pPr>
      <w:r>
        <w:rPr>
          <w:rFonts w:eastAsia="Calibri" w:cs="Calibri"/>
          <w:b/>
        </w:rPr>
      </w:r>
    </w:p>
    <w:p>
      <w:pPr>
        <w:pStyle w:val="Normal"/>
        <w:ind w:left="1080" w:hanging="0"/>
        <w:rPr>
          <w:rFonts w:ascii="Calibri" w:hAnsi="Calibri" w:eastAsia="Calibri" w:cs="Calibri"/>
          <w:b/>
          <w:b/>
        </w:rPr>
      </w:pPr>
      <w:r>
        <w:rPr>
          <w:rFonts w:eastAsia="Calibri" w:cs="Calibri"/>
          <w:b/>
        </w:rPr>
        <w:t>11. Ηλεκτρική σκούπα</w:t>
      </w:r>
    </w:p>
    <w:tbl>
      <w:tblPr>
        <w:tblW w:w="9416" w:type="dxa"/>
        <w:jc w:val="left"/>
        <w:tblInd w:w="-65" w:type="dxa"/>
        <w:tblLayout w:type="fixed"/>
        <w:tblCellMar>
          <w:top w:w="0" w:type="dxa"/>
          <w:left w:w="108" w:type="dxa"/>
          <w:bottom w:w="0" w:type="dxa"/>
          <w:right w:w="108" w:type="dxa"/>
        </w:tblCellMar>
      </w:tblPr>
      <w:tblGrid>
        <w:gridCol w:w="2895"/>
        <w:gridCol w:w="3780"/>
        <w:gridCol w:w="2741"/>
      </w:tblGrid>
      <w:tr>
        <w:trPr>
          <w:trHeight w:val="227" w:hRule="atLeast"/>
        </w:trPr>
        <w:tc>
          <w:tcPr>
            <w:tcW w:w="2895" w:type="dxa"/>
            <w:tcBorders>
              <w:top w:val="single" w:sz="4" w:space="0" w:color="000000"/>
              <w:left w:val="single" w:sz="4" w:space="0" w:color="000000"/>
              <w:bottom w:val="single" w:sz="4" w:space="0" w:color="000000"/>
            </w:tcBorders>
            <w:shd w:fill="F2F2F2" w:val="clear"/>
          </w:tcPr>
          <w:p>
            <w:pPr>
              <w:pStyle w:val="Style25"/>
              <w:widowControl w:val="false"/>
              <w:tabs>
                <w:tab w:val="clear" w:pos="720"/>
                <w:tab w:val="left" w:pos="-540" w:leader="none"/>
              </w:tabs>
              <w:spacing w:before="0" w:after="240"/>
              <w:jc w:val="left"/>
              <w:rPr>
                <w:rFonts w:ascii="Calibri" w:hAnsi="Calibri" w:eastAsia="Calibri" w:cs="Calibri"/>
                <w:b/>
                <w:b/>
                <w:sz w:val="20"/>
                <w:szCs w:val="20"/>
              </w:rPr>
            </w:pPr>
            <w:r>
              <w:rPr>
                <w:rFonts w:eastAsia="Calibri" w:cs="Calibri"/>
                <w:b/>
                <w:sz w:val="20"/>
                <w:szCs w:val="20"/>
              </w:rPr>
              <w:t>Χαρακτηριστικό</w:t>
            </w:r>
          </w:p>
        </w:tc>
        <w:tc>
          <w:tcPr>
            <w:tcW w:w="3780" w:type="dxa"/>
            <w:tcBorders>
              <w:top w:val="single" w:sz="4" w:space="0" w:color="000000"/>
              <w:left w:val="single" w:sz="4" w:space="0" w:color="000000"/>
              <w:bottom w:val="single" w:sz="4" w:space="0" w:color="000000"/>
            </w:tcBorders>
            <w:shd w:fill="F2F2F2" w:val="clear"/>
          </w:tcPr>
          <w:p>
            <w:pPr>
              <w:pStyle w:val="Style25"/>
              <w:widowControl w:val="false"/>
              <w:tabs>
                <w:tab w:val="clear" w:pos="720"/>
                <w:tab w:val="left" w:pos="-540" w:leader="none"/>
              </w:tabs>
              <w:spacing w:before="0" w:after="240"/>
              <w:jc w:val="left"/>
              <w:rPr>
                <w:rFonts w:ascii="Calibri" w:hAnsi="Calibri" w:eastAsia="Calibri" w:cs="Calibri"/>
                <w:b/>
                <w:b/>
                <w:sz w:val="20"/>
                <w:szCs w:val="20"/>
              </w:rPr>
            </w:pPr>
            <w:r>
              <w:rPr>
                <w:rFonts w:eastAsia="Calibri" w:cs="Calibri"/>
                <w:b/>
                <w:sz w:val="20"/>
                <w:szCs w:val="20"/>
              </w:rPr>
              <w:t>Απαίτηση</w:t>
            </w:r>
          </w:p>
        </w:tc>
        <w:tc>
          <w:tcPr>
            <w:tcW w:w="2741" w:type="dxa"/>
            <w:tcBorders>
              <w:top w:val="single" w:sz="4" w:space="0" w:color="000000"/>
              <w:left w:val="single" w:sz="4" w:space="0" w:color="000000"/>
              <w:bottom w:val="single" w:sz="4" w:space="0" w:color="000000"/>
              <w:right w:val="single" w:sz="4" w:space="0" w:color="000000"/>
            </w:tcBorders>
            <w:shd w:fill="F2F2F2" w:val="clear"/>
          </w:tcPr>
          <w:p>
            <w:pPr>
              <w:pStyle w:val="Style25"/>
              <w:widowControl w:val="false"/>
              <w:tabs>
                <w:tab w:val="clear" w:pos="720"/>
                <w:tab w:val="left" w:pos="-540" w:leader="none"/>
              </w:tabs>
              <w:spacing w:before="0" w:after="240"/>
              <w:jc w:val="left"/>
              <w:rPr>
                <w:rFonts w:ascii="Calibri" w:hAnsi="Calibri" w:eastAsia="Calibri" w:cs="Calibri"/>
                <w:b/>
                <w:b/>
                <w:sz w:val="20"/>
                <w:szCs w:val="20"/>
              </w:rPr>
            </w:pPr>
            <w:r>
              <w:rPr>
                <w:rFonts w:eastAsia="Calibri" w:cs="Calibri"/>
                <w:b/>
                <w:sz w:val="20"/>
                <w:szCs w:val="20"/>
              </w:rPr>
              <w:t>Παρατηρήσεις</w:t>
            </w:r>
          </w:p>
        </w:tc>
      </w:tr>
      <w:tr>
        <w:trPr>
          <w:trHeight w:val="227" w:hRule="atLeast"/>
        </w:trPr>
        <w:tc>
          <w:tcPr>
            <w:tcW w:w="2895" w:type="dxa"/>
            <w:tcBorders>
              <w:top w:val="single" w:sz="4" w:space="0" w:color="000000"/>
              <w:left w:val="single" w:sz="4" w:space="0" w:color="000000"/>
              <w:bottom w:val="single" w:sz="4" w:space="0" w:color="000000"/>
            </w:tcBorders>
          </w:tcPr>
          <w:p>
            <w:pPr>
              <w:pStyle w:val="Style25"/>
              <w:widowControl w:val="false"/>
              <w:tabs>
                <w:tab w:val="clear" w:pos="720"/>
                <w:tab w:val="left" w:pos="-540" w:leader="none"/>
              </w:tabs>
              <w:spacing w:before="0" w:after="240"/>
              <w:jc w:val="left"/>
              <w:rPr>
                <w:rFonts w:ascii="Calibri" w:hAnsi="Calibri" w:cs="Calibri"/>
                <w:sz w:val="20"/>
                <w:szCs w:val="20"/>
              </w:rPr>
            </w:pPr>
            <w:r>
              <w:rPr>
                <w:rFonts w:cs="Calibri"/>
                <w:sz w:val="20"/>
                <w:szCs w:val="20"/>
              </w:rPr>
              <w:t>Τύπος σκούπας</w:t>
            </w:r>
          </w:p>
        </w:tc>
        <w:tc>
          <w:tcPr>
            <w:tcW w:w="3780" w:type="dxa"/>
            <w:tcBorders>
              <w:top w:val="single" w:sz="4" w:space="0" w:color="000000"/>
              <w:left w:val="single" w:sz="4" w:space="0" w:color="000000"/>
              <w:bottom w:val="single" w:sz="4" w:space="0" w:color="000000"/>
            </w:tcBorders>
          </w:tcPr>
          <w:p>
            <w:pPr>
              <w:pStyle w:val="Style25"/>
              <w:widowControl w:val="false"/>
              <w:tabs>
                <w:tab w:val="clear" w:pos="720"/>
                <w:tab w:val="left" w:pos="-540" w:leader="none"/>
              </w:tabs>
              <w:spacing w:before="0" w:after="240"/>
              <w:jc w:val="left"/>
              <w:rPr>
                <w:rFonts w:ascii="Calibri" w:hAnsi="Calibri" w:cs="Calibri"/>
                <w:sz w:val="20"/>
                <w:szCs w:val="20"/>
              </w:rPr>
            </w:pPr>
            <w:r>
              <w:rPr>
                <w:rFonts w:cs="Calibri"/>
                <w:sz w:val="20"/>
                <w:szCs w:val="20"/>
              </w:rPr>
              <w:t>Με σακούλα</w:t>
            </w:r>
          </w:p>
        </w:tc>
        <w:tc>
          <w:tcPr>
            <w:tcW w:w="2741" w:type="dxa"/>
            <w:tcBorders>
              <w:top w:val="single" w:sz="4" w:space="0" w:color="000000"/>
              <w:left w:val="single" w:sz="4" w:space="0" w:color="000000"/>
              <w:bottom w:val="single" w:sz="4" w:space="0" w:color="000000"/>
              <w:right w:val="single" w:sz="4" w:space="0" w:color="000000"/>
            </w:tcBorders>
          </w:tcPr>
          <w:p>
            <w:pPr>
              <w:pStyle w:val="Style25"/>
              <w:widowControl w:val="false"/>
              <w:tabs>
                <w:tab w:val="clear" w:pos="720"/>
                <w:tab w:val="left" w:pos="-540" w:leader="none"/>
              </w:tabs>
              <w:snapToGrid w:val="false"/>
              <w:spacing w:before="0" w:after="240"/>
              <w:jc w:val="left"/>
              <w:rPr>
                <w:rFonts w:ascii="Calibri" w:hAnsi="Calibri" w:cs="Calibri"/>
                <w:sz w:val="20"/>
                <w:szCs w:val="20"/>
              </w:rPr>
            </w:pPr>
            <w:r>
              <w:rPr>
                <w:rFonts w:cs="Calibri"/>
                <w:sz w:val="20"/>
                <w:szCs w:val="20"/>
              </w:rPr>
            </w:r>
          </w:p>
        </w:tc>
      </w:tr>
      <w:tr>
        <w:trPr>
          <w:trHeight w:val="227" w:hRule="atLeast"/>
        </w:trPr>
        <w:tc>
          <w:tcPr>
            <w:tcW w:w="2895" w:type="dxa"/>
            <w:tcBorders>
              <w:top w:val="single" w:sz="4" w:space="0" w:color="000000"/>
              <w:left w:val="single" w:sz="4" w:space="0" w:color="000000"/>
              <w:bottom w:val="single" w:sz="4" w:space="0" w:color="000000"/>
            </w:tcBorders>
          </w:tcPr>
          <w:p>
            <w:pPr>
              <w:pStyle w:val="Style25"/>
              <w:widowControl w:val="false"/>
              <w:tabs>
                <w:tab w:val="clear" w:pos="720"/>
                <w:tab w:val="left" w:pos="-540" w:leader="none"/>
              </w:tabs>
              <w:spacing w:before="0" w:after="240"/>
              <w:jc w:val="left"/>
              <w:rPr>
                <w:rFonts w:ascii="Calibri" w:hAnsi="Calibri" w:cs="Calibri"/>
                <w:sz w:val="20"/>
                <w:szCs w:val="20"/>
              </w:rPr>
            </w:pPr>
            <w:r>
              <w:rPr>
                <w:rFonts w:cs="Calibri"/>
                <w:sz w:val="20"/>
                <w:szCs w:val="20"/>
              </w:rPr>
              <w:t>Ενεργειακή κλάση</w:t>
            </w:r>
          </w:p>
        </w:tc>
        <w:tc>
          <w:tcPr>
            <w:tcW w:w="3780" w:type="dxa"/>
            <w:tcBorders>
              <w:top w:val="single" w:sz="4" w:space="0" w:color="000000"/>
              <w:left w:val="single" w:sz="4" w:space="0" w:color="000000"/>
              <w:bottom w:val="single" w:sz="4" w:space="0" w:color="000000"/>
            </w:tcBorders>
          </w:tcPr>
          <w:p>
            <w:pPr>
              <w:pStyle w:val="Style25"/>
              <w:widowControl w:val="false"/>
              <w:tabs>
                <w:tab w:val="clear" w:pos="720"/>
                <w:tab w:val="left" w:pos="-540" w:leader="none"/>
              </w:tabs>
              <w:spacing w:before="0" w:after="240"/>
              <w:jc w:val="left"/>
              <w:rPr>
                <w:rFonts w:ascii="Calibri" w:hAnsi="Calibri" w:cs="Calibri"/>
                <w:sz w:val="20"/>
                <w:szCs w:val="20"/>
              </w:rPr>
            </w:pPr>
            <w:r>
              <w:rPr>
                <w:rFonts w:cs="Calibri"/>
                <w:sz w:val="20"/>
                <w:szCs w:val="20"/>
              </w:rPr>
              <w:t>Τουλάχιστον Α</w:t>
            </w:r>
          </w:p>
        </w:tc>
        <w:tc>
          <w:tcPr>
            <w:tcW w:w="2741" w:type="dxa"/>
            <w:tcBorders>
              <w:top w:val="single" w:sz="4" w:space="0" w:color="000000"/>
              <w:left w:val="single" w:sz="4" w:space="0" w:color="000000"/>
              <w:bottom w:val="single" w:sz="4" w:space="0" w:color="000000"/>
              <w:right w:val="single" w:sz="4" w:space="0" w:color="000000"/>
            </w:tcBorders>
          </w:tcPr>
          <w:p>
            <w:pPr>
              <w:pStyle w:val="Style25"/>
              <w:widowControl w:val="false"/>
              <w:tabs>
                <w:tab w:val="clear" w:pos="720"/>
                <w:tab w:val="left" w:pos="-540" w:leader="none"/>
              </w:tabs>
              <w:snapToGrid w:val="false"/>
              <w:spacing w:before="0" w:after="240"/>
              <w:jc w:val="left"/>
              <w:rPr>
                <w:rFonts w:ascii="Calibri" w:hAnsi="Calibri" w:cs="Calibri"/>
                <w:sz w:val="20"/>
                <w:szCs w:val="20"/>
              </w:rPr>
            </w:pPr>
            <w:r>
              <w:rPr>
                <w:rFonts w:cs="Calibri"/>
                <w:sz w:val="20"/>
                <w:szCs w:val="20"/>
              </w:rPr>
            </w:r>
          </w:p>
        </w:tc>
      </w:tr>
      <w:tr>
        <w:trPr>
          <w:trHeight w:val="227" w:hRule="atLeast"/>
        </w:trPr>
        <w:tc>
          <w:tcPr>
            <w:tcW w:w="2895" w:type="dxa"/>
            <w:tcBorders>
              <w:left w:val="single" w:sz="4" w:space="0" w:color="000000"/>
              <w:bottom w:val="single" w:sz="4" w:space="0" w:color="000000"/>
            </w:tcBorders>
          </w:tcPr>
          <w:p>
            <w:pPr>
              <w:pStyle w:val="Style25"/>
              <w:widowControl w:val="false"/>
              <w:tabs>
                <w:tab w:val="clear" w:pos="720"/>
                <w:tab w:val="left" w:pos="-540" w:leader="none"/>
              </w:tabs>
              <w:spacing w:before="0" w:after="240"/>
              <w:jc w:val="left"/>
              <w:rPr>
                <w:rFonts w:ascii="Calibri" w:hAnsi="Calibri" w:cs="Calibri"/>
                <w:sz w:val="20"/>
                <w:szCs w:val="20"/>
              </w:rPr>
            </w:pPr>
            <w:r>
              <w:rPr>
                <w:rFonts w:cs="Calibri"/>
                <w:sz w:val="20"/>
                <w:szCs w:val="20"/>
              </w:rPr>
              <w:t>Ισχύς</w:t>
            </w:r>
          </w:p>
        </w:tc>
        <w:tc>
          <w:tcPr>
            <w:tcW w:w="3780" w:type="dxa"/>
            <w:tcBorders>
              <w:left w:val="single" w:sz="4" w:space="0" w:color="000000"/>
              <w:bottom w:val="single" w:sz="4" w:space="0" w:color="000000"/>
            </w:tcBorders>
          </w:tcPr>
          <w:p>
            <w:pPr>
              <w:pStyle w:val="Style25"/>
              <w:widowControl w:val="false"/>
              <w:tabs>
                <w:tab w:val="clear" w:pos="720"/>
                <w:tab w:val="left" w:pos="-540" w:leader="none"/>
              </w:tabs>
              <w:spacing w:before="0" w:after="240"/>
              <w:jc w:val="left"/>
              <w:rPr>
                <w:sz w:val="20"/>
                <w:szCs w:val="20"/>
              </w:rPr>
            </w:pPr>
            <w:r>
              <w:rPr>
                <w:rFonts w:cs="Calibri"/>
                <w:sz w:val="20"/>
                <w:szCs w:val="20"/>
              </w:rPr>
              <w:t>&gt;500</w:t>
            </w:r>
            <w:r>
              <w:rPr>
                <w:rFonts w:cs="Calibri"/>
                <w:sz w:val="20"/>
                <w:szCs w:val="20"/>
                <w:lang w:val="en-US"/>
              </w:rPr>
              <w:t>W</w:t>
            </w:r>
          </w:p>
        </w:tc>
        <w:tc>
          <w:tcPr>
            <w:tcW w:w="2741" w:type="dxa"/>
            <w:tcBorders>
              <w:left w:val="single" w:sz="4" w:space="0" w:color="000000"/>
              <w:bottom w:val="single" w:sz="4" w:space="0" w:color="000000"/>
              <w:right w:val="single" w:sz="4" w:space="0" w:color="000000"/>
            </w:tcBorders>
          </w:tcPr>
          <w:p>
            <w:pPr>
              <w:pStyle w:val="Style25"/>
              <w:widowControl w:val="false"/>
              <w:tabs>
                <w:tab w:val="clear" w:pos="720"/>
                <w:tab w:val="left" w:pos="-540" w:leader="none"/>
              </w:tabs>
              <w:snapToGrid w:val="false"/>
              <w:spacing w:before="0" w:after="240"/>
              <w:jc w:val="left"/>
              <w:rPr>
                <w:rFonts w:ascii="Calibri" w:hAnsi="Calibri" w:cs="Calibri"/>
                <w:sz w:val="20"/>
                <w:szCs w:val="20"/>
              </w:rPr>
            </w:pPr>
            <w:r>
              <w:rPr>
                <w:rFonts w:cs="Calibri"/>
                <w:sz w:val="20"/>
                <w:szCs w:val="20"/>
              </w:rPr>
            </w:r>
          </w:p>
        </w:tc>
      </w:tr>
      <w:tr>
        <w:trPr>
          <w:trHeight w:val="227" w:hRule="atLeast"/>
        </w:trPr>
        <w:tc>
          <w:tcPr>
            <w:tcW w:w="2895" w:type="dxa"/>
            <w:tcBorders>
              <w:top w:val="single" w:sz="4" w:space="0" w:color="000000"/>
              <w:left w:val="single" w:sz="4" w:space="0" w:color="000000"/>
              <w:bottom w:val="single" w:sz="4" w:space="0" w:color="000000"/>
            </w:tcBorders>
          </w:tcPr>
          <w:p>
            <w:pPr>
              <w:pStyle w:val="Style25"/>
              <w:widowControl w:val="false"/>
              <w:tabs>
                <w:tab w:val="clear" w:pos="720"/>
                <w:tab w:val="left" w:pos="-540" w:leader="none"/>
              </w:tabs>
              <w:spacing w:before="0" w:after="240"/>
              <w:jc w:val="left"/>
              <w:rPr>
                <w:rFonts w:ascii="Calibri" w:hAnsi="Calibri" w:cs="Calibri"/>
                <w:sz w:val="20"/>
                <w:szCs w:val="20"/>
              </w:rPr>
            </w:pPr>
            <w:r>
              <w:rPr>
                <w:rFonts w:cs="Calibri"/>
                <w:sz w:val="20"/>
                <w:szCs w:val="20"/>
              </w:rPr>
              <w:t>Απορροφητικότητα σε χαλί</w:t>
            </w:r>
          </w:p>
        </w:tc>
        <w:tc>
          <w:tcPr>
            <w:tcW w:w="3780" w:type="dxa"/>
            <w:tcBorders>
              <w:top w:val="single" w:sz="4" w:space="0" w:color="000000"/>
              <w:left w:val="single" w:sz="4" w:space="0" w:color="000000"/>
              <w:bottom w:val="single" w:sz="4" w:space="0" w:color="000000"/>
            </w:tcBorders>
          </w:tcPr>
          <w:p>
            <w:pPr>
              <w:pStyle w:val="Style25"/>
              <w:widowControl w:val="false"/>
              <w:tabs>
                <w:tab w:val="clear" w:pos="720"/>
                <w:tab w:val="left" w:pos="-540" w:leader="none"/>
              </w:tabs>
              <w:spacing w:before="0" w:after="240"/>
              <w:jc w:val="left"/>
              <w:rPr>
                <w:rFonts w:ascii="Calibri" w:hAnsi="Calibri" w:cs="Calibri"/>
                <w:sz w:val="20"/>
                <w:szCs w:val="20"/>
              </w:rPr>
            </w:pPr>
            <w:r>
              <w:rPr>
                <w:rFonts w:cs="Calibri"/>
                <w:sz w:val="20"/>
                <w:szCs w:val="20"/>
              </w:rPr>
              <w:t>Τουλάχιστον Β</w:t>
            </w:r>
          </w:p>
        </w:tc>
        <w:tc>
          <w:tcPr>
            <w:tcW w:w="2741" w:type="dxa"/>
            <w:tcBorders>
              <w:top w:val="single" w:sz="4" w:space="0" w:color="000000"/>
              <w:left w:val="single" w:sz="4" w:space="0" w:color="000000"/>
              <w:bottom w:val="single" w:sz="4" w:space="0" w:color="000000"/>
              <w:right w:val="single" w:sz="4" w:space="0" w:color="000000"/>
            </w:tcBorders>
          </w:tcPr>
          <w:p>
            <w:pPr>
              <w:pStyle w:val="Style25"/>
              <w:widowControl w:val="false"/>
              <w:tabs>
                <w:tab w:val="clear" w:pos="720"/>
                <w:tab w:val="left" w:pos="-540" w:leader="none"/>
              </w:tabs>
              <w:snapToGrid w:val="false"/>
              <w:spacing w:before="0" w:after="240"/>
              <w:jc w:val="left"/>
              <w:rPr>
                <w:rFonts w:ascii="Calibri" w:hAnsi="Calibri" w:cs="Calibri"/>
                <w:sz w:val="20"/>
                <w:szCs w:val="20"/>
              </w:rPr>
            </w:pPr>
            <w:r>
              <w:rPr>
                <w:rFonts w:cs="Calibri"/>
                <w:sz w:val="20"/>
                <w:szCs w:val="20"/>
              </w:rPr>
            </w:r>
          </w:p>
        </w:tc>
      </w:tr>
      <w:tr>
        <w:trPr>
          <w:trHeight w:val="227" w:hRule="atLeast"/>
        </w:trPr>
        <w:tc>
          <w:tcPr>
            <w:tcW w:w="2895" w:type="dxa"/>
            <w:tcBorders>
              <w:top w:val="single" w:sz="4" w:space="0" w:color="000000"/>
              <w:left w:val="single" w:sz="4" w:space="0" w:color="000000"/>
              <w:bottom w:val="single" w:sz="4" w:space="0" w:color="000000"/>
            </w:tcBorders>
          </w:tcPr>
          <w:p>
            <w:pPr>
              <w:pStyle w:val="Style25"/>
              <w:widowControl w:val="false"/>
              <w:tabs>
                <w:tab w:val="clear" w:pos="720"/>
                <w:tab w:val="left" w:pos="-540" w:leader="none"/>
              </w:tabs>
              <w:spacing w:before="0" w:after="240"/>
              <w:jc w:val="left"/>
              <w:rPr>
                <w:sz w:val="20"/>
                <w:szCs w:val="20"/>
              </w:rPr>
            </w:pPr>
            <w:r>
              <w:rPr>
                <w:rFonts w:eastAsia="Calibri" w:cs="Calibri"/>
                <w:sz w:val="20"/>
                <w:szCs w:val="20"/>
              </w:rPr>
              <w:t xml:space="preserve">                               </w:t>
            </w:r>
            <w:r>
              <w:rPr>
                <w:rFonts w:cs="Calibri"/>
                <w:sz w:val="20"/>
                <w:szCs w:val="20"/>
              </w:rPr>
              <w:t>σε δάπεδο</w:t>
            </w:r>
          </w:p>
        </w:tc>
        <w:tc>
          <w:tcPr>
            <w:tcW w:w="3780" w:type="dxa"/>
            <w:tcBorders>
              <w:top w:val="single" w:sz="4" w:space="0" w:color="000000"/>
              <w:left w:val="single" w:sz="4" w:space="0" w:color="000000"/>
              <w:bottom w:val="single" w:sz="4" w:space="0" w:color="000000"/>
            </w:tcBorders>
          </w:tcPr>
          <w:p>
            <w:pPr>
              <w:pStyle w:val="Style25"/>
              <w:widowControl w:val="false"/>
              <w:tabs>
                <w:tab w:val="clear" w:pos="720"/>
                <w:tab w:val="left" w:pos="-540" w:leader="none"/>
              </w:tabs>
              <w:spacing w:before="0" w:after="240"/>
              <w:jc w:val="left"/>
              <w:rPr>
                <w:rFonts w:ascii="Calibri" w:hAnsi="Calibri" w:cs="Calibri"/>
                <w:sz w:val="20"/>
                <w:szCs w:val="20"/>
              </w:rPr>
            </w:pPr>
            <w:r>
              <w:rPr>
                <w:rFonts w:cs="Calibri"/>
                <w:sz w:val="20"/>
                <w:szCs w:val="20"/>
              </w:rPr>
              <w:t>Α</w:t>
            </w:r>
          </w:p>
        </w:tc>
        <w:tc>
          <w:tcPr>
            <w:tcW w:w="2741" w:type="dxa"/>
            <w:tcBorders>
              <w:top w:val="single" w:sz="4" w:space="0" w:color="000000"/>
              <w:left w:val="single" w:sz="4" w:space="0" w:color="000000"/>
              <w:bottom w:val="single" w:sz="4" w:space="0" w:color="000000"/>
              <w:right w:val="single" w:sz="4" w:space="0" w:color="000000"/>
            </w:tcBorders>
          </w:tcPr>
          <w:p>
            <w:pPr>
              <w:pStyle w:val="Style25"/>
              <w:widowControl w:val="false"/>
              <w:tabs>
                <w:tab w:val="clear" w:pos="720"/>
                <w:tab w:val="left" w:pos="-540" w:leader="none"/>
              </w:tabs>
              <w:snapToGrid w:val="false"/>
              <w:spacing w:before="0" w:after="240"/>
              <w:jc w:val="left"/>
              <w:rPr>
                <w:rFonts w:ascii="Calibri" w:hAnsi="Calibri" w:cs="Calibri"/>
                <w:sz w:val="20"/>
                <w:szCs w:val="20"/>
              </w:rPr>
            </w:pPr>
            <w:r>
              <w:rPr>
                <w:rFonts w:cs="Calibri"/>
                <w:sz w:val="20"/>
                <w:szCs w:val="20"/>
              </w:rPr>
            </w:r>
          </w:p>
        </w:tc>
      </w:tr>
      <w:tr>
        <w:trPr>
          <w:trHeight w:val="227" w:hRule="atLeast"/>
        </w:trPr>
        <w:tc>
          <w:tcPr>
            <w:tcW w:w="2895" w:type="dxa"/>
            <w:tcBorders>
              <w:top w:val="single" w:sz="4" w:space="0" w:color="000000"/>
              <w:left w:val="single" w:sz="4" w:space="0" w:color="000000"/>
              <w:bottom w:val="single" w:sz="4" w:space="0" w:color="000000"/>
            </w:tcBorders>
          </w:tcPr>
          <w:p>
            <w:pPr>
              <w:pStyle w:val="Style25"/>
              <w:widowControl w:val="false"/>
              <w:tabs>
                <w:tab w:val="clear" w:pos="720"/>
                <w:tab w:val="left" w:pos="-540" w:leader="none"/>
              </w:tabs>
              <w:spacing w:before="0" w:after="240"/>
              <w:jc w:val="left"/>
              <w:rPr>
                <w:rFonts w:ascii="Calibri" w:hAnsi="Calibri" w:cs="Calibri"/>
                <w:sz w:val="20"/>
                <w:szCs w:val="20"/>
              </w:rPr>
            </w:pPr>
            <w:r>
              <w:rPr>
                <w:rFonts w:cs="Calibri"/>
                <w:sz w:val="20"/>
                <w:szCs w:val="20"/>
              </w:rPr>
              <w:t>Απόδοση φίλτρου σκόνης</w:t>
            </w:r>
          </w:p>
        </w:tc>
        <w:tc>
          <w:tcPr>
            <w:tcW w:w="3780" w:type="dxa"/>
            <w:tcBorders>
              <w:top w:val="single" w:sz="4" w:space="0" w:color="000000"/>
              <w:left w:val="single" w:sz="4" w:space="0" w:color="000000"/>
              <w:bottom w:val="single" w:sz="4" w:space="0" w:color="000000"/>
            </w:tcBorders>
          </w:tcPr>
          <w:p>
            <w:pPr>
              <w:pStyle w:val="Style25"/>
              <w:widowControl w:val="false"/>
              <w:tabs>
                <w:tab w:val="clear" w:pos="720"/>
                <w:tab w:val="left" w:pos="-540" w:leader="none"/>
              </w:tabs>
              <w:spacing w:before="0" w:after="240"/>
              <w:jc w:val="left"/>
              <w:rPr>
                <w:rFonts w:ascii="Calibri" w:hAnsi="Calibri" w:cs="Calibri"/>
                <w:sz w:val="20"/>
                <w:szCs w:val="20"/>
              </w:rPr>
            </w:pPr>
            <w:r>
              <w:rPr>
                <w:rFonts w:cs="Calibri"/>
                <w:sz w:val="20"/>
                <w:szCs w:val="20"/>
              </w:rPr>
              <w:t>Α</w:t>
            </w:r>
          </w:p>
        </w:tc>
        <w:tc>
          <w:tcPr>
            <w:tcW w:w="2741" w:type="dxa"/>
            <w:tcBorders>
              <w:top w:val="single" w:sz="4" w:space="0" w:color="000000"/>
              <w:left w:val="single" w:sz="4" w:space="0" w:color="000000"/>
              <w:bottom w:val="single" w:sz="4" w:space="0" w:color="000000"/>
              <w:right w:val="single" w:sz="4" w:space="0" w:color="000000"/>
            </w:tcBorders>
          </w:tcPr>
          <w:p>
            <w:pPr>
              <w:pStyle w:val="Style25"/>
              <w:widowControl w:val="false"/>
              <w:tabs>
                <w:tab w:val="clear" w:pos="720"/>
                <w:tab w:val="left" w:pos="-540" w:leader="none"/>
              </w:tabs>
              <w:snapToGrid w:val="false"/>
              <w:spacing w:before="0" w:after="240"/>
              <w:jc w:val="left"/>
              <w:rPr>
                <w:rFonts w:ascii="Calibri" w:hAnsi="Calibri" w:cs="Calibri"/>
                <w:sz w:val="20"/>
                <w:szCs w:val="20"/>
              </w:rPr>
            </w:pPr>
            <w:r>
              <w:rPr>
                <w:rFonts w:cs="Calibri"/>
                <w:sz w:val="20"/>
                <w:szCs w:val="20"/>
              </w:rPr>
            </w:r>
          </w:p>
        </w:tc>
      </w:tr>
      <w:tr>
        <w:trPr>
          <w:trHeight w:val="227" w:hRule="atLeast"/>
        </w:trPr>
        <w:tc>
          <w:tcPr>
            <w:tcW w:w="2895" w:type="dxa"/>
            <w:tcBorders>
              <w:top w:val="single" w:sz="4" w:space="0" w:color="000000"/>
              <w:left w:val="single" w:sz="4" w:space="0" w:color="000000"/>
              <w:bottom w:val="single" w:sz="4" w:space="0" w:color="000000"/>
            </w:tcBorders>
          </w:tcPr>
          <w:p>
            <w:pPr>
              <w:pStyle w:val="Style25"/>
              <w:widowControl w:val="false"/>
              <w:tabs>
                <w:tab w:val="clear" w:pos="720"/>
                <w:tab w:val="left" w:pos="-540" w:leader="none"/>
              </w:tabs>
              <w:spacing w:before="0" w:after="240"/>
              <w:jc w:val="left"/>
              <w:rPr>
                <w:rFonts w:ascii="Calibri" w:hAnsi="Calibri" w:cs="Calibri"/>
                <w:sz w:val="20"/>
                <w:szCs w:val="20"/>
              </w:rPr>
            </w:pPr>
            <w:r>
              <w:rPr>
                <w:rFonts w:cs="Calibri"/>
                <w:sz w:val="20"/>
                <w:szCs w:val="20"/>
              </w:rPr>
              <w:t>Θόρυβος</w:t>
            </w:r>
          </w:p>
        </w:tc>
        <w:tc>
          <w:tcPr>
            <w:tcW w:w="3780" w:type="dxa"/>
            <w:tcBorders>
              <w:top w:val="single" w:sz="4" w:space="0" w:color="000000"/>
              <w:left w:val="single" w:sz="4" w:space="0" w:color="000000"/>
              <w:bottom w:val="single" w:sz="4" w:space="0" w:color="000000"/>
            </w:tcBorders>
          </w:tcPr>
          <w:p>
            <w:pPr>
              <w:pStyle w:val="Style25"/>
              <w:widowControl w:val="false"/>
              <w:tabs>
                <w:tab w:val="clear" w:pos="720"/>
                <w:tab w:val="left" w:pos="-540" w:leader="none"/>
              </w:tabs>
              <w:spacing w:before="0" w:after="240"/>
              <w:jc w:val="left"/>
              <w:rPr>
                <w:rFonts w:ascii="Calibri" w:hAnsi="Calibri" w:cs="Calibri"/>
                <w:sz w:val="20"/>
                <w:szCs w:val="20"/>
              </w:rPr>
            </w:pPr>
            <w:r>
              <w:rPr>
                <w:rFonts w:cs="Calibri"/>
                <w:sz w:val="20"/>
                <w:szCs w:val="20"/>
              </w:rPr>
              <w:t>Χαμηλός</w:t>
            </w:r>
          </w:p>
        </w:tc>
        <w:tc>
          <w:tcPr>
            <w:tcW w:w="2741" w:type="dxa"/>
            <w:tcBorders>
              <w:top w:val="single" w:sz="4" w:space="0" w:color="000000"/>
              <w:left w:val="single" w:sz="4" w:space="0" w:color="000000"/>
              <w:bottom w:val="single" w:sz="4" w:space="0" w:color="000000"/>
              <w:right w:val="single" w:sz="4" w:space="0" w:color="000000"/>
            </w:tcBorders>
          </w:tcPr>
          <w:p>
            <w:pPr>
              <w:pStyle w:val="Style25"/>
              <w:widowControl w:val="false"/>
              <w:tabs>
                <w:tab w:val="clear" w:pos="720"/>
                <w:tab w:val="left" w:pos="-540" w:leader="none"/>
              </w:tabs>
              <w:snapToGrid w:val="false"/>
              <w:spacing w:before="0" w:after="240"/>
              <w:jc w:val="left"/>
              <w:rPr>
                <w:rFonts w:ascii="Calibri" w:hAnsi="Calibri" w:cs="Calibri"/>
                <w:sz w:val="20"/>
                <w:szCs w:val="20"/>
                <w:lang w:val="en-US"/>
              </w:rPr>
            </w:pPr>
            <w:r>
              <w:rPr>
                <w:rFonts w:cs="Calibri"/>
                <w:sz w:val="20"/>
                <w:szCs w:val="20"/>
                <w:lang w:val="en-US"/>
              </w:rPr>
            </w:r>
          </w:p>
        </w:tc>
      </w:tr>
      <w:tr>
        <w:trPr>
          <w:trHeight w:val="227" w:hRule="atLeast"/>
        </w:trPr>
        <w:tc>
          <w:tcPr>
            <w:tcW w:w="2895" w:type="dxa"/>
            <w:tcBorders>
              <w:left w:val="single" w:sz="4" w:space="0" w:color="000000"/>
              <w:bottom w:val="single" w:sz="4" w:space="0" w:color="000000"/>
            </w:tcBorders>
          </w:tcPr>
          <w:p>
            <w:pPr>
              <w:pStyle w:val="Style25"/>
              <w:widowControl w:val="false"/>
              <w:tabs>
                <w:tab w:val="clear" w:pos="720"/>
                <w:tab w:val="left" w:pos="-540" w:leader="none"/>
              </w:tabs>
              <w:spacing w:before="0" w:after="240"/>
              <w:jc w:val="left"/>
              <w:rPr>
                <w:rFonts w:ascii="Calibri" w:hAnsi="Calibri" w:cs="Calibri"/>
                <w:sz w:val="20"/>
                <w:szCs w:val="20"/>
              </w:rPr>
            </w:pPr>
            <w:r>
              <w:rPr>
                <w:rFonts w:cs="Calibri"/>
                <w:sz w:val="20"/>
                <w:szCs w:val="20"/>
              </w:rPr>
              <w:t>Ακτίνα λειτουργίας</w:t>
            </w:r>
          </w:p>
        </w:tc>
        <w:tc>
          <w:tcPr>
            <w:tcW w:w="3780" w:type="dxa"/>
            <w:tcBorders>
              <w:left w:val="single" w:sz="4" w:space="0" w:color="000000"/>
              <w:bottom w:val="single" w:sz="4" w:space="0" w:color="000000"/>
            </w:tcBorders>
          </w:tcPr>
          <w:p>
            <w:pPr>
              <w:pStyle w:val="Style25"/>
              <w:widowControl w:val="false"/>
              <w:tabs>
                <w:tab w:val="clear" w:pos="720"/>
                <w:tab w:val="left" w:pos="-540" w:leader="none"/>
              </w:tabs>
              <w:spacing w:before="0" w:after="240"/>
              <w:jc w:val="left"/>
              <w:rPr>
                <w:sz w:val="20"/>
                <w:szCs w:val="20"/>
              </w:rPr>
            </w:pPr>
            <w:r>
              <w:rPr>
                <w:rFonts w:cs="Calibri"/>
                <w:sz w:val="20"/>
                <w:szCs w:val="20"/>
              </w:rPr>
              <w:t>&gt;10</w:t>
            </w:r>
            <w:r>
              <w:rPr>
                <w:rFonts w:cs="Calibri"/>
                <w:sz w:val="20"/>
                <w:szCs w:val="20"/>
                <w:lang w:val="en-US"/>
              </w:rPr>
              <w:t>m</w:t>
            </w:r>
          </w:p>
        </w:tc>
        <w:tc>
          <w:tcPr>
            <w:tcW w:w="2741" w:type="dxa"/>
            <w:tcBorders>
              <w:left w:val="single" w:sz="4" w:space="0" w:color="000000"/>
              <w:bottom w:val="single" w:sz="4" w:space="0" w:color="000000"/>
              <w:right w:val="single" w:sz="4" w:space="0" w:color="000000"/>
            </w:tcBorders>
          </w:tcPr>
          <w:p>
            <w:pPr>
              <w:pStyle w:val="Style25"/>
              <w:widowControl w:val="false"/>
              <w:tabs>
                <w:tab w:val="clear" w:pos="720"/>
                <w:tab w:val="left" w:pos="-540" w:leader="none"/>
              </w:tabs>
              <w:snapToGrid w:val="false"/>
              <w:spacing w:before="0" w:after="240"/>
              <w:jc w:val="left"/>
              <w:rPr>
                <w:rFonts w:ascii="Calibri" w:hAnsi="Calibri" w:cs="Calibri"/>
                <w:sz w:val="20"/>
                <w:szCs w:val="20"/>
                <w:lang w:val="en-US"/>
              </w:rPr>
            </w:pPr>
            <w:r>
              <w:rPr>
                <w:rFonts w:cs="Calibri"/>
                <w:sz w:val="20"/>
                <w:szCs w:val="20"/>
                <w:lang w:val="en-US"/>
              </w:rPr>
            </w:r>
          </w:p>
        </w:tc>
      </w:tr>
      <w:tr>
        <w:trPr>
          <w:trHeight w:val="227" w:hRule="atLeast"/>
        </w:trPr>
        <w:tc>
          <w:tcPr>
            <w:tcW w:w="2895" w:type="dxa"/>
            <w:tcBorders>
              <w:top w:val="single" w:sz="4" w:space="0" w:color="000000"/>
              <w:left w:val="single" w:sz="4" w:space="0" w:color="000000"/>
              <w:bottom w:val="single" w:sz="4" w:space="0" w:color="000000"/>
            </w:tcBorders>
          </w:tcPr>
          <w:p>
            <w:pPr>
              <w:pStyle w:val="Style25"/>
              <w:widowControl w:val="false"/>
              <w:tabs>
                <w:tab w:val="clear" w:pos="720"/>
                <w:tab w:val="left" w:pos="-540" w:leader="none"/>
              </w:tabs>
              <w:spacing w:before="0" w:after="240"/>
              <w:jc w:val="left"/>
              <w:rPr>
                <w:rFonts w:ascii="Calibri" w:hAnsi="Calibri" w:cs="Calibri"/>
                <w:sz w:val="20"/>
                <w:szCs w:val="20"/>
              </w:rPr>
            </w:pPr>
            <w:r>
              <w:rPr>
                <w:rFonts w:cs="Calibri"/>
                <w:sz w:val="20"/>
                <w:szCs w:val="20"/>
              </w:rPr>
              <w:t>Χωρητικότητα σακούλας</w:t>
            </w:r>
          </w:p>
        </w:tc>
        <w:tc>
          <w:tcPr>
            <w:tcW w:w="3780" w:type="dxa"/>
            <w:tcBorders>
              <w:top w:val="single" w:sz="4" w:space="0" w:color="000000"/>
              <w:left w:val="single" w:sz="4" w:space="0" w:color="000000"/>
              <w:bottom w:val="single" w:sz="4" w:space="0" w:color="000000"/>
            </w:tcBorders>
          </w:tcPr>
          <w:p>
            <w:pPr>
              <w:pStyle w:val="Style25"/>
              <w:widowControl w:val="false"/>
              <w:tabs>
                <w:tab w:val="clear" w:pos="720"/>
                <w:tab w:val="left" w:pos="-540" w:leader="none"/>
              </w:tabs>
              <w:spacing w:before="0" w:after="240"/>
              <w:jc w:val="left"/>
              <w:rPr>
                <w:sz w:val="20"/>
                <w:szCs w:val="20"/>
              </w:rPr>
            </w:pPr>
            <w:r>
              <w:rPr>
                <w:rFonts w:cs="Calibri"/>
                <w:sz w:val="20"/>
                <w:szCs w:val="20"/>
              </w:rPr>
              <w:t xml:space="preserve">&gt;=4 </w:t>
            </w:r>
            <w:r>
              <w:rPr>
                <w:rFonts w:cs="Calibri"/>
                <w:sz w:val="20"/>
                <w:szCs w:val="20"/>
                <w:lang w:val="en-US"/>
              </w:rPr>
              <w:t>Lt</w:t>
            </w:r>
          </w:p>
        </w:tc>
        <w:tc>
          <w:tcPr>
            <w:tcW w:w="2741" w:type="dxa"/>
            <w:tcBorders>
              <w:top w:val="single" w:sz="4" w:space="0" w:color="000000"/>
              <w:left w:val="single" w:sz="4" w:space="0" w:color="000000"/>
              <w:bottom w:val="single" w:sz="4" w:space="0" w:color="000000"/>
              <w:right w:val="single" w:sz="4" w:space="0" w:color="000000"/>
            </w:tcBorders>
          </w:tcPr>
          <w:p>
            <w:pPr>
              <w:pStyle w:val="Style25"/>
              <w:widowControl w:val="false"/>
              <w:tabs>
                <w:tab w:val="clear" w:pos="720"/>
                <w:tab w:val="left" w:pos="-540" w:leader="none"/>
              </w:tabs>
              <w:snapToGrid w:val="false"/>
              <w:spacing w:before="0" w:after="240"/>
              <w:jc w:val="left"/>
              <w:rPr>
                <w:rFonts w:ascii="Calibri" w:hAnsi="Calibri" w:cs="Calibri"/>
                <w:sz w:val="20"/>
                <w:szCs w:val="20"/>
              </w:rPr>
            </w:pPr>
            <w:r>
              <w:rPr>
                <w:rFonts w:cs="Calibri"/>
                <w:sz w:val="20"/>
                <w:szCs w:val="20"/>
              </w:rPr>
            </w:r>
          </w:p>
        </w:tc>
      </w:tr>
      <w:tr>
        <w:trPr>
          <w:trHeight w:val="227" w:hRule="atLeast"/>
        </w:trPr>
        <w:tc>
          <w:tcPr>
            <w:tcW w:w="2895" w:type="dxa"/>
            <w:tcBorders>
              <w:left w:val="single" w:sz="4" w:space="0" w:color="000000"/>
              <w:bottom w:val="single" w:sz="4" w:space="0" w:color="000000"/>
            </w:tcBorders>
          </w:tcPr>
          <w:p>
            <w:pPr>
              <w:pStyle w:val="Style25"/>
              <w:widowControl w:val="false"/>
              <w:tabs>
                <w:tab w:val="clear" w:pos="720"/>
                <w:tab w:val="left" w:pos="-540" w:leader="none"/>
              </w:tabs>
              <w:spacing w:before="0" w:after="240"/>
              <w:jc w:val="left"/>
              <w:rPr>
                <w:rFonts w:ascii="Calibri" w:hAnsi="Calibri" w:cs="Calibri"/>
                <w:sz w:val="20"/>
                <w:szCs w:val="20"/>
              </w:rPr>
            </w:pPr>
            <w:r>
              <w:rPr>
                <w:rFonts w:cs="Calibri"/>
                <w:sz w:val="20"/>
                <w:szCs w:val="20"/>
              </w:rPr>
              <w:t>Εξαρτήματα – επιπλέον πέλματα</w:t>
            </w:r>
          </w:p>
        </w:tc>
        <w:tc>
          <w:tcPr>
            <w:tcW w:w="3780" w:type="dxa"/>
            <w:tcBorders>
              <w:left w:val="single" w:sz="4" w:space="0" w:color="000000"/>
              <w:bottom w:val="single" w:sz="4" w:space="0" w:color="000000"/>
            </w:tcBorders>
          </w:tcPr>
          <w:p>
            <w:pPr>
              <w:pStyle w:val="Style25"/>
              <w:widowControl w:val="false"/>
              <w:tabs>
                <w:tab w:val="clear" w:pos="720"/>
                <w:tab w:val="left" w:pos="-540" w:leader="none"/>
              </w:tabs>
              <w:spacing w:before="0" w:after="240"/>
              <w:jc w:val="left"/>
              <w:rPr>
                <w:rFonts w:ascii="Calibri" w:hAnsi="Calibri" w:cs="Calibri"/>
                <w:sz w:val="20"/>
                <w:szCs w:val="20"/>
              </w:rPr>
            </w:pPr>
            <w:r>
              <w:rPr>
                <w:rFonts w:cs="Calibri"/>
                <w:sz w:val="20"/>
                <w:szCs w:val="20"/>
              </w:rPr>
              <w:t>Ναι</w:t>
            </w:r>
          </w:p>
        </w:tc>
        <w:tc>
          <w:tcPr>
            <w:tcW w:w="2741" w:type="dxa"/>
            <w:tcBorders>
              <w:left w:val="single" w:sz="4" w:space="0" w:color="000000"/>
              <w:bottom w:val="single" w:sz="4" w:space="0" w:color="000000"/>
              <w:right w:val="single" w:sz="4" w:space="0" w:color="000000"/>
            </w:tcBorders>
          </w:tcPr>
          <w:p>
            <w:pPr>
              <w:pStyle w:val="Style25"/>
              <w:widowControl w:val="false"/>
              <w:tabs>
                <w:tab w:val="clear" w:pos="720"/>
                <w:tab w:val="left" w:pos="-540" w:leader="none"/>
              </w:tabs>
              <w:snapToGrid w:val="false"/>
              <w:spacing w:before="0" w:after="240"/>
              <w:jc w:val="left"/>
              <w:rPr>
                <w:rFonts w:ascii="Calibri" w:hAnsi="Calibri" w:cs="Calibri"/>
                <w:sz w:val="20"/>
                <w:szCs w:val="20"/>
              </w:rPr>
            </w:pPr>
            <w:r>
              <w:rPr>
                <w:rFonts w:cs="Calibri"/>
                <w:sz w:val="20"/>
                <w:szCs w:val="20"/>
              </w:rPr>
            </w:r>
          </w:p>
        </w:tc>
      </w:tr>
      <w:tr>
        <w:trPr>
          <w:trHeight w:val="227" w:hRule="atLeast"/>
        </w:trPr>
        <w:tc>
          <w:tcPr>
            <w:tcW w:w="2895" w:type="dxa"/>
            <w:tcBorders>
              <w:left w:val="single" w:sz="4" w:space="0" w:color="000000"/>
              <w:bottom w:val="single" w:sz="4" w:space="0" w:color="000000"/>
            </w:tcBorders>
          </w:tcPr>
          <w:p>
            <w:pPr>
              <w:pStyle w:val="Style25"/>
              <w:widowControl w:val="false"/>
              <w:tabs>
                <w:tab w:val="clear" w:pos="720"/>
                <w:tab w:val="left" w:pos="-540" w:leader="none"/>
              </w:tabs>
              <w:spacing w:before="0" w:after="240"/>
              <w:jc w:val="left"/>
              <w:rPr>
                <w:rFonts w:ascii="Calibri" w:hAnsi="Calibri" w:cs="Calibri"/>
                <w:sz w:val="20"/>
                <w:szCs w:val="20"/>
              </w:rPr>
            </w:pPr>
            <w:r>
              <w:rPr>
                <w:rFonts w:cs="Calibri"/>
                <w:sz w:val="20"/>
                <w:szCs w:val="20"/>
              </w:rPr>
              <w:t>Εγγύηση</w:t>
            </w:r>
          </w:p>
        </w:tc>
        <w:tc>
          <w:tcPr>
            <w:tcW w:w="3780" w:type="dxa"/>
            <w:tcBorders>
              <w:left w:val="single" w:sz="4" w:space="0" w:color="000000"/>
              <w:bottom w:val="single" w:sz="4" w:space="0" w:color="000000"/>
            </w:tcBorders>
          </w:tcPr>
          <w:p>
            <w:pPr>
              <w:pStyle w:val="Style25"/>
              <w:widowControl w:val="false"/>
              <w:tabs>
                <w:tab w:val="clear" w:pos="720"/>
                <w:tab w:val="left" w:pos="-540" w:leader="none"/>
              </w:tabs>
              <w:spacing w:before="0" w:after="240"/>
              <w:jc w:val="left"/>
              <w:rPr>
                <w:rFonts w:ascii="Calibri" w:hAnsi="Calibri" w:cs="Calibri"/>
                <w:sz w:val="20"/>
                <w:szCs w:val="20"/>
              </w:rPr>
            </w:pPr>
            <w:r>
              <w:rPr>
                <w:rFonts w:cs="Calibri"/>
                <w:sz w:val="20"/>
                <w:szCs w:val="20"/>
              </w:rPr>
              <w:t>&gt;=2 έτη</w:t>
            </w:r>
          </w:p>
        </w:tc>
        <w:tc>
          <w:tcPr>
            <w:tcW w:w="2741" w:type="dxa"/>
            <w:tcBorders>
              <w:left w:val="single" w:sz="4" w:space="0" w:color="000000"/>
              <w:bottom w:val="single" w:sz="4" w:space="0" w:color="000000"/>
              <w:right w:val="single" w:sz="4" w:space="0" w:color="000000"/>
            </w:tcBorders>
          </w:tcPr>
          <w:p>
            <w:pPr>
              <w:pStyle w:val="Style25"/>
              <w:widowControl w:val="false"/>
              <w:tabs>
                <w:tab w:val="clear" w:pos="720"/>
                <w:tab w:val="left" w:pos="-540" w:leader="none"/>
              </w:tabs>
              <w:snapToGrid w:val="false"/>
              <w:spacing w:before="0" w:after="240"/>
              <w:jc w:val="left"/>
              <w:rPr>
                <w:rFonts w:ascii="Calibri" w:hAnsi="Calibri" w:cs="Calibri"/>
                <w:sz w:val="20"/>
                <w:szCs w:val="20"/>
              </w:rPr>
            </w:pPr>
            <w:r>
              <w:rPr>
                <w:rFonts w:cs="Calibri"/>
                <w:sz w:val="20"/>
                <w:szCs w:val="20"/>
              </w:rPr>
            </w:r>
          </w:p>
        </w:tc>
      </w:tr>
    </w:tbl>
    <w:p>
      <w:pPr>
        <w:pStyle w:val="Style41"/>
        <w:jc w:val="left"/>
        <w:rPr>
          <w:rFonts w:ascii="Calibri" w:hAnsi="Calibri" w:eastAsia="Times New Roman" w:cs="Calibri"/>
          <w:b/>
          <w:b/>
          <w:bCs/>
          <w:color w:val="auto"/>
          <w:kern w:val="0"/>
          <w:sz w:val="22"/>
          <w:szCs w:val="22"/>
          <w:lang w:val="en-GB" w:eastAsia="ar-SA" w:bidi="ar-SA"/>
        </w:rPr>
      </w:pPr>
      <w:r>
        <w:rPr>
          <w:rFonts w:eastAsia="Times New Roman" w:cs="Calibri" w:ascii="Calibri" w:hAnsi="Calibri"/>
          <w:b/>
          <w:bCs/>
          <w:color w:val="auto"/>
          <w:kern w:val="0"/>
          <w:sz w:val="22"/>
          <w:szCs w:val="22"/>
          <w:lang w:val="en-GB" w:eastAsia="ar-SA" w:bidi="ar-SA"/>
        </w:rPr>
      </w:r>
    </w:p>
    <w:p>
      <w:pPr>
        <w:pStyle w:val="Style41"/>
        <w:jc w:val="left"/>
        <w:rPr>
          <w:rFonts w:ascii="Calibri" w:hAnsi="Calibri" w:eastAsia="Times New Roman" w:cs="Calibri"/>
          <w:b/>
          <w:b/>
          <w:bCs/>
          <w:color w:val="auto"/>
          <w:kern w:val="0"/>
          <w:sz w:val="22"/>
          <w:szCs w:val="22"/>
          <w:lang w:val="en-GB" w:eastAsia="ar-SA" w:bidi="ar-SA"/>
        </w:rPr>
      </w:pPr>
      <w:r>
        <w:rPr>
          <w:rFonts w:eastAsia="Times New Roman" w:cs="Calibri" w:ascii="Calibri" w:hAnsi="Calibri"/>
          <w:b/>
          <w:bCs/>
          <w:color w:val="auto"/>
          <w:kern w:val="0"/>
          <w:sz w:val="22"/>
          <w:szCs w:val="22"/>
          <w:lang w:val="en-GB" w:eastAsia="ar-SA" w:bidi="ar-SA"/>
        </w:rPr>
        <w:t xml:space="preserve">              </w:t>
      </w:r>
      <w:r>
        <w:rPr>
          <w:rFonts w:eastAsia="Times New Roman" w:cs="Calibri" w:ascii="Calibri" w:hAnsi="Calibri"/>
          <w:b/>
          <w:bCs/>
          <w:color w:val="auto"/>
          <w:kern w:val="0"/>
          <w:sz w:val="22"/>
          <w:szCs w:val="22"/>
          <w:lang w:val="en-GB" w:eastAsia="ar-SA" w:bidi="ar-SA"/>
        </w:rPr>
        <w:t>12. Κρεβάτι διπλό</w:t>
      </w:r>
    </w:p>
    <w:tbl>
      <w:tblPr>
        <w:tblW w:w="9416" w:type="dxa"/>
        <w:jc w:val="left"/>
        <w:tblInd w:w="-65" w:type="dxa"/>
        <w:tblLayout w:type="fixed"/>
        <w:tblCellMar>
          <w:top w:w="0" w:type="dxa"/>
          <w:left w:w="108" w:type="dxa"/>
          <w:bottom w:w="0" w:type="dxa"/>
          <w:right w:w="108" w:type="dxa"/>
        </w:tblCellMar>
      </w:tblPr>
      <w:tblGrid>
        <w:gridCol w:w="3351"/>
        <w:gridCol w:w="3598"/>
        <w:gridCol w:w="2467"/>
      </w:tblGrid>
      <w:tr>
        <w:trPr/>
        <w:tc>
          <w:tcPr>
            <w:tcW w:w="3351" w:type="dxa"/>
            <w:tcBorders>
              <w:top w:val="single" w:sz="4" w:space="0" w:color="000000"/>
              <w:left w:val="single" w:sz="4" w:space="0" w:color="000000"/>
              <w:bottom w:val="single" w:sz="4" w:space="0" w:color="000000"/>
            </w:tcBorders>
            <w:shd w:fill="F2F2F2" w:val="clear"/>
          </w:tcPr>
          <w:p>
            <w:pPr>
              <w:pStyle w:val="Style25"/>
              <w:widowControl w:val="false"/>
              <w:tabs>
                <w:tab w:val="clear" w:pos="720"/>
                <w:tab w:val="left" w:pos="-540" w:leader="none"/>
              </w:tabs>
              <w:spacing w:before="0" w:after="240"/>
              <w:jc w:val="left"/>
              <w:rPr>
                <w:rFonts w:ascii="Calibri" w:hAnsi="Calibri" w:eastAsia="Calibri" w:cs="Calibri"/>
                <w:b/>
                <w:b/>
                <w:sz w:val="22"/>
                <w:szCs w:val="22"/>
              </w:rPr>
            </w:pPr>
            <w:r>
              <w:rPr>
                <w:rFonts w:eastAsia="Calibri" w:cs="Calibri"/>
                <w:b/>
                <w:sz w:val="22"/>
                <w:szCs w:val="22"/>
              </w:rPr>
              <w:t>Χαρακτηριστικό</w:t>
            </w:r>
          </w:p>
        </w:tc>
        <w:tc>
          <w:tcPr>
            <w:tcW w:w="3598" w:type="dxa"/>
            <w:tcBorders>
              <w:top w:val="single" w:sz="4" w:space="0" w:color="000000"/>
              <w:left w:val="single" w:sz="4" w:space="0" w:color="000000"/>
              <w:bottom w:val="single" w:sz="4" w:space="0" w:color="000000"/>
            </w:tcBorders>
            <w:shd w:fill="F2F2F2" w:val="clear"/>
          </w:tcPr>
          <w:p>
            <w:pPr>
              <w:pStyle w:val="Style25"/>
              <w:widowControl w:val="false"/>
              <w:tabs>
                <w:tab w:val="clear" w:pos="720"/>
                <w:tab w:val="left" w:pos="-540" w:leader="none"/>
              </w:tabs>
              <w:spacing w:before="0" w:after="240"/>
              <w:jc w:val="left"/>
              <w:rPr>
                <w:rFonts w:ascii="Calibri" w:hAnsi="Calibri" w:eastAsia="Calibri" w:cs="Calibri"/>
                <w:b/>
                <w:b/>
                <w:sz w:val="22"/>
                <w:szCs w:val="22"/>
              </w:rPr>
            </w:pPr>
            <w:r>
              <w:rPr>
                <w:rFonts w:eastAsia="Calibri" w:cs="Calibri"/>
                <w:b/>
                <w:sz w:val="22"/>
                <w:szCs w:val="22"/>
              </w:rPr>
              <w:t>Απαίτηση</w:t>
            </w:r>
          </w:p>
        </w:tc>
        <w:tc>
          <w:tcPr>
            <w:tcW w:w="2467" w:type="dxa"/>
            <w:tcBorders>
              <w:top w:val="single" w:sz="4" w:space="0" w:color="000000"/>
              <w:left w:val="single" w:sz="4" w:space="0" w:color="000000"/>
              <w:bottom w:val="single" w:sz="4" w:space="0" w:color="000000"/>
              <w:right w:val="single" w:sz="4" w:space="0" w:color="000000"/>
            </w:tcBorders>
            <w:shd w:fill="F2F2F2" w:val="clear"/>
          </w:tcPr>
          <w:p>
            <w:pPr>
              <w:pStyle w:val="Style25"/>
              <w:widowControl w:val="false"/>
              <w:tabs>
                <w:tab w:val="clear" w:pos="720"/>
                <w:tab w:val="left" w:pos="-540" w:leader="none"/>
              </w:tabs>
              <w:spacing w:before="0" w:after="240"/>
              <w:jc w:val="left"/>
              <w:rPr>
                <w:rFonts w:ascii="Calibri" w:hAnsi="Calibri" w:eastAsia="Calibri" w:cs="Calibri"/>
                <w:b/>
                <w:b/>
                <w:sz w:val="22"/>
                <w:szCs w:val="22"/>
              </w:rPr>
            </w:pPr>
            <w:r>
              <w:rPr>
                <w:rFonts w:eastAsia="Calibri" w:cs="Calibri"/>
                <w:b/>
                <w:sz w:val="22"/>
                <w:szCs w:val="22"/>
              </w:rPr>
              <w:t>Παρατηρήσεις</w:t>
            </w:r>
          </w:p>
        </w:tc>
      </w:tr>
      <w:tr>
        <w:trPr/>
        <w:tc>
          <w:tcPr>
            <w:tcW w:w="3351" w:type="dxa"/>
            <w:tcBorders>
              <w:top w:val="single" w:sz="4" w:space="0" w:color="000000"/>
              <w:left w:val="single" w:sz="4" w:space="0" w:color="000000"/>
              <w:bottom w:val="single" w:sz="4" w:space="0" w:color="000000"/>
            </w:tcBorders>
          </w:tcPr>
          <w:p>
            <w:pPr>
              <w:pStyle w:val="Normal"/>
              <w:widowControl w:val="false"/>
              <w:spacing w:before="0" w:after="120"/>
              <w:rPr>
                <w:rFonts w:ascii="Calibri" w:hAnsi="Calibri" w:cs="Calibri"/>
                <w:sz w:val="22"/>
                <w:szCs w:val="22"/>
              </w:rPr>
            </w:pPr>
            <w:r>
              <w:rPr>
                <w:rFonts w:cs="Calibri"/>
                <w:sz w:val="22"/>
                <w:szCs w:val="22"/>
              </w:rPr>
              <w:t>Διαστάσεις</w:t>
            </w:r>
          </w:p>
        </w:tc>
        <w:tc>
          <w:tcPr>
            <w:tcW w:w="3598" w:type="dxa"/>
            <w:tcBorders>
              <w:top w:val="single" w:sz="4" w:space="0" w:color="000000"/>
              <w:left w:val="single" w:sz="4" w:space="0" w:color="000000"/>
              <w:bottom w:val="single" w:sz="4" w:space="0" w:color="000000"/>
            </w:tcBorders>
          </w:tcPr>
          <w:p>
            <w:pPr>
              <w:pStyle w:val="Normal"/>
              <w:widowControl w:val="false"/>
              <w:snapToGrid w:val="false"/>
              <w:spacing w:before="0" w:after="120"/>
              <w:rPr/>
            </w:pPr>
            <w:r>
              <w:rPr>
                <w:rFonts w:cs="Calibri"/>
                <w:sz w:val="22"/>
                <w:szCs w:val="22"/>
              </w:rPr>
              <w:t>Έως 1.70</w:t>
            </w:r>
            <w:r>
              <w:rPr>
                <w:rFonts w:cs="Calibri"/>
                <w:sz w:val="22"/>
                <w:szCs w:val="22"/>
                <w:lang w:val="en-US"/>
              </w:rPr>
              <w:t>x2.10m</w:t>
            </w:r>
          </w:p>
        </w:tc>
        <w:tc>
          <w:tcPr>
            <w:tcW w:w="2467" w:type="dxa"/>
            <w:tcBorders>
              <w:top w:val="single" w:sz="4" w:space="0" w:color="000000"/>
              <w:left w:val="single" w:sz="4" w:space="0" w:color="000000"/>
              <w:bottom w:val="single" w:sz="4" w:space="0" w:color="000000"/>
              <w:right w:val="single" w:sz="4" w:space="0" w:color="000000"/>
            </w:tcBorders>
          </w:tcPr>
          <w:p>
            <w:pPr>
              <w:pStyle w:val="Style25"/>
              <w:widowControl w:val="false"/>
              <w:tabs>
                <w:tab w:val="clear" w:pos="720"/>
                <w:tab w:val="left" w:pos="-540" w:leader="none"/>
              </w:tabs>
              <w:snapToGrid w:val="false"/>
              <w:spacing w:before="0" w:after="240"/>
              <w:jc w:val="left"/>
              <w:rPr>
                <w:rFonts w:ascii="Calibri" w:hAnsi="Calibri" w:cs="Calibri"/>
                <w:sz w:val="22"/>
                <w:szCs w:val="22"/>
                <w:lang w:val="en-US"/>
              </w:rPr>
            </w:pPr>
            <w:r>
              <w:rPr>
                <w:rFonts w:cs="Calibri"/>
                <w:sz w:val="22"/>
                <w:szCs w:val="22"/>
                <w:lang w:val="en-US"/>
              </w:rPr>
            </w:r>
          </w:p>
        </w:tc>
      </w:tr>
      <w:tr>
        <w:trPr/>
        <w:tc>
          <w:tcPr>
            <w:tcW w:w="3351" w:type="dxa"/>
            <w:tcBorders>
              <w:top w:val="single" w:sz="4" w:space="0" w:color="000000"/>
              <w:left w:val="single" w:sz="4" w:space="0" w:color="000000"/>
              <w:bottom w:val="single" w:sz="4" w:space="0" w:color="000000"/>
            </w:tcBorders>
          </w:tcPr>
          <w:p>
            <w:pPr>
              <w:pStyle w:val="Normal"/>
              <w:widowControl w:val="false"/>
              <w:spacing w:before="0" w:after="120"/>
              <w:rPr>
                <w:rFonts w:ascii="Calibri" w:hAnsi="Calibri" w:cs="Calibri"/>
                <w:sz w:val="22"/>
                <w:szCs w:val="22"/>
              </w:rPr>
            </w:pPr>
            <w:r>
              <w:rPr>
                <w:rFonts w:cs="Calibri"/>
                <w:sz w:val="22"/>
                <w:szCs w:val="22"/>
              </w:rPr>
              <w:t>Διαστάσεις στρώματος</w:t>
            </w:r>
          </w:p>
        </w:tc>
        <w:tc>
          <w:tcPr>
            <w:tcW w:w="3598" w:type="dxa"/>
            <w:tcBorders>
              <w:top w:val="single" w:sz="4" w:space="0" w:color="000000"/>
              <w:left w:val="single" w:sz="4" w:space="0" w:color="000000"/>
              <w:bottom w:val="single" w:sz="4" w:space="0" w:color="000000"/>
            </w:tcBorders>
          </w:tcPr>
          <w:p>
            <w:pPr>
              <w:pStyle w:val="Normal"/>
              <w:widowControl w:val="false"/>
              <w:spacing w:before="0" w:after="120"/>
              <w:rPr/>
            </w:pPr>
            <w:r>
              <w:rPr>
                <w:rFonts w:cs="Calibri"/>
                <w:sz w:val="22"/>
                <w:szCs w:val="22"/>
              </w:rPr>
              <w:t>1.60x2.00</w:t>
            </w:r>
            <w:r>
              <w:rPr>
                <w:rFonts w:cs="Calibri"/>
                <w:sz w:val="22"/>
                <w:szCs w:val="22"/>
                <w:lang w:val="en-US"/>
              </w:rPr>
              <w:t xml:space="preserve"> m</w:t>
            </w:r>
          </w:p>
        </w:tc>
        <w:tc>
          <w:tcPr>
            <w:tcW w:w="2467" w:type="dxa"/>
            <w:tcBorders>
              <w:top w:val="single" w:sz="4" w:space="0" w:color="000000"/>
              <w:left w:val="single" w:sz="4" w:space="0" w:color="000000"/>
              <w:bottom w:val="single" w:sz="4" w:space="0" w:color="000000"/>
              <w:right w:val="single" w:sz="4" w:space="0" w:color="000000"/>
            </w:tcBorders>
          </w:tcPr>
          <w:p>
            <w:pPr>
              <w:pStyle w:val="Style25"/>
              <w:widowControl w:val="false"/>
              <w:tabs>
                <w:tab w:val="clear" w:pos="720"/>
                <w:tab w:val="left" w:pos="-540" w:leader="none"/>
              </w:tabs>
              <w:snapToGrid w:val="false"/>
              <w:spacing w:before="0" w:after="240"/>
              <w:jc w:val="left"/>
              <w:rPr>
                <w:rFonts w:ascii="Calibri" w:hAnsi="Calibri" w:cs="Calibri"/>
                <w:sz w:val="22"/>
                <w:szCs w:val="22"/>
              </w:rPr>
            </w:pPr>
            <w:r>
              <w:rPr>
                <w:rFonts w:cs="Calibri"/>
                <w:sz w:val="22"/>
                <w:szCs w:val="22"/>
              </w:rPr>
            </w:r>
          </w:p>
        </w:tc>
      </w:tr>
      <w:tr>
        <w:trPr/>
        <w:tc>
          <w:tcPr>
            <w:tcW w:w="3351" w:type="dxa"/>
            <w:tcBorders>
              <w:top w:val="single" w:sz="4" w:space="0" w:color="000000"/>
              <w:left w:val="single" w:sz="4" w:space="0" w:color="000000"/>
              <w:bottom w:val="single" w:sz="4" w:space="0" w:color="000000"/>
            </w:tcBorders>
          </w:tcPr>
          <w:p>
            <w:pPr>
              <w:pStyle w:val="Normal"/>
              <w:widowControl w:val="false"/>
              <w:spacing w:before="0" w:after="120"/>
              <w:rPr>
                <w:rFonts w:ascii="Calibri" w:hAnsi="Calibri" w:cs="Calibri"/>
                <w:sz w:val="22"/>
                <w:szCs w:val="22"/>
              </w:rPr>
            </w:pPr>
            <w:r>
              <w:rPr>
                <w:rFonts w:cs="Calibri"/>
                <w:sz w:val="22"/>
                <w:szCs w:val="22"/>
              </w:rPr>
              <w:t>Υλικό</w:t>
            </w:r>
          </w:p>
        </w:tc>
        <w:tc>
          <w:tcPr>
            <w:tcW w:w="3598" w:type="dxa"/>
            <w:tcBorders>
              <w:top w:val="single" w:sz="4" w:space="0" w:color="000000"/>
              <w:left w:val="single" w:sz="4" w:space="0" w:color="000000"/>
              <w:bottom w:val="single" w:sz="4" w:space="0" w:color="000000"/>
            </w:tcBorders>
          </w:tcPr>
          <w:p>
            <w:pPr>
              <w:pStyle w:val="Normal"/>
              <w:widowControl w:val="false"/>
              <w:spacing w:before="0" w:after="120"/>
              <w:rPr/>
            </w:pPr>
            <w:r>
              <w:rPr>
                <w:rFonts w:cs="Calibri"/>
                <w:sz w:val="22"/>
                <w:szCs w:val="22"/>
              </w:rPr>
              <w:t xml:space="preserve">Ξύλο ή μελαμίνη ή </w:t>
            </w:r>
            <w:r>
              <w:rPr>
                <w:rFonts w:cs="Calibri"/>
                <w:sz w:val="22"/>
                <w:szCs w:val="22"/>
                <w:lang w:val="en-US"/>
              </w:rPr>
              <w:t>MDF</w:t>
            </w:r>
          </w:p>
        </w:tc>
        <w:tc>
          <w:tcPr>
            <w:tcW w:w="2467" w:type="dxa"/>
            <w:tcBorders>
              <w:top w:val="single" w:sz="4" w:space="0" w:color="000000"/>
              <w:left w:val="single" w:sz="4" w:space="0" w:color="000000"/>
              <w:bottom w:val="single" w:sz="4" w:space="0" w:color="000000"/>
              <w:right w:val="single" w:sz="4" w:space="0" w:color="000000"/>
            </w:tcBorders>
          </w:tcPr>
          <w:p>
            <w:pPr>
              <w:pStyle w:val="Style25"/>
              <w:widowControl w:val="false"/>
              <w:tabs>
                <w:tab w:val="clear" w:pos="720"/>
                <w:tab w:val="left" w:pos="-540" w:leader="none"/>
              </w:tabs>
              <w:snapToGrid w:val="false"/>
              <w:spacing w:before="0" w:after="240"/>
              <w:jc w:val="left"/>
              <w:rPr>
                <w:rFonts w:ascii="Calibri" w:hAnsi="Calibri" w:cs="Calibri"/>
                <w:sz w:val="22"/>
                <w:szCs w:val="22"/>
              </w:rPr>
            </w:pPr>
            <w:r>
              <w:rPr>
                <w:rFonts w:cs="Calibri"/>
                <w:sz w:val="22"/>
                <w:szCs w:val="22"/>
              </w:rPr>
            </w:r>
          </w:p>
        </w:tc>
      </w:tr>
      <w:tr>
        <w:trPr/>
        <w:tc>
          <w:tcPr>
            <w:tcW w:w="3351" w:type="dxa"/>
            <w:tcBorders>
              <w:top w:val="single" w:sz="4" w:space="0" w:color="000000"/>
              <w:left w:val="single" w:sz="4" w:space="0" w:color="000000"/>
              <w:bottom w:val="single" w:sz="4" w:space="0" w:color="000000"/>
            </w:tcBorders>
          </w:tcPr>
          <w:p>
            <w:pPr>
              <w:pStyle w:val="Normal"/>
              <w:widowControl w:val="false"/>
              <w:spacing w:before="0" w:after="120"/>
              <w:rPr>
                <w:rFonts w:ascii="Calibri" w:hAnsi="Calibri" w:cs="Calibri"/>
                <w:sz w:val="22"/>
                <w:szCs w:val="22"/>
              </w:rPr>
            </w:pPr>
            <w:r>
              <w:rPr>
                <w:rFonts w:cs="Calibri"/>
                <w:sz w:val="22"/>
                <w:szCs w:val="22"/>
              </w:rPr>
              <w:t>Χρώμα</w:t>
            </w:r>
          </w:p>
        </w:tc>
        <w:tc>
          <w:tcPr>
            <w:tcW w:w="3598" w:type="dxa"/>
            <w:tcBorders>
              <w:top w:val="single" w:sz="4" w:space="0" w:color="000000"/>
              <w:left w:val="single" w:sz="4" w:space="0" w:color="000000"/>
              <w:bottom w:val="single" w:sz="4" w:space="0" w:color="000000"/>
            </w:tcBorders>
          </w:tcPr>
          <w:p>
            <w:pPr>
              <w:pStyle w:val="Normal"/>
              <w:widowControl w:val="false"/>
              <w:snapToGrid w:val="false"/>
              <w:spacing w:before="0" w:after="120"/>
              <w:rPr/>
            </w:pPr>
            <w:r>
              <w:rPr/>
              <w:t>Αποχρώσεις του μπεζ ή του καφέ</w:t>
            </w:r>
          </w:p>
        </w:tc>
        <w:tc>
          <w:tcPr>
            <w:tcW w:w="2467" w:type="dxa"/>
            <w:tcBorders>
              <w:top w:val="single" w:sz="4" w:space="0" w:color="000000"/>
              <w:left w:val="single" w:sz="4" w:space="0" w:color="000000"/>
              <w:bottom w:val="single" w:sz="4" w:space="0" w:color="000000"/>
              <w:right w:val="single" w:sz="4" w:space="0" w:color="000000"/>
            </w:tcBorders>
          </w:tcPr>
          <w:p>
            <w:pPr>
              <w:pStyle w:val="Style25"/>
              <w:widowControl w:val="false"/>
              <w:tabs>
                <w:tab w:val="clear" w:pos="720"/>
                <w:tab w:val="left" w:pos="-540" w:leader="none"/>
              </w:tabs>
              <w:snapToGrid w:val="false"/>
              <w:spacing w:before="0" w:after="240"/>
              <w:jc w:val="left"/>
              <w:rPr>
                <w:rFonts w:ascii="Calibri" w:hAnsi="Calibri" w:cs="Calibri"/>
                <w:sz w:val="22"/>
                <w:szCs w:val="22"/>
              </w:rPr>
            </w:pPr>
            <w:r>
              <w:rPr>
                <w:rFonts w:cs="Calibri"/>
                <w:sz w:val="22"/>
                <w:szCs w:val="22"/>
              </w:rPr>
            </w:r>
          </w:p>
        </w:tc>
      </w:tr>
      <w:tr>
        <w:trPr/>
        <w:tc>
          <w:tcPr>
            <w:tcW w:w="3351" w:type="dxa"/>
            <w:tcBorders>
              <w:top w:val="single" w:sz="4" w:space="0" w:color="000000"/>
              <w:left w:val="single" w:sz="4" w:space="0" w:color="000000"/>
              <w:bottom w:val="single" w:sz="4" w:space="0" w:color="000000"/>
            </w:tcBorders>
          </w:tcPr>
          <w:p>
            <w:pPr>
              <w:pStyle w:val="Normal"/>
              <w:widowControl w:val="false"/>
              <w:spacing w:before="0" w:after="120"/>
              <w:rPr>
                <w:rFonts w:ascii="Calibri" w:hAnsi="Calibri" w:cs="Calibri"/>
                <w:sz w:val="22"/>
                <w:szCs w:val="22"/>
              </w:rPr>
            </w:pPr>
            <w:r>
              <w:rPr>
                <w:rFonts w:cs="Calibri"/>
                <w:sz w:val="22"/>
                <w:szCs w:val="22"/>
              </w:rPr>
              <w:t>Ξύλινες τάβλες</w:t>
            </w:r>
          </w:p>
        </w:tc>
        <w:tc>
          <w:tcPr>
            <w:tcW w:w="3598" w:type="dxa"/>
            <w:tcBorders>
              <w:top w:val="single" w:sz="4" w:space="0" w:color="000000"/>
              <w:left w:val="single" w:sz="4" w:space="0" w:color="000000"/>
              <w:bottom w:val="single" w:sz="4" w:space="0" w:color="000000"/>
            </w:tcBorders>
          </w:tcPr>
          <w:p>
            <w:pPr>
              <w:pStyle w:val="Normal"/>
              <w:widowControl w:val="false"/>
              <w:spacing w:before="0" w:after="120"/>
              <w:rPr>
                <w:rFonts w:ascii="Calibri" w:hAnsi="Calibri" w:cs="Calibri"/>
                <w:sz w:val="22"/>
                <w:szCs w:val="22"/>
              </w:rPr>
            </w:pPr>
            <w:r>
              <w:rPr>
                <w:rFonts w:cs="Calibri"/>
                <w:sz w:val="22"/>
                <w:szCs w:val="22"/>
              </w:rPr>
              <w:t>Ναι</w:t>
            </w:r>
          </w:p>
        </w:tc>
        <w:tc>
          <w:tcPr>
            <w:tcW w:w="2467" w:type="dxa"/>
            <w:tcBorders>
              <w:top w:val="single" w:sz="4" w:space="0" w:color="000000"/>
              <w:left w:val="single" w:sz="4" w:space="0" w:color="000000"/>
              <w:bottom w:val="single" w:sz="4" w:space="0" w:color="000000"/>
              <w:right w:val="single" w:sz="4" w:space="0" w:color="000000"/>
            </w:tcBorders>
          </w:tcPr>
          <w:p>
            <w:pPr>
              <w:pStyle w:val="Style25"/>
              <w:widowControl w:val="false"/>
              <w:tabs>
                <w:tab w:val="clear" w:pos="720"/>
                <w:tab w:val="left" w:pos="-540" w:leader="none"/>
              </w:tabs>
              <w:snapToGrid w:val="false"/>
              <w:spacing w:before="0" w:after="240"/>
              <w:jc w:val="left"/>
              <w:rPr>
                <w:rFonts w:ascii="Calibri" w:hAnsi="Calibri" w:cs="Calibri"/>
                <w:sz w:val="22"/>
                <w:szCs w:val="22"/>
              </w:rPr>
            </w:pPr>
            <w:r>
              <w:rPr>
                <w:rFonts w:cs="Calibri"/>
                <w:sz w:val="22"/>
                <w:szCs w:val="22"/>
              </w:rPr>
            </w:r>
          </w:p>
        </w:tc>
      </w:tr>
      <w:tr>
        <w:trPr/>
        <w:tc>
          <w:tcPr>
            <w:tcW w:w="3351" w:type="dxa"/>
            <w:tcBorders>
              <w:top w:val="single" w:sz="4" w:space="0" w:color="000000"/>
              <w:left w:val="single" w:sz="4" w:space="0" w:color="000000"/>
              <w:bottom w:val="single" w:sz="4" w:space="0" w:color="000000"/>
            </w:tcBorders>
          </w:tcPr>
          <w:p>
            <w:pPr>
              <w:pStyle w:val="Normal"/>
              <w:widowControl w:val="false"/>
              <w:spacing w:before="0" w:after="120"/>
              <w:rPr>
                <w:rFonts w:ascii="Calibri" w:hAnsi="Calibri" w:cs="Calibri"/>
                <w:sz w:val="22"/>
                <w:szCs w:val="22"/>
              </w:rPr>
            </w:pPr>
            <w:r>
              <w:rPr>
                <w:rFonts w:cs="Calibri"/>
                <w:sz w:val="22"/>
                <w:szCs w:val="22"/>
              </w:rPr>
              <w:t>Αποθηκευτικός χώρος</w:t>
            </w:r>
          </w:p>
        </w:tc>
        <w:tc>
          <w:tcPr>
            <w:tcW w:w="3598" w:type="dxa"/>
            <w:tcBorders>
              <w:top w:val="single" w:sz="4" w:space="0" w:color="000000"/>
              <w:left w:val="single" w:sz="4" w:space="0" w:color="000000"/>
              <w:bottom w:val="single" w:sz="4" w:space="0" w:color="000000"/>
            </w:tcBorders>
          </w:tcPr>
          <w:p>
            <w:pPr>
              <w:pStyle w:val="Normal"/>
              <w:widowControl w:val="false"/>
              <w:spacing w:before="0" w:after="120"/>
              <w:rPr>
                <w:rFonts w:ascii="Calibri" w:hAnsi="Calibri" w:cs="Calibri"/>
                <w:sz w:val="22"/>
                <w:szCs w:val="22"/>
              </w:rPr>
            </w:pPr>
            <w:r>
              <w:rPr>
                <w:rFonts w:cs="Calibri"/>
                <w:sz w:val="22"/>
                <w:szCs w:val="22"/>
              </w:rPr>
              <w:t>Επιθυμητός</w:t>
            </w:r>
          </w:p>
        </w:tc>
        <w:tc>
          <w:tcPr>
            <w:tcW w:w="2467" w:type="dxa"/>
            <w:tcBorders>
              <w:top w:val="single" w:sz="4" w:space="0" w:color="000000"/>
              <w:left w:val="single" w:sz="4" w:space="0" w:color="000000"/>
              <w:bottom w:val="single" w:sz="4" w:space="0" w:color="000000"/>
              <w:right w:val="single" w:sz="4" w:space="0" w:color="000000"/>
            </w:tcBorders>
          </w:tcPr>
          <w:p>
            <w:pPr>
              <w:pStyle w:val="Style25"/>
              <w:widowControl w:val="false"/>
              <w:tabs>
                <w:tab w:val="clear" w:pos="720"/>
                <w:tab w:val="left" w:pos="-540" w:leader="none"/>
              </w:tabs>
              <w:snapToGrid w:val="false"/>
              <w:spacing w:before="0" w:after="240"/>
              <w:jc w:val="left"/>
              <w:rPr>
                <w:rFonts w:ascii="Calibri" w:hAnsi="Calibri" w:cs="Calibri"/>
                <w:sz w:val="22"/>
                <w:szCs w:val="22"/>
              </w:rPr>
            </w:pPr>
            <w:r>
              <w:rPr>
                <w:rFonts w:cs="Calibri"/>
                <w:sz w:val="22"/>
                <w:szCs w:val="22"/>
              </w:rPr>
            </w:r>
          </w:p>
        </w:tc>
      </w:tr>
    </w:tbl>
    <w:p>
      <w:pPr>
        <w:pStyle w:val="Normal"/>
        <w:rPr>
          <w:rFonts w:ascii="Calibri" w:hAnsi="Calibri" w:cs="Calibri"/>
          <w:sz w:val="22"/>
          <w:szCs w:val="22"/>
        </w:rPr>
      </w:pPr>
      <w:r>
        <w:rPr>
          <w:rFonts w:cs="Calibri"/>
          <w:sz w:val="22"/>
          <w:szCs w:val="22"/>
        </w:rPr>
      </w:r>
    </w:p>
    <w:p>
      <w:pPr>
        <w:pStyle w:val="Normal"/>
        <w:tabs>
          <w:tab w:val="clear" w:pos="720"/>
          <w:tab w:val="left" w:pos="4800" w:leader="none"/>
        </w:tabs>
        <w:ind w:left="1077" w:hanging="0"/>
        <w:rPr>
          <w:rFonts w:ascii="Calibri" w:hAnsi="Calibri" w:cs="Calibri"/>
          <w:b/>
          <w:b/>
          <w:bCs/>
          <w:sz w:val="22"/>
          <w:szCs w:val="22"/>
        </w:rPr>
      </w:pPr>
      <w:r>
        <w:rPr>
          <w:rFonts w:cs="Calibri"/>
          <w:b/>
          <w:bCs/>
          <w:sz w:val="22"/>
          <w:szCs w:val="22"/>
        </w:rPr>
        <w:t>13. Κρεβάτι μονό</w:t>
      </w:r>
    </w:p>
    <w:tbl>
      <w:tblPr>
        <w:tblW w:w="9416" w:type="dxa"/>
        <w:jc w:val="left"/>
        <w:tblInd w:w="-65" w:type="dxa"/>
        <w:tblLayout w:type="fixed"/>
        <w:tblCellMar>
          <w:top w:w="0" w:type="dxa"/>
          <w:left w:w="108" w:type="dxa"/>
          <w:bottom w:w="0" w:type="dxa"/>
          <w:right w:w="108" w:type="dxa"/>
        </w:tblCellMar>
      </w:tblPr>
      <w:tblGrid>
        <w:gridCol w:w="2434"/>
        <w:gridCol w:w="4353"/>
        <w:gridCol w:w="2629"/>
      </w:tblGrid>
      <w:tr>
        <w:trPr/>
        <w:tc>
          <w:tcPr>
            <w:tcW w:w="2434" w:type="dxa"/>
            <w:tcBorders>
              <w:top w:val="single" w:sz="4" w:space="0" w:color="000000"/>
              <w:left w:val="single" w:sz="4" w:space="0" w:color="000000"/>
              <w:bottom w:val="single" w:sz="4" w:space="0" w:color="000000"/>
            </w:tcBorders>
            <w:shd w:fill="F2F2F2" w:val="clear"/>
          </w:tcPr>
          <w:p>
            <w:pPr>
              <w:pStyle w:val="Style25"/>
              <w:widowControl w:val="false"/>
              <w:tabs>
                <w:tab w:val="clear" w:pos="720"/>
                <w:tab w:val="left" w:pos="-540" w:leader="none"/>
              </w:tabs>
              <w:spacing w:before="0" w:after="240"/>
              <w:jc w:val="left"/>
              <w:rPr>
                <w:rFonts w:ascii="Calibri" w:hAnsi="Calibri" w:cs="Calibri"/>
                <w:b/>
                <w:b/>
                <w:sz w:val="22"/>
                <w:szCs w:val="22"/>
              </w:rPr>
            </w:pPr>
            <w:r>
              <w:rPr>
                <w:rFonts w:cs="Calibri"/>
                <w:b/>
                <w:sz w:val="22"/>
                <w:szCs w:val="22"/>
              </w:rPr>
              <w:t>Χαρακτηριστικό</w:t>
            </w:r>
          </w:p>
        </w:tc>
        <w:tc>
          <w:tcPr>
            <w:tcW w:w="4353" w:type="dxa"/>
            <w:tcBorders>
              <w:top w:val="single" w:sz="4" w:space="0" w:color="000000"/>
              <w:left w:val="single" w:sz="4" w:space="0" w:color="000000"/>
              <w:bottom w:val="single" w:sz="4" w:space="0" w:color="000000"/>
            </w:tcBorders>
            <w:shd w:fill="F2F2F2" w:val="clear"/>
          </w:tcPr>
          <w:p>
            <w:pPr>
              <w:pStyle w:val="Style25"/>
              <w:widowControl w:val="false"/>
              <w:tabs>
                <w:tab w:val="clear" w:pos="720"/>
                <w:tab w:val="left" w:pos="-540" w:leader="none"/>
              </w:tabs>
              <w:spacing w:before="0" w:after="240"/>
              <w:jc w:val="left"/>
              <w:rPr>
                <w:rFonts w:ascii="Calibri" w:hAnsi="Calibri" w:cs="Calibri"/>
                <w:b/>
                <w:b/>
                <w:sz w:val="22"/>
                <w:szCs w:val="22"/>
              </w:rPr>
            </w:pPr>
            <w:r>
              <w:rPr>
                <w:rFonts w:cs="Calibri"/>
                <w:b/>
                <w:sz w:val="22"/>
                <w:szCs w:val="22"/>
              </w:rPr>
              <w:t>Απαίτηση</w:t>
            </w:r>
          </w:p>
        </w:tc>
        <w:tc>
          <w:tcPr>
            <w:tcW w:w="2629" w:type="dxa"/>
            <w:tcBorders>
              <w:top w:val="single" w:sz="4" w:space="0" w:color="000000"/>
              <w:left w:val="single" w:sz="4" w:space="0" w:color="000000"/>
              <w:bottom w:val="single" w:sz="4" w:space="0" w:color="000000"/>
              <w:right w:val="single" w:sz="4" w:space="0" w:color="000000"/>
            </w:tcBorders>
            <w:shd w:fill="F2F2F2" w:val="clear"/>
          </w:tcPr>
          <w:p>
            <w:pPr>
              <w:pStyle w:val="Style25"/>
              <w:widowControl w:val="false"/>
              <w:tabs>
                <w:tab w:val="clear" w:pos="720"/>
                <w:tab w:val="left" w:pos="-540" w:leader="none"/>
              </w:tabs>
              <w:spacing w:before="0" w:after="240"/>
              <w:jc w:val="left"/>
              <w:rPr>
                <w:rFonts w:ascii="Calibri" w:hAnsi="Calibri" w:cs="Calibri"/>
                <w:b/>
                <w:b/>
                <w:sz w:val="22"/>
                <w:szCs w:val="22"/>
              </w:rPr>
            </w:pPr>
            <w:r>
              <w:rPr>
                <w:rFonts w:cs="Calibri"/>
                <w:b/>
                <w:sz w:val="22"/>
                <w:szCs w:val="22"/>
              </w:rPr>
              <w:t>Παρατηρήσεις</w:t>
            </w:r>
          </w:p>
        </w:tc>
      </w:tr>
      <w:tr>
        <w:trPr/>
        <w:tc>
          <w:tcPr>
            <w:tcW w:w="2434" w:type="dxa"/>
            <w:tcBorders>
              <w:top w:val="single" w:sz="4" w:space="0" w:color="000000"/>
              <w:left w:val="single" w:sz="4" w:space="0" w:color="000000"/>
              <w:bottom w:val="single" w:sz="4" w:space="0" w:color="000000"/>
            </w:tcBorders>
          </w:tcPr>
          <w:p>
            <w:pPr>
              <w:pStyle w:val="Normal"/>
              <w:widowControl w:val="false"/>
              <w:snapToGrid w:val="false"/>
              <w:spacing w:before="0" w:after="120"/>
              <w:rPr>
                <w:rFonts w:ascii="Calibri" w:hAnsi="Calibri" w:cs="Calibri"/>
                <w:sz w:val="22"/>
                <w:szCs w:val="22"/>
              </w:rPr>
            </w:pPr>
            <w:r>
              <w:rPr>
                <w:rFonts w:cs="Calibri"/>
                <w:sz w:val="22"/>
                <w:szCs w:val="22"/>
              </w:rPr>
              <w:t>Διαστάσεις</w:t>
            </w:r>
          </w:p>
        </w:tc>
        <w:tc>
          <w:tcPr>
            <w:tcW w:w="4353" w:type="dxa"/>
            <w:tcBorders>
              <w:top w:val="single" w:sz="4" w:space="0" w:color="000000"/>
              <w:left w:val="single" w:sz="4" w:space="0" w:color="000000"/>
              <w:bottom w:val="single" w:sz="4" w:space="0" w:color="000000"/>
            </w:tcBorders>
          </w:tcPr>
          <w:p>
            <w:pPr>
              <w:pStyle w:val="Normal"/>
              <w:widowControl w:val="false"/>
              <w:snapToGrid w:val="false"/>
              <w:spacing w:before="0" w:after="120"/>
              <w:rPr/>
            </w:pPr>
            <w:r>
              <w:rPr>
                <w:rFonts w:cs="Calibri"/>
                <w:sz w:val="22"/>
                <w:szCs w:val="22"/>
              </w:rPr>
              <w:t xml:space="preserve">Έως </w:t>
            </w:r>
            <w:r>
              <w:rPr>
                <w:rFonts w:cs="Calibri"/>
                <w:sz w:val="22"/>
                <w:szCs w:val="22"/>
                <w:lang w:val="en-US"/>
              </w:rPr>
              <w:t>1.00x2.00m</w:t>
            </w:r>
          </w:p>
        </w:tc>
        <w:tc>
          <w:tcPr>
            <w:tcW w:w="2629" w:type="dxa"/>
            <w:tcBorders>
              <w:top w:val="single" w:sz="4" w:space="0" w:color="000000"/>
              <w:left w:val="single" w:sz="4" w:space="0" w:color="000000"/>
              <w:bottom w:val="single" w:sz="4" w:space="0" w:color="000000"/>
              <w:right w:val="single" w:sz="4" w:space="0" w:color="000000"/>
            </w:tcBorders>
          </w:tcPr>
          <w:p>
            <w:pPr>
              <w:pStyle w:val="Style25"/>
              <w:widowControl w:val="false"/>
              <w:tabs>
                <w:tab w:val="clear" w:pos="720"/>
                <w:tab w:val="left" w:pos="-540" w:leader="none"/>
              </w:tabs>
              <w:snapToGrid w:val="false"/>
              <w:spacing w:before="0" w:after="240"/>
              <w:jc w:val="left"/>
              <w:rPr>
                <w:rFonts w:ascii="Calibri" w:hAnsi="Calibri" w:cs="Calibri"/>
                <w:sz w:val="22"/>
                <w:szCs w:val="22"/>
              </w:rPr>
            </w:pPr>
            <w:r>
              <w:rPr>
                <w:rFonts w:cs="Calibri"/>
                <w:sz w:val="22"/>
                <w:szCs w:val="22"/>
              </w:rPr>
            </w:r>
          </w:p>
        </w:tc>
      </w:tr>
      <w:tr>
        <w:trPr/>
        <w:tc>
          <w:tcPr>
            <w:tcW w:w="2434" w:type="dxa"/>
            <w:tcBorders>
              <w:left w:val="single" w:sz="4" w:space="0" w:color="000000"/>
              <w:bottom w:val="single" w:sz="4" w:space="0" w:color="000000"/>
            </w:tcBorders>
          </w:tcPr>
          <w:p>
            <w:pPr>
              <w:pStyle w:val="Normal"/>
              <w:widowControl w:val="false"/>
              <w:snapToGrid w:val="false"/>
              <w:spacing w:before="0" w:after="120"/>
              <w:rPr>
                <w:rFonts w:ascii="Calibri" w:hAnsi="Calibri" w:cs="Calibri"/>
                <w:sz w:val="22"/>
                <w:szCs w:val="22"/>
              </w:rPr>
            </w:pPr>
            <w:r>
              <w:rPr>
                <w:rFonts w:cs="Calibri"/>
                <w:sz w:val="22"/>
                <w:szCs w:val="22"/>
              </w:rPr>
              <w:t>Διαστάσεις στρώματος</w:t>
            </w:r>
          </w:p>
        </w:tc>
        <w:tc>
          <w:tcPr>
            <w:tcW w:w="4353" w:type="dxa"/>
            <w:tcBorders>
              <w:left w:val="single" w:sz="4" w:space="0" w:color="000000"/>
              <w:bottom w:val="single" w:sz="4" w:space="0" w:color="000000"/>
            </w:tcBorders>
          </w:tcPr>
          <w:p>
            <w:pPr>
              <w:pStyle w:val="Normal"/>
              <w:widowControl w:val="false"/>
              <w:snapToGrid w:val="false"/>
              <w:spacing w:before="0" w:after="120"/>
              <w:rPr/>
            </w:pPr>
            <w:r>
              <w:rPr>
                <w:rFonts w:cs="Calibri"/>
                <w:sz w:val="22"/>
                <w:szCs w:val="22"/>
              </w:rPr>
              <w:t>90</w:t>
            </w:r>
            <w:r>
              <w:rPr>
                <w:rFonts w:cs="Calibri"/>
                <w:sz w:val="22"/>
                <w:szCs w:val="22"/>
                <w:lang w:val="en-US"/>
              </w:rPr>
              <w:t>x1.90m</w:t>
            </w:r>
          </w:p>
        </w:tc>
        <w:tc>
          <w:tcPr>
            <w:tcW w:w="2629" w:type="dxa"/>
            <w:tcBorders>
              <w:left w:val="single" w:sz="4" w:space="0" w:color="000000"/>
              <w:bottom w:val="single" w:sz="4" w:space="0" w:color="000000"/>
              <w:right w:val="single" w:sz="4" w:space="0" w:color="000000"/>
            </w:tcBorders>
          </w:tcPr>
          <w:p>
            <w:pPr>
              <w:pStyle w:val="Style25"/>
              <w:widowControl w:val="false"/>
              <w:tabs>
                <w:tab w:val="clear" w:pos="720"/>
                <w:tab w:val="left" w:pos="-540" w:leader="none"/>
              </w:tabs>
              <w:snapToGrid w:val="false"/>
              <w:spacing w:before="0" w:after="240"/>
              <w:jc w:val="left"/>
              <w:rPr>
                <w:rFonts w:ascii="Calibri" w:hAnsi="Calibri" w:cs="Calibri"/>
                <w:sz w:val="22"/>
                <w:szCs w:val="22"/>
              </w:rPr>
            </w:pPr>
            <w:r>
              <w:rPr>
                <w:rFonts w:cs="Calibri"/>
                <w:sz w:val="22"/>
                <w:szCs w:val="22"/>
              </w:rPr>
            </w:r>
          </w:p>
        </w:tc>
      </w:tr>
      <w:tr>
        <w:trPr/>
        <w:tc>
          <w:tcPr>
            <w:tcW w:w="2434" w:type="dxa"/>
            <w:tcBorders>
              <w:left w:val="single" w:sz="4" w:space="0" w:color="000000"/>
              <w:bottom w:val="single" w:sz="4" w:space="0" w:color="000000"/>
            </w:tcBorders>
          </w:tcPr>
          <w:p>
            <w:pPr>
              <w:pStyle w:val="Normal"/>
              <w:widowControl w:val="false"/>
              <w:snapToGrid w:val="false"/>
              <w:spacing w:before="0" w:after="120"/>
              <w:rPr>
                <w:rFonts w:ascii="Calibri" w:hAnsi="Calibri" w:cs="Calibri"/>
                <w:sz w:val="22"/>
                <w:szCs w:val="22"/>
              </w:rPr>
            </w:pPr>
            <w:r>
              <w:rPr>
                <w:rFonts w:cs="Calibri"/>
                <w:sz w:val="22"/>
                <w:szCs w:val="22"/>
              </w:rPr>
              <w:t>Υλικό</w:t>
            </w:r>
          </w:p>
        </w:tc>
        <w:tc>
          <w:tcPr>
            <w:tcW w:w="4353" w:type="dxa"/>
            <w:tcBorders>
              <w:left w:val="single" w:sz="4" w:space="0" w:color="000000"/>
              <w:bottom w:val="single" w:sz="4" w:space="0" w:color="000000"/>
            </w:tcBorders>
          </w:tcPr>
          <w:p>
            <w:pPr>
              <w:pStyle w:val="Normal"/>
              <w:widowControl w:val="false"/>
              <w:snapToGrid w:val="false"/>
              <w:spacing w:before="0" w:after="120"/>
              <w:rPr/>
            </w:pPr>
            <w:r>
              <w:rPr>
                <w:rFonts w:cs="Calibri"/>
                <w:sz w:val="22"/>
                <w:szCs w:val="22"/>
              </w:rPr>
              <w:t xml:space="preserve">Ξύλο ή μελαμίνη ή </w:t>
            </w:r>
            <w:r>
              <w:rPr>
                <w:rFonts w:cs="Calibri"/>
                <w:sz w:val="22"/>
                <w:szCs w:val="22"/>
                <w:lang w:val="en-US"/>
              </w:rPr>
              <w:t>MDF</w:t>
            </w:r>
          </w:p>
        </w:tc>
        <w:tc>
          <w:tcPr>
            <w:tcW w:w="2629" w:type="dxa"/>
            <w:tcBorders>
              <w:left w:val="single" w:sz="4" w:space="0" w:color="000000"/>
              <w:bottom w:val="single" w:sz="4" w:space="0" w:color="000000"/>
              <w:right w:val="single" w:sz="4" w:space="0" w:color="000000"/>
            </w:tcBorders>
          </w:tcPr>
          <w:p>
            <w:pPr>
              <w:pStyle w:val="Style25"/>
              <w:widowControl w:val="false"/>
              <w:tabs>
                <w:tab w:val="clear" w:pos="720"/>
                <w:tab w:val="left" w:pos="-540" w:leader="none"/>
              </w:tabs>
              <w:snapToGrid w:val="false"/>
              <w:spacing w:before="0" w:after="240"/>
              <w:jc w:val="left"/>
              <w:rPr>
                <w:rFonts w:ascii="Calibri" w:hAnsi="Calibri" w:cs="Calibri"/>
                <w:sz w:val="22"/>
                <w:szCs w:val="22"/>
              </w:rPr>
            </w:pPr>
            <w:r>
              <w:rPr>
                <w:rFonts w:cs="Calibri"/>
                <w:sz w:val="22"/>
                <w:szCs w:val="22"/>
              </w:rPr>
            </w:r>
          </w:p>
        </w:tc>
      </w:tr>
      <w:tr>
        <w:trPr/>
        <w:tc>
          <w:tcPr>
            <w:tcW w:w="2434" w:type="dxa"/>
            <w:tcBorders>
              <w:left w:val="single" w:sz="4" w:space="0" w:color="000000"/>
              <w:bottom w:val="single" w:sz="4" w:space="0" w:color="000000"/>
            </w:tcBorders>
          </w:tcPr>
          <w:p>
            <w:pPr>
              <w:pStyle w:val="Normal"/>
              <w:widowControl w:val="false"/>
              <w:snapToGrid w:val="false"/>
              <w:spacing w:before="0" w:after="120"/>
              <w:rPr>
                <w:rFonts w:ascii="Calibri" w:hAnsi="Calibri" w:cs="Calibri"/>
                <w:sz w:val="22"/>
                <w:szCs w:val="22"/>
              </w:rPr>
            </w:pPr>
            <w:r>
              <w:rPr>
                <w:rFonts w:cs="Calibri"/>
                <w:sz w:val="22"/>
                <w:szCs w:val="22"/>
              </w:rPr>
              <w:t>Χρώμα</w:t>
            </w:r>
          </w:p>
        </w:tc>
        <w:tc>
          <w:tcPr>
            <w:tcW w:w="4353" w:type="dxa"/>
            <w:tcBorders>
              <w:left w:val="single" w:sz="4" w:space="0" w:color="000000"/>
              <w:bottom w:val="single" w:sz="4" w:space="0" w:color="000000"/>
            </w:tcBorders>
          </w:tcPr>
          <w:p>
            <w:pPr>
              <w:pStyle w:val="Normal"/>
              <w:widowControl w:val="false"/>
              <w:snapToGrid w:val="false"/>
              <w:spacing w:before="0" w:after="120"/>
              <w:rPr>
                <w:rFonts w:ascii="Calibri" w:hAnsi="Calibri" w:cs="Calibri"/>
                <w:sz w:val="22"/>
                <w:szCs w:val="22"/>
              </w:rPr>
            </w:pPr>
            <w:r>
              <w:rPr>
                <w:rFonts w:cs="Calibri"/>
                <w:sz w:val="22"/>
                <w:szCs w:val="22"/>
              </w:rPr>
              <w:t>Αποχρώσεις του μπεζ ή του καφέ</w:t>
            </w:r>
          </w:p>
        </w:tc>
        <w:tc>
          <w:tcPr>
            <w:tcW w:w="2629" w:type="dxa"/>
            <w:tcBorders>
              <w:left w:val="single" w:sz="4" w:space="0" w:color="000000"/>
              <w:bottom w:val="single" w:sz="4" w:space="0" w:color="000000"/>
              <w:right w:val="single" w:sz="4" w:space="0" w:color="000000"/>
            </w:tcBorders>
          </w:tcPr>
          <w:p>
            <w:pPr>
              <w:pStyle w:val="Style25"/>
              <w:widowControl w:val="false"/>
              <w:tabs>
                <w:tab w:val="clear" w:pos="720"/>
                <w:tab w:val="left" w:pos="-540" w:leader="none"/>
              </w:tabs>
              <w:snapToGrid w:val="false"/>
              <w:spacing w:before="0" w:after="240"/>
              <w:jc w:val="left"/>
              <w:rPr>
                <w:rFonts w:ascii="Calibri" w:hAnsi="Calibri" w:cs="Calibri"/>
                <w:sz w:val="22"/>
                <w:szCs w:val="22"/>
              </w:rPr>
            </w:pPr>
            <w:r>
              <w:rPr>
                <w:rFonts w:cs="Calibri"/>
                <w:sz w:val="22"/>
                <w:szCs w:val="22"/>
              </w:rPr>
            </w:r>
          </w:p>
        </w:tc>
      </w:tr>
      <w:tr>
        <w:trPr/>
        <w:tc>
          <w:tcPr>
            <w:tcW w:w="2434" w:type="dxa"/>
            <w:tcBorders>
              <w:left w:val="single" w:sz="4" w:space="0" w:color="000000"/>
              <w:bottom w:val="single" w:sz="4" w:space="0" w:color="000000"/>
            </w:tcBorders>
          </w:tcPr>
          <w:p>
            <w:pPr>
              <w:pStyle w:val="Normal"/>
              <w:widowControl w:val="false"/>
              <w:snapToGrid w:val="false"/>
              <w:spacing w:before="0" w:after="120"/>
              <w:rPr>
                <w:rFonts w:ascii="Calibri" w:hAnsi="Calibri" w:cs="Calibri"/>
                <w:sz w:val="22"/>
                <w:szCs w:val="22"/>
              </w:rPr>
            </w:pPr>
            <w:r>
              <w:rPr>
                <w:rFonts w:cs="Calibri"/>
                <w:sz w:val="22"/>
                <w:szCs w:val="22"/>
              </w:rPr>
              <w:t>Ξύλινες τάβλες</w:t>
            </w:r>
          </w:p>
        </w:tc>
        <w:tc>
          <w:tcPr>
            <w:tcW w:w="4353" w:type="dxa"/>
            <w:tcBorders>
              <w:left w:val="single" w:sz="4" w:space="0" w:color="000000"/>
              <w:bottom w:val="single" w:sz="4" w:space="0" w:color="000000"/>
            </w:tcBorders>
          </w:tcPr>
          <w:p>
            <w:pPr>
              <w:pStyle w:val="Normal"/>
              <w:widowControl w:val="false"/>
              <w:snapToGrid w:val="false"/>
              <w:spacing w:before="0" w:after="120"/>
              <w:rPr>
                <w:rFonts w:ascii="Calibri" w:hAnsi="Calibri" w:cs="Calibri"/>
                <w:sz w:val="22"/>
                <w:szCs w:val="22"/>
              </w:rPr>
            </w:pPr>
            <w:r>
              <w:rPr>
                <w:rFonts w:cs="Calibri"/>
                <w:sz w:val="22"/>
                <w:szCs w:val="22"/>
              </w:rPr>
              <w:t>Ναι</w:t>
            </w:r>
          </w:p>
        </w:tc>
        <w:tc>
          <w:tcPr>
            <w:tcW w:w="2629" w:type="dxa"/>
            <w:tcBorders>
              <w:left w:val="single" w:sz="4" w:space="0" w:color="000000"/>
              <w:bottom w:val="single" w:sz="4" w:space="0" w:color="000000"/>
              <w:right w:val="single" w:sz="4" w:space="0" w:color="000000"/>
            </w:tcBorders>
          </w:tcPr>
          <w:p>
            <w:pPr>
              <w:pStyle w:val="Style25"/>
              <w:widowControl w:val="false"/>
              <w:tabs>
                <w:tab w:val="clear" w:pos="720"/>
                <w:tab w:val="left" w:pos="-540" w:leader="none"/>
              </w:tabs>
              <w:snapToGrid w:val="false"/>
              <w:spacing w:before="0" w:after="240"/>
              <w:jc w:val="left"/>
              <w:rPr>
                <w:rFonts w:ascii="Calibri" w:hAnsi="Calibri" w:cs="Calibri"/>
                <w:sz w:val="22"/>
                <w:szCs w:val="22"/>
              </w:rPr>
            </w:pPr>
            <w:r>
              <w:rPr>
                <w:rFonts w:cs="Calibri"/>
                <w:sz w:val="22"/>
                <w:szCs w:val="22"/>
              </w:rPr>
            </w:r>
          </w:p>
        </w:tc>
      </w:tr>
      <w:tr>
        <w:trPr/>
        <w:tc>
          <w:tcPr>
            <w:tcW w:w="2434" w:type="dxa"/>
            <w:tcBorders>
              <w:left w:val="single" w:sz="4" w:space="0" w:color="000000"/>
              <w:bottom w:val="single" w:sz="4" w:space="0" w:color="000000"/>
            </w:tcBorders>
          </w:tcPr>
          <w:p>
            <w:pPr>
              <w:pStyle w:val="Normal"/>
              <w:widowControl w:val="false"/>
              <w:snapToGrid w:val="false"/>
              <w:spacing w:before="0" w:after="120"/>
              <w:rPr>
                <w:rFonts w:ascii="Calibri" w:hAnsi="Calibri" w:cs="Calibri"/>
                <w:sz w:val="22"/>
                <w:szCs w:val="22"/>
              </w:rPr>
            </w:pPr>
            <w:r>
              <w:rPr>
                <w:rFonts w:cs="Calibri"/>
                <w:sz w:val="22"/>
                <w:szCs w:val="22"/>
              </w:rPr>
              <w:t>Αποθηκευτικός χώρος</w:t>
            </w:r>
          </w:p>
        </w:tc>
        <w:tc>
          <w:tcPr>
            <w:tcW w:w="4353" w:type="dxa"/>
            <w:tcBorders>
              <w:left w:val="single" w:sz="4" w:space="0" w:color="000000"/>
              <w:bottom w:val="single" w:sz="4" w:space="0" w:color="000000"/>
            </w:tcBorders>
          </w:tcPr>
          <w:p>
            <w:pPr>
              <w:pStyle w:val="Normal"/>
              <w:widowControl w:val="false"/>
              <w:snapToGrid w:val="false"/>
              <w:spacing w:before="0" w:after="120"/>
              <w:rPr>
                <w:rFonts w:ascii="Calibri" w:hAnsi="Calibri" w:cs="Calibri"/>
                <w:sz w:val="22"/>
                <w:szCs w:val="22"/>
              </w:rPr>
            </w:pPr>
            <w:r>
              <w:rPr>
                <w:rFonts w:cs="Calibri"/>
                <w:sz w:val="22"/>
                <w:szCs w:val="22"/>
              </w:rPr>
              <w:t>Επιθυμητός</w:t>
            </w:r>
          </w:p>
        </w:tc>
        <w:tc>
          <w:tcPr>
            <w:tcW w:w="2629" w:type="dxa"/>
            <w:tcBorders>
              <w:left w:val="single" w:sz="4" w:space="0" w:color="000000"/>
              <w:bottom w:val="single" w:sz="4" w:space="0" w:color="000000"/>
              <w:right w:val="single" w:sz="4" w:space="0" w:color="000000"/>
            </w:tcBorders>
          </w:tcPr>
          <w:p>
            <w:pPr>
              <w:pStyle w:val="Style25"/>
              <w:widowControl w:val="false"/>
              <w:tabs>
                <w:tab w:val="clear" w:pos="720"/>
                <w:tab w:val="left" w:pos="-540" w:leader="none"/>
              </w:tabs>
              <w:snapToGrid w:val="false"/>
              <w:spacing w:before="0" w:after="240"/>
              <w:jc w:val="left"/>
              <w:rPr>
                <w:rFonts w:ascii="Calibri" w:hAnsi="Calibri" w:cs="Calibri"/>
                <w:sz w:val="22"/>
                <w:szCs w:val="22"/>
              </w:rPr>
            </w:pPr>
            <w:r>
              <w:rPr>
                <w:rFonts w:cs="Calibri"/>
                <w:sz w:val="22"/>
                <w:szCs w:val="22"/>
              </w:rPr>
            </w:r>
          </w:p>
        </w:tc>
      </w:tr>
    </w:tbl>
    <w:p>
      <w:pPr>
        <w:pStyle w:val="Style41"/>
        <w:jc w:val="left"/>
        <w:rPr>
          <w:rFonts w:ascii="Calibri" w:hAnsi="Calibri" w:eastAsia="Times New Roman" w:cs="Calibri"/>
          <w:b/>
          <w:b/>
          <w:bCs/>
          <w:color w:val="auto"/>
          <w:kern w:val="0"/>
          <w:sz w:val="22"/>
          <w:szCs w:val="22"/>
          <w:lang w:val="en-GB" w:eastAsia="ar-SA" w:bidi="ar-SA"/>
        </w:rPr>
      </w:pPr>
      <w:r>
        <w:rPr>
          <w:rFonts w:eastAsia="Times New Roman" w:cs="Calibri" w:ascii="Calibri" w:hAnsi="Calibri"/>
          <w:b/>
          <w:bCs/>
          <w:color w:val="auto"/>
          <w:kern w:val="0"/>
          <w:sz w:val="22"/>
          <w:szCs w:val="22"/>
          <w:lang w:val="en-GB" w:eastAsia="ar-SA" w:bidi="ar-SA"/>
        </w:rPr>
        <w:t xml:space="preserve">                   </w:t>
      </w:r>
      <w:r>
        <w:rPr>
          <w:rFonts w:eastAsia="Times New Roman" w:cs="Calibri" w:ascii="Calibri" w:hAnsi="Calibri"/>
          <w:b/>
          <w:bCs/>
          <w:color w:val="auto"/>
          <w:kern w:val="0"/>
          <w:sz w:val="22"/>
          <w:szCs w:val="22"/>
          <w:lang w:val="en-GB" w:eastAsia="ar-SA" w:bidi="ar-SA"/>
        </w:rPr>
        <w:t>14. Στρώμα ύπνου διπλό</w:t>
      </w:r>
    </w:p>
    <w:tbl>
      <w:tblPr>
        <w:tblW w:w="9416" w:type="dxa"/>
        <w:jc w:val="left"/>
        <w:tblInd w:w="-65" w:type="dxa"/>
        <w:tblLayout w:type="fixed"/>
        <w:tblCellMar>
          <w:top w:w="0" w:type="dxa"/>
          <w:left w:w="108" w:type="dxa"/>
          <w:bottom w:w="0" w:type="dxa"/>
          <w:right w:w="108" w:type="dxa"/>
        </w:tblCellMar>
      </w:tblPr>
      <w:tblGrid>
        <w:gridCol w:w="3352"/>
        <w:gridCol w:w="3322"/>
        <w:gridCol w:w="2742"/>
      </w:tblGrid>
      <w:tr>
        <w:trPr/>
        <w:tc>
          <w:tcPr>
            <w:tcW w:w="3352" w:type="dxa"/>
            <w:tcBorders>
              <w:top w:val="single" w:sz="4" w:space="0" w:color="000000"/>
              <w:left w:val="single" w:sz="4" w:space="0" w:color="000000"/>
              <w:bottom w:val="single" w:sz="4" w:space="0" w:color="000000"/>
            </w:tcBorders>
            <w:shd w:fill="F2F2F2" w:val="clear"/>
          </w:tcPr>
          <w:p>
            <w:pPr>
              <w:pStyle w:val="Style25"/>
              <w:widowControl w:val="false"/>
              <w:tabs>
                <w:tab w:val="clear" w:pos="720"/>
                <w:tab w:val="left" w:pos="-540" w:leader="none"/>
              </w:tabs>
              <w:spacing w:before="0" w:after="240"/>
              <w:jc w:val="left"/>
              <w:rPr>
                <w:rFonts w:ascii="Calibri" w:hAnsi="Calibri" w:eastAsia="Calibri" w:cs="Calibri"/>
                <w:b/>
                <w:b/>
                <w:sz w:val="22"/>
                <w:szCs w:val="22"/>
              </w:rPr>
            </w:pPr>
            <w:r>
              <w:rPr>
                <w:rFonts w:eastAsia="Calibri" w:cs="Calibri"/>
                <w:b/>
                <w:sz w:val="22"/>
                <w:szCs w:val="22"/>
              </w:rPr>
              <w:t>Χαρακτηριστικό</w:t>
            </w:r>
          </w:p>
        </w:tc>
        <w:tc>
          <w:tcPr>
            <w:tcW w:w="3322" w:type="dxa"/>
            <w:tcBorders>
              <w:top w:val="single" w:sz="4" w:space="0" w:color="000000"/>
              <w:left w:val="single" w:sz="4" w:space="0" w:color="000000"/>
              <w:bottom w:val="single" w:sz="4" w:space="0" w:color="000000"/>
            </w:tcBorders>
            <w:shd w:fill="F2F2F2" w:val="clear"/>
          </w:tcPr>
          <w:p>
            <w:pPr>
              <w:pStyle w:val="Style25"/>
              <w:widowControl w:val="false"/>
              <w:tabs>
                <w:tab w:val="clear" w:pos="720"/>
                <w:tab w:val="left" w:pos="-540" w:leader="none"/>
              </w:tabs>
              <w:spacing w:before="0" w:after="240"/>
              <w:jc w:val="left"/>
              <w:rPr>
                <w:rFonts w:ascii="Calibri" w:hAnsi="Calibri" w:eastAsia="Calibri" w:cs="Calibri"/>
                <w:b/>
                <w:b/>
                <w:sz w:val="22"/>
                <w:szCs w:val="22"/>
              </w:rPr>
            </w:pPr>
            <w:r>
              <w:rPr>
                <w:rFonts w:eastAsia="Calibri" w:cs="Calibri"/>
                <w:b/>
                <w:sz w:val="22"/>
                <w:szCs w:val="22"/>
              </w:rPr>
              <w:t>Απαίτηση</w:t>
            </w:r>
          </w:p>
        </w:tc>
        <w:tc>
          <w:tcPr>
            <w:tcW w:w="2742" w:type="dxa"/>
            <w:tcBorders>
              <w:top w:val="single" w:sz="4" w:space="0" w:color="000000"/>
              <w:left w:val="single" w:sz="4" w:space="0" w:color="000000"/>
              <w:bottom w:val="single" w:sz="4" w:space="0" w:color="000000"/>
              <w:right w:val="single" w:sz="4" w:space="0" w:color="000000"/>
            </w:tcBorders>
            <w:shd w:fill="F2F2F2" w:val="clear"/>
          </w:tcPr>
          <w:p>
            <w:pPr>
              <w:pStyle w:val="Style25"/>
              <w:widowControl w:val="false"/>
              <w:tabs>
                <w:tab w:val="clear" w:pos="720"/>
                <w:tab w:val="left" w:pos="-540" w:leader="none"/>
              </w:tabs>
              <w:spacing w:before="0" w:after="240"/>
              <w:jc w:val="left"/>
              <w:rPr>
                <w:rFonts w:ascii="Calibri" w:hAnsi="Calibri" w:eastAsia="Calibri" w:cs="Calibri"/>
                <w:b/>
                <w:b/>
                <w:sz w:val="22"/>
                <w:szCs w:val="22"/>
              </w:rPr>
            </w:pPr>
            <w:r>
              <w:rPr>
                <w:rFonts w:eastAsia="Calibri" w:cs="Calibri"/>
                <w:b/>
                <w:sz w:val="22"/>
                <w:szCs w:val="22"/>
              </w:rPr>
              <w:t>Παρατηρήσεις</w:t>
            </w:r>
          </w:p>
        </w:tc>
      </w:tr>
      <w:tr>
        <w:trPr/>
        <w:tc>
          <w:tcPr>
            <w:tcW w:w="3352" w:type="dxa"/>
            <w:tcBorders>
              <w:top w:val="single" w:sz="4" w:space="0" w:color="000000"/>
              <w:left w:val="single" w:sz="4" w:space="0" w:color="000000"/>
              <w:bottom w:val="single" w:sz="4" w:space="0" w:color="000000"/>
            </w:tcBorders>
          </w:tcPr>
          <w:p>
            <w:pPr>
              <w:pStyle w:val="Style25"/>
              <w:widowControl w:val="false"/>
              <w:tabs>
                <w:tab w:val="clear" w:pos="720"/>
                <w:tab w:val="left" w:pos="-540" w:leader="none"/>
              </w:tabs>
              <w:spacing w:before="0" w:after="240"/>
              <w:jc w:val="left"/>
              <w:rPr>
                <w:rFonts w:ascii="Calibri" w:hAnsi="Calibri" w:cs="Calibri"/>
                <w:sz w:val="22"/>
                <w:szCs w:val="22"/>
              </w:rPr>
            </w:pPr>
            <w:r>
              <w:rPr>
                <w:rFonts w:cs="Calibri"/>
                <w:sz w:val="22"/>
                <w:szCs w:val="22"/>
              </w:rPr>
              <w:t>Διαστάσεις</w:t>
            </w:r>
          </w:p>
        </w:tc>
        <w:tc>
          <w:tcPr>
            <w:tcW w:w="3322" w:type="dxa"/>
            <w:tcBorders>
              <w:top w:val="single" w:sz="4" w:space="0" w:color="000000"/>
              <w:left w:val="single" w:sz="4" w:space="0" w:color="000000"/>
              <w:bottom w:val="single" w:sz="4" w:space="0" w:color="000000"/>
            </w:tcBorders>
          </w:tcPr>
          <w:p>
            <w:pPr>
              <w:pStyle w:val="Style25"/>
              <w:widowControl w:val="false"/>
              <w:tabs>
                <w:tab w:val="clear" w:pos="720"/>
                <w:tab w:val="left" w:pos="-540" w:leader="none"/>
              </w:tabs>
              <w:spacing w:before="0" w:after="240"/>
              <w:jc w:val="left"/>
              <w:rPr/>
            </w:pPr>
            <w:r>
              <w:rPr>
                <w:rFonts w:cs="Calibri"/>
                <w:sz w:val="22"/>
                <w:szCs w:val="22"/>
              </w:rPr>
              <w:t>1.60</w:t>
            </w:r>
            <w:r>
              <w:rPr>
                <w:rFonts w:cs="Calibri"/>
                <w:sz w:val="22"/>
                <w:szCs w:val="22"/>
                <w:lang w:val="en-US"/>
              </w:rPr>
              <w:t>x2.00m</w:t>
            </w:r>
          </w:p>
        </w:tc>
        <w:tc>
          <w:tcPr>
            <w:tcW w:w="2742" w:type="dxa"/>
            <w:tcBorders>
              <w:top w:val="single" w:sz="4" w:space="0" w:color="000000"/>
              <w:left w:val="single" w:sz="4" w:space="0" w:color="000000"/>
              <w:bottom w:val="single" w:sz="4" w:space="0" w:color="000000"/>
              <w:right w:val="single" w:sz="4" w:space="0" w:color="000000"/>
            </w:tcBorders>
          </w:tcPr>
          <w:p>
            <w:pPr>
              <w:pStyle w:val="Style25"/>
              <w:widowControl w:val="false"/>
              <w:tabs>
                <w:tab w:val="clear" w:pos="720"/>
                <w:tab w:val="left" w:pos="-540" w:leader="none"/>
              </w:tabs>
              <w:snapToGrid w:val="false"/>
              <w:spacing w:before="0" w:after="240"/>
              <w:jc w:val="left"/>
              <w:rPr>
                <w:rFonts w:ascii="Calibri" w:hAnsi="Calibri" w:cs="Calibri"/>
                <w:sz w:val="22"/>
                <w:szCs w:val="22"/>
              </w:rPr>
            </w:pPr>
            <w:r>
              <w:rPr>
                <w:rFonts w:cs="Calibri"/>
                <w:sz w:val="22"/>
                <w:szCs w:val="22"/>
              </w:rPr>
            </w:r>
          </w:p>
        </w:tc>
      </w:tr>
      <w:tr>
        <w:trPr/>
        <w:tc>
          <w:tcPr>
            <w:tcW w:w="3352" w:type="dxa"/>
            <w:tcBorders>
              <w:top w:val="single" w:sz="4" w:space="0" w:color="000000"/>
              <w:left w:val="single" w:sz="4" w:space="0" w:color="000000"/>
              <w:bottom w:val="single" w:sz="4" w:space="0" w:color="000000"/>
            </w:tcBorders>
          </w:tcPr>
          <w:p>
            <w:pPr>
              <w:pStyle w:val="Style25"/>
              <w:widowControl w:val="false"/>
              <w:tabs>
                <w:tab w:val="clear" w:pos="720"/>
                <w:tab w:val="left" w:pos="-540" w:leader="none"/>
              </w:tabs>
              <w:spacing w:before="0" w:after="240"/>
              <w:jc w:val="left"/>
              <w:rPr>
                <w:rFonts w:ascii="Calibri" w:hAnsi="Calibri" w:cs="Calibri"/>
                <w:sz w:val="22"/>
                <w:szCs w:val="22"/>
              </w:rPr>
            </w:pPr>
            <w:r>
              <w:rPr>
                <w:rFonts w:cs="Calibri"/>
                <w:sz w:val="22"/>
                <w:szCs w:val="22"/>
              </w:rPr>
              <w:t>Πάχος στρώματος</w:t>
            </w:r>
          </w:p>
        </w:tc>
        <w:tc>
          <w:tcPr>
            <w:tcW w:w="3322" w:type="dxa"/>
            <w:tcBorders>
              <w:top w:val="single" w:sz="4" w:space="0" w:color="000000"/>
              <w:left w:val="single" w:sz="4" w:space="0" w:color="000000"/>
              <w:bottom w:val="single" w:sz="4" w:space="0" w:color="000000"/>
            </w:tcBorders>
          </w:tcPr>
          <w:p>
            <w:pPr>
              <w:pStyle w:val="Style25"/>
              <w:widowControl w:val="false"/>
              <w:tabs>
                <w:tab w:val="clear" w:pos="720"/>
                <w:tab w:val="left" w:pos="-540" w:leader="none"/>
              </w:tabs>
              <w:spacing w:before="0" w:after="240"/>
              <w:jc w:val="left"/>
              <w:rPr/>
            </w:pPr>
            <w:r>
              <w:rPr>
                <w:rFonts w:cs="Calibri"/>
                <w:sz w:val="22"/>
                <w:szCs w:val="22"/>
              </w:rPr>
              <w:t>&gt;=20</w:t>
            </w:r>
            <w:r>
              <w:rPr>
                <w:rFonts w:cs="Calibri"/>
                <w:sz w:val="22"/>
                <w:szCs w:val="22"/>
                <w:lang w:val="en-US"/>
              </w:rPr>
              <w:t>cm</w:t>
            </w:r>
          </w:p>
        </w:tc>
        <w:tc>
          <w:tcPr>
            <w:tcW w:w="2742" w:type="dxa"/>
            <w:tcBorders>
              <w:top w:val="single" w:sz="4" w:space="0" w:color="000000"/>
              <w:left w:val="single" w:sz="4" w:space="0" w:color="000000"/>
              <w:bottom w:val="single" w:sz="4" w:space="0" w:color="000000"/>
              <w:right w:val="single" w:sz="4" w:space="0" w:color="000000"/>
            </w:tcBorders>
          </w:tcPr>
          <w:p>
            <w:pPr>
              <w:pStyle w:val="Style25"/>
              <w:widowControl w:val="false"/>
              <w:tabs>
                <w:tab w:val="clear" w:pos="720"/>
                <w:tab w:val="left" w:pos="-540" w:leader="none"/>
              </w:tabs>
              <w:snapToGrid w:val="false"/>
              <w:spacing w:before="0" w:after="240"/>
              <w:jc w:val="left"/>
              <w:rPr>
                <w:rFonts w:ascii="Calibri" w:hAnsi="Calibri" w:cs="Calibri"/>
                <w:sz w:val="22"/>
                <w:szCs w:val="22"/>
              </w:rPr>
            </w:pPr>
            <w:r>
              <w:rPr>
                <w:rFonts w:cs="Calibri"/>
                <w:sz w:val="22"/>
                <w:szCs w:val="22"/>
              </w:rPr>
            </w:r>
          </w:p>
        </w:tc>
      </w:tr>
      <w:tr>
        <w:trPr/>
        <w:tc>
          <w:tcPr>
            <w:tcW w:w="3352" w:type="dxa"/>
            <w:tcBorders>
              <w:top w:val="single" w:sz="4" w:space="0" w:color="000000"/>
              <w:left w:val="single" w:sz="4" w:space="0" w:color="000000"/>
              <w:bottom w:val="single" w:sz="4" w:space="0" w:color="000000"/>
            </w:tcBorders>
          </w:tcPr>
          <w:p>
            <w:pPr>
              <w:pStyle w:val="Style25"/>
              <w:widowControl w:val="false"/>
              <w:tabs>
                <w:tab w:val="clear" w:pos="720"/>
                <w:tab w:val="left" w:pos="-540" w:leader="none"/>
              </w:tabs>
              <w:snapToGrid w:val="false"/>
              <w:spacing w:before="0" w:after="240"/>
              <w:jc w:val="left"/>
              <w:rPr>
                <w:rFonts w:ascii="Calibri" w:hAnsi="Calibri" w:cs="Calibri"/>
                <w:sz w:val="22"/>
                <w:szCs w:val="22"/>
              </w:rPr>
            </w:pPr>
            <w:r>
              <w:rPr>
                <w:rFonts w:cs="Calibri"/>
                <w:sz w:val="22"/>
                <w:szCs w:val="22"/>
              </w:rPr>
              <w:t>Ορθοπεδικό</w:t>
            </w:r>
          </w:p>
        </w:tc>
        <w:tc>
          <w:tcPr>
            <w:tcW w:w="3322" w:type="dxa"/>
            <w:tcBorders>
              <w:top w:val="single" w:sz="4" w:space="0" w:color="000000"/>
              <w:left w:val="single" w:sz="4" w:space="0" w:color="000000"/>
              <w:bottom w:val="single" w:sz="4" w:space="0" w:color="000000"/>
            </w:tcBorders>
          </w:tcPr>
          <w:p>
            <w:pPr>
              <w:pStyle w:val="Style25"/>
              <w:widowControl w:val="false"/>
              <w:tabs>
                <w:tab w:val="clear" w:pos="720"/>
                <w:tab w:val="left" w:pos="-540" w:leader="none"/>
              </w:tabs>
              <w:snapToGrid w:val="false"/>
              <w:spacing w:before="0" w:after="240"/>
              <w:jc w:val="left"/>
              <w:rPr>
                <w:rFonts w:ascii="Calibri" w:hAnsi="Calibri" w:cs="Calibri"/>
                <w:sz w:val="22"/>
                <w:szCs w:val="22"/>
              </w:rPr>
            </w:pPr>
            <w:r>
              <w:rPr>
                <w:rFonts w:cs="Calibri"/>
                <w:sz w:val="22"/>
                <w:szCs w:val="22"/>
              </w:rPr>
              <w:t>Ναι</w:t>
            </w:r>
          </w:p>
        </w:tc>
        <w:tc>
          <w:tcPr>
            <w:tcW w:w="2742" w:type="dxa"/>
            <w:tcBorders>
              <w:top w:val="single" w:sz="4" w:space="0" w:color="000000"/>
              <w:left w:val="single" w:sz="4" w:space="0" w:color="000000"/>
              <w:bottom w:val="single" w:sz="4" w:space="0" w:color="000000"/>
              <w:right w:val="single" w:sz="4" w:space="0" w:color="000000"/>
            </w:tcBorders>
          </w:tcPr>
          <w:p>
            <w:pPr>
              <w:pStyle w:val="Style25"/>
              <w:widowControl w:val="false"/>
              <w:tabs>
                <w:tab w:val="clear" w:pos="720"/>
                <w:tab w:val="left" w:pos="-540" w:leader="none"/>
              </w:tabs>
              <w:snapToGrid w:val="false"/>
              <w:spacing w:before="0" w:after="240"/>
              <w:jc w:val="left"/>
              <w:rPr>
                <w:rFonts w:ascii="Calibri" w:hAnsi="Calibri" w:cs="Calibri"/>
                <w:sz w:val="22"/>
                <w:szCs w:val="22"/>
              </w:rPr>
            </w:pPr>
            <w:r>
              <w:rPr>
                <w:rFonts w:cs="Calibri"/>
                <w:sz w:val="22"/>
                <w:szCs w:val="22"/>
              </w:rPr>
            </w:r>
          </w:p>
        </w:tc>
      </w:tr>
      <w:tr>
        <w:trPr/>
        <w:tc>
          <w:tcPr>
            <w:tcW w:w="3352" w:type="dxa"/>
            <w:tcBorders>
              <w:left w:val="single" w:sz="4" w:space="0" w:color="000000"/>
              <w:bottom w:val="single" w:sz="4" w:space="0" w:color="000000"/>
            </w:tcBorders>
          </w:tcPr>
          <w:p>
            <w:pPr>
              <w:pStyle w:val="Style25"/>
              <w:widowControl w:val="false"/>
              <w:tabs>
                <w:tab w:val="clear" w:pos="720"/>
                <w:tab w:val="left" w:pos="-540" w:leader="none"/>
              </w:tabs>
              <w:snapToGrid w:val="false"/>
              <w:spacing w:before="0" w:after="240"/>
              <w:jc w:val="left"/>
              <w:rPr>
                <w:rFonts w:ascii="Calibri" w:hAnsi="Calibri" w:cs="Calibri"/>
                <w:sz w:val="22"/>
                <w:szCs w:val="22"/>
              </w:rPr>
            </w:pPr>
            <w:r>
              <w:rPr>
                <w:rFonts w:cs="Calibri"/>
                <w:sz w:val="22"/>
                <w:szCs w:val="22"/>
              </w:rPr>
              <w:t>Υλικό γεμίσματος</w:t>
            </w:r>
          </w:p>
        </w:tc>
        <w:tc>
          <w:tcPr>
            <w:tcW w:w="3322" w:type="dxa"/>
            <w:tcBorders>
              <w:left w:val="single" w:sz="4" w:space="0" w:color="000000"/>
              <w:bottom w:val="single" w:sz="4" w:space="0" w:color="000000"/>
            </w:tcBorders>
          </w:tcPr>
          <w:p>
            <w:pPr>
              <w:pStyle w:val="Style25"/>
              <w:widowControl w:val="false"/>
              <w:tabs>
                <w:tab w:val="clear" w:pos="720"/>
                <w:tab w:val="left" w:pos="-540" w:leader="none"/>
              </w:tabs>
              <w:snapToGrid w:val="false"/>
              <w:spacing w:before="0" w:after="240"/>
              <w:jc w:val="left"/>
              <w:rPr/>
            </w:pPr>
            <w:r>
              <w:rPr>
                <w:rFonts w:cs="Calibri"/>
                <w:sz w:val="22"/>
                <w:szCs w:val="22"/>
              </w:rPr>
              <w:t xml:space="preserve">Ελατήρια, βάτα, </w:t>
            </w:r>
            <w:r>
              <w:rPr>
                <w:rFonts w:cs="Calibri"/>
                <w:sz w:val="22"/>
                <w:szCs w:val="22"/>
                <w:lang w:val="en-US"/>
              </w:rPr>
              <w:t>foam</w:t>
            </w:r>
          </w:p>
        </w:tc>
        <w:tc>
          <w:tcPr>
            <w:tcW w:w="2742" w:type="dxa"/>
            <w:tcBorders>
              <w:left w:val="single" w:sz="4" w:space="0" w:color="000000"/>
              <w:bottom w:val="single" w:sz="4" w:space="0" w:color="000000"/>
              <w:right w:val="single" w:sz="4" w:space="0" w:color="000000"/>
            </w:tcBorders>
          </w:tcPr>
          <w:p>
            <w:pPr>
              <w:pStyle w:val="Style25"/>
              <w:widowControl w:val="false"/>
              <w:tabs>
                <w:tab w:val="clear" w:pos="720"/>
                <w:tab w:val="left" w:pos="-540" w:leader="none"/>
              </w:tabs>
              <w:snapToGrid w:val="false"/>
              <w:spacing w:before="0" w:after="240"/>
              <w:jc w:val="left"/>
              <w:rPr>
                <w:rFonts w:ascii="Calibri" w:hAnsi="Calibri" w:cs="Calibri"/>
                <w:sz w:val="22"/>
                <w:szCs w:val="22"/>
              </w:rPr>
            </w:pPr>
            <w:r>
              <w:rPr>
                <w:rFonts w:cs="Calibri"/>
                <w:sz w:val="22"/>
                <w:szCs w:val="22"/>
              </w:rPr>
            </w:r>
          </w:p>
        </w:tc>
      </w:tr>
      <w:tr>
        <w:trPr/>
        <w:tc>
          <w:tcPr>
            <w:tcW w:w="3352" w:type="dxa"/>
            <w:tcBorders>
              <w:left w:val="single" w:sz="4" w:space="0" w:color="000000"/>
              <w:bottom w:val="single" w:sz="4" w:space="0" w:color="000000"/>
            </w:tcBorders>
          </w:tcPr>
          <w:p>
            <w:pPr>
              <w:pStyle w:val="Style25"/>
              <w:widowControl w:val="false"/>
              <w:tabs>
                <w:tab w:val="clear" w:pos="720"/>
                <w:tab w:val="left" w:pos="-540" w:leader="none"/>
              </w:tabs>
              <w:snapToGrid w:val="false"/>
              <w:spacing w:before="0" w:after="240"/>
              <w:jc w:val="left"/>
              <w:rPr>
                <w:rFonts w:ascii="Calibri" w:hAnsi="Calibri" w:cs="Calibri"/>
                <w:sz w:val="22"/>
                <w:szCs w:val="22"/>
              </w:rPr>
            </w:pPr>
            <w:r>
              <w:rPr>
                <w:rFonts w:cs="Calibri"/>
                <w:sz w:val="22"/>
                <w:szCs w:val="22"/>
              </w:rPr>
              <w:t>Εγγύηση</w:t>
            </w:r>
          </w:p>
        </w:tc>
        <w:tc>
          <w:tcPr>
            <w:tcW w:w="3322" w:type="dxa"/>
            <w:tcBorders>
              <w:left w:val="single" w:sz="4" w:space="0" w:color="000000"/>
              <w:bottom w:val="single" w:sz="4" w:space="0" w:color="000000"/>
            </w:tcBorders>
          </w:tcPr>
          <w:p>
            <w:pPr>
              <w:pStyle w:val="Style25"/>
              <w:widowControl w:val="false"/>
              <w:tabs>
                <w:tab w:val="clear" w:pos="720"/>
                <w:tab w:val="left" w:pos="-540" w:leader="none"/>
              </w:tabs>
              <w:snapToGrid w:val="false"/>
              <w:spacing w:before="0" w:after="240"/>
              <w:jc w:val="left"/>
              <w:rPr>
                <w:rFonts w:ascii="Calibri" w:hAnsi="Calibri" w:cs="Calibri"/>
                <w:sz w:val="22"/>
                <w:szCs w:val="22"/>
              </w:rPr>
            </w:pPr>
            <w:r>
              <w:rPr>
                <w:rFonts w:cs="Calibri"/>
                <w:sz w:val="22"/>
                <w:szCs w:val="22"/>
              </w:rPr>
              <w:t>&gt;=2 έτη</w:t>
            </w:r>
          </w:p>
        </w:tc>
        <w:tc>
          <w:tcPr>
            <w:tcW w:w="2742" w:type="dxa"/>
            <w:tcBorders>
              <w:left w:val="single" w:sz="4" w:space="0" w:color="000000"/>
              <w:bottom w:val="single" w:sz="4" w:space="0" w:color="000000"/>
              <w:right w:val="single" w:sz="4" w:space="0" w:color="000000"/>
            </w:tcBorders>
          </w:tcPr>
          <w:p>
            <w:pPr>
              <w:pStyle w:val="Style25"/>
              <w:widowControl w:val="false"/>
              <w:tabs>
                <w:tab w:val="clear" w:pos="720"/>
                <w:tab w:val="left" w:pos="-540" w:leader="none"/>
              </w:tabs>
              <w:snapToGrid w:val="false"/>
              <w:spacing w:before="0" w:after="240"/>
              <w:jc w:val="left"/>
              <w:rPr>
                <w:rFonts w:ascii="Calibri" w:hAnsi="Calibri" w:cs="Calibri"/>
                <w:sz w:val="22"/>
                <w:szCs w:val="22"/>
              </w:rPr>
            </w:pPr>
            <w:r>
              <w:rPr>
                <w:rFonts w:cs="Calibri"/>
                <w:sz w:val="22"/>
                <w:szCs w:val="22"/>
              </w:rPr>
            </w:r>
          </w:p>
        </w:tc>
      </w:tr>
    </w:tbl>
    <w:p>
      <w:pPr>
        <w:pStyle w:val="Normal"/>
        <w:tabs>
          <w:tab w:val="clear" w:pos="720"/>
          <w:tab w:val="left" w:pos="2595" w:leader="none"/>
        </w:tabs>
        <w:rPr>
          <w:rFonts w:ascii="Calibri" w:hAnsi="Calibri" w:cs="Calibri"/>
          <w:sz w:val="22"/>
          <w:szCs w:val="22"/>
        </w:rPr>
      </w:pPr>
      <w:r>
        <w:rPr>
          <w:rFonts w:cs="Calibri"/>
          <w:sz w:val="22"/>
          <w:szCs w:val="22"/>
        </w:rPr>
      </w:r>
    </w:p>
    <w:p>
      <w:pPr>
        <w:pStyle w:val="Normal"/>
        <w:tabs>
          <w:tab w:val="clear" w:pos="720"/>
          <w:tab w:val="left" w:pos="4800" w:leader="none"/>
        </w:tabs>
        <w:ind w:left="1077" w:hanging="0"/>
        <w:rPr>
          <w:rFonts w:ascii="Calibri" w:hAnsi="Calibri" w:cs="Calibri"/>
          <w:b/>
          <w:b/>
          <w:bCs/>
          <w:sz w:val="22"/>
          <w:szCs w:val="22"/>
        </w:rPr>
      </w:pPr>
      <w:r>
        <w:rPr>
          <w:rFonts w:cs="Calibri"/>
          <w:b/>
          <w:bCs/>
          <w:sz w:val="22"/>
          <w:szCs w:val="22"/>
        </w:rPr>
        <w:t>15. Στρώμα ύπνου μονό</w:t>
      </w:r>
    </w:p>
    <w:tbl>
      <w:tblPr>
        <w:tblW w:w="9416" w:type="dxa"/>
        <w:jc w:val="left"/>
        <w:tblInd w:w="-65" w:type="dxa"/>
        <w:tblLayout w:type="fixed"/>
        <w:tblCellMar>
          <w:top w:w="0" w:type="dxa"/>
          <w:left w:w="108" w:type="dxa"/>
          <w:bottom w:w="0" w:type="dxa"/>
          <w:right w:w="108" w:type="dxa"/>
        </w:tblCellMar>
      </w:tblPr>
      <w:tblGrid>
        <w:gridCol w:w="2434"/>
        <w:gridCol w:w="4353"/>
        <w:gridCol w:w="2629"/>
      </w:tblGrid>
      <w:tr>
        <w:trPr/>
        <w:tc>
          <w:tcPr>
            <w:tcW w:w="2434" w:type="dxa"/>
            <w:tcBorders>
              <w:top w:val="single" w:sz="4" w:space="0" w:color="000000"/>
              <w:left w:val="single" w:sz="4" w:space="0" w:color="000000"/>
              <w:bottom w:val="single" w:sz="4" w:space="0" w:color="000000"/>
            </w:tcBorders>
            <w:shd w:fill="F2F2F2" w:val="clear"/>
          </w:tcPr>
          <w:p>
            <w:pPr>
              <w:pStyle w:val="Style25"/>
              <w:widowControl w:val="false"/>
              <w:tabs>
                <w:tab w:val="clear" w:pos="720"/>
                <w:tab w:val="left" w:pos="-540" w:leader="none"/>
              </w:tabs>
              <w:spacing w:before="0" w:after="240"/>
              <w:jc w:val="left"/>
              <w:rPr>
                <w:rFonts w:ascii="Calibri" w:hAnsi="Calibri" w:cs="Calibri"/>
                <w:b/>
                <w:b/>
                <w:sz w:val="22"/>
                <w:szCs w:val="22"/>
              </w:rPr>
            </w:pPr>
            <w:r>
              <w:rPr>
                <w:rFonts w:cs="Calibri"/>
                <w:b/>
                <w:sz w:val="22"/>
                <w:szCs w:val="22"/>
              </w:rPr>
              <w:t>Χαρακτηριστικό</w:t>
            </w:r>
          </w:p>
        </w:tc>
        <w:tc>
          <w:tcPr>
            <w:tcW w:w="4353" w:type="dxa"/>
            <w:tcBorders>
              <w:top w:val="single" w:sz="4" w:space="0" w:color="000000"/>
              <w:left w:val="single" w:sz="4" w:space="0" w:color="000000"/>
              <w:bottom w:val="single" w:sz="4" w:space="0" w:color="000000"/>
            </w:tcBorders>
            <w:shd w:fill="F2F2F2" w:val="clear"/>
          </w:tcPr>
          <w:p>
            <w:pPr>
              <w:pStyle w:val="Style25"/>
              <w:widowControl w:val="false"/>
              <w:tabs>
                <w:tab w:val="clear" w:pos="720"/>
                <w:tab w:val="left" w:pos="-540" w:leader="none"/>
              </w:tabs>
              <w:spacing w:before="0" w:after="240"/>
              <w:jc w:val="left"/>
              <w:rPr>
                <w:rFonts w:ascii="Calibri" w:hAnsi="Calibri" w:cs="Calibri"/>
                <w:b/>
                <w:b/>
                <w:sz w:val="22"/>
                <w:szCs w:val="22"/>
              </w:rPr>
            </w:pPr>
            <w:r>
              <w:rPr>
                <w:rFonts w:cs="Calibri"/>
                <w:b/>
                <w:sz w:val="22"/>
                <w:szCs w:val="22"/>
              </w:rPr>
              <w:t>Απαίτηση</w:t>
            </w:r>
          </w:p>
        </w:tc>
        <w:tc>
          <w:tcPr>
            <w:tcW w:w="2629" w:type="dxa"/>
            <w:tcBorders>
              <w:top w:val="single" w:sz="4" w:space="0" w:color="000000"/>
              <w:left w:val="single" w:sz="4" w:space="0" w:color="000000"/>
              <w:bottom w:val="single" w:sz="4" w:space="0" w:color="000000"/>
              <w:right w:val="single" w:sz="4" w:space="0" w:color="000000"/>
            </w:tcBorders>
            <w:shd w:fill="F2F2F2" w:val="clear"/>
          </w:tcPr>
          <w:p>
            <w:pPr>
              <w:pStyle w:val="Style25"/>
              <w:widowControl w:val="false"/>
              <w:tabs>
                <w:tab w:val="clear" w:pos="720"/>
                <w:tab w:val="left" w:pos="-540" w:leader="none"/>
              </w:tabs>
              <w:spacing w:before="0" w:after="240"/>
              <w:jc w:val="left"/>
              <w:rPr>
                <w:rFonts w:ascii="Calibri" w:hAnsi="Calibri" w:cs="Calibri"/>
                <w:b/>
                <w:b/>
                <w:sz w:val="22"/>
                <w:szCs w:val="22"/>
              </w:rPr>
            </w:pPr>
            <w:r>
              <w:rPr>
                <w:rFonts w:cs="Calibri"/>
                <w:b/>
                <w:sz w:val="22"/>
                <w:szCs w:val="22"/>
              </w:rPr>
              <w:t>Παρατηρήσεις</w:t>
            </w:r>
          </w:p>
        </w:tc>
      </w:tr>
      <w:tr>
        <w:trPr/>
        <w:tc>
          <w:tcPr>
            <w:tcW w:w="2434" w:type="dxa"/>
            <w:tcBorders>
              <w:top w:val="single" w:sz="4" w:space="0" w:color="000000"/>
              <w:left w:val="single" w:sz="4" w:space="0" w:color="000000"/>
              <w:bottom w:val="single" w:sz="4" w:space="0" w:color="000000"/>
            </w:tcBorders>
          </w:tcPr>
          <w:p>
            <w:pPr>
              <w:pStyle w:val="Normal"/>
              <w:widowControl w:val="false"/>
              <w:snapToGrid w:val="false"/>
              <w:spacing w:before="0" w:after="120"/>
              <w:rPr>
                <w:rFonts w:ascii="Calibri" w:hAnsi="Calibri" w:cs="Calibri"/>
                <w:sz w:val="22"/>
                <w:szCs w:val="22"/>
              </w:rPr>
            </w:pPr>
            <w:r>
              <w:rPr>
                <w:rFonts w:cs="Calibri"/>
                <w:sz w:val="22"/>
                <w:szCs w:val="22"/>
              </w:rPr>
              <w:t>Διαστάσεις</w:t>
            </w:r>
          </w:p>
        </w:tc>
        <w:tc>
          <w:tcPr>
            <w:tcW w:w="4353" w:type="dxa"/>
            <w:tcBorders>
              <w:top w:val="single" w:sz="4" w:space="0" w:color="000000"/>
              <w:left w:val="single" w:sz="4" w:space="0" w:color="000000"/>
              <w:bottom w:val="single" w:sz="4" w:space="0" w:color="000000"/>
            </w:tcBorders>
          </w:tcPr>
          <w:p>
            <w:pPr>
              <w:pStyle w:val="Normal"/>
              <w:widowControl w:val="false"/>
              <w:snapToGrid w:val="false"/>
              <w:spacing w:before="0" w:after="120"/>
              <w:rPr/>
            </w:pPr>
            <w:r>
              <w:rPr>
                <w:rFonts w:cs="Calibri"/>
                <w:sz w:val="22"/>
                <w:szCs w:val="22"/>
              </w:rPr>
              <w:t>90</w:t>
            </w:r>
            <w:r>
              <w:rPr>
                <w:rFonts w:cs="Calibri"/>
                <w:sz w:val="22"/>
                <w:szCs w:val="22"/>
                <w:lang w:val="en-US"/>
              </w:rPr>
              <w:t>x1.90m</w:t>
            </w:r>
          </w:p>
        </w:tc>
        <w:tc>
          <w:tcPr>
            <w:tcW w:w="2629" w:type="dxa"/>
            <w:tcBorders>
              <w:top w:val="single" w:sz="4" w:space="0" w:color="000000"/>
              <w:left w:val="single" w:sz="4" w:space="0" w:color="000000"/>
              <w:bottom w:val="single" w:sz="4" w:space="0" w:color="000000"/>
              <w:right w:val="single" w:sz="4" w:space="0" w:color="000000"/>
            </w:tcBorders>
          </w:tcPr>
          <w:p>
            <w:pPr>
              <w:pStyle w:val="Style25"/>
              <w:widowControl w:val="false"/>
              <w:tabs>
                <w:tab w:val="clear" w:pos="720"/>
                <w:tab w:val="left" w:pos="-540" w:leader="none"/>
              </w:tabs>
              <w:snapToGrid w:val="false"/>
              <w:spacing w:before="0" w:after="240"/>
              <w:jc w:val="left"/>
              <w:rPr>
                <w:rFonts w:ascii="Calibri" w:hAnsi="Calibri" w:cs="Calibri"/>
                <w:sz w:val="22"/>
                <w:szCs w:val="22"/>
              </w:rPr>
            </w:pPr>
            <w:r>
              <w:rPr>
                <w:rFonts w:cs="Calibri"/>
                <w:sz w:val="22"/>
                <w:szCs w:val="22"/>
              </w:rPr>
            </w:r>
          </w:p>
        </w:tc>
      </w:tr>
      <w:tr>
        <w:trPr/>
        <w:tc>
          <w:tcPr>
            <w:tcW w:w="2434" w:type="dxa"/>
            <w:tcBorders>
              <w:left w:val="single" w:sz="4" w:space="0" w:color="000000"/>
              <w:bottom w:val="single" w:sz="4" w:space="0" w:color="000000"/>
            </w:tcBorders>
          </w:tcPr>
          <w:p>
            <w:pPr>
              <w:pStyle w:val="Normal"/>
              <w:widowControl w:val="false"/>
              <w:snapToGrid w:val="false"/>
              <w:spacing w:before="0" w:after="120"/>
              <w:rPr>
                <w:rFonts w:ascii="Calibri" w:hAnsi="Calibri" w:cs="Calibri"/>
                <w:sz w:val="22"/>
                <w:szCs w:val="22"/>
              </w:rPr>
            </w:pPr>
            <w:r>
              <w:rPr>
                <w:rFonts w:cs="Calibri"/>
                <w:sz w:val="22"/>
                <w:szCs w:val="22"/>
              </w:rPr>
              <w:t>Πάχος στρώματος</w:t>
            </w:r>
          </w:p>
        </w:tc>
        <w:tc>
          <w:tcPr>
            <w:tcW w:w="4353" w:type="dxa"/>
            <w:tcBorders>
              <w:left w:val="single" w:sz="4" w:space="0" w:color="000000"/>
              <w:bottom w:val="single" w:sz="4" w:space="0" w:color="000000"/>
            </w:tcBorders>
          </w:tcPr>
          <w:p>
            <w:pPr>
              <w:pStyle w:val="Normal"/>
              <w:widowControl w:val="false"/>
              <w:snapToGrid w:val="false"/>
              <w:spacing w:before="0" w:after="120"/>
              <w:rPr/>
            </w:pPr>
            <w:r>
              <w:rPr>
                <w:rFonts w:cs="Calibri"/>
                <w:sz w:val="22"/>
                <w:szCs w:val="22"/>
              </w:rPr>
              <w:t>&gt;=20</w:t>
            </w:r>
            <w:r>
              <w:rPr>
                <w:rFonts w:cs="Calibri"/>
                <w:sz w:val="22"/>
                <w:szCs w:val="22"/>
                <w:lang w:val="en-US"/>
              </w:rPr>
              <w:t>cm</w:t>
            </w:r>
          </w:p>
        </w:tc>
        <w:tc>
          <w:tcPr>
            <w:tcW w:w="2629" w:type="dxa"/>
            <w:tcBorders>
              <w:left w:val="single" w:sz="4" w:space="0" w:color="000000"/>
              <w:bottom w:val="single" w:sz="4" w:space="0" w:color="000000"/>
              <w:right w:val="single" w:sz="4" w:space="0" w:color="000000"/>
            </w:tcBorders>
          </w:tcPr>
          <w:p>
            <w:pPr>
              <w:pStyle w:val="Style25"/>
              <w:widowControl w:val="false"/>
              <w:tabs>
                <w:tab w:val="clear" w:pos="720"/>
                <w:tab w:val="left" w:pos="-540" w:leader="none"/>
              </w:tabs>
              <w:snapToGrid w:val="false"/>
              <w:spacing w:before="0" w:after="240"/>
              <w:jc w:val="left"/>
              <w:rPr>
                <w:rFonts w:ascii="Calibri" w:hAnsi="Calibri" w:cs="Calibri"/>
                <w:sz w:val="22"/>
                <w:szCs w:val="22"/>
              </w:rPr>
            </w:pPr>
            <w:r>
              <w:rPr>
                <w:rFonts w:cs="Calibri"/>
                <w:sz w:val="22"/>
                <w:szCs w:val="22"/>
              </w:rPr>
            </w:r>
          </w:p>
        </w:tc>
      </w:tr>
      <w:tr>
        <w:trPr/>
        <w:tc>
          <w:tcPr>
            <w:tcW w:w="2434" w:type="dxa"/>
            <w:tcBorders>
              <w:left w:val="single" w:sz="4" w:space="0" w:color="000000"/>
              <w:bottom w:val="single" w:sz="4" w:space="0" w:color="000000"/>
            </w:tcBorders>
          </w:tcPr>
          <w:p>
            <w:pPr>
              <w:pStyle w:val="Normal"/>
              <w:widowControl w:val="false"/>
              <w:snapToGrid w:val="false"/>
              <w:spacing w:before="0" w:after="120"/>
              <w:rPr>
                <w:rFonts w:ascii="Calibri" w:hAnsi="Calibri" w:cs="Calibri"/>
                <w:sz w:val="22"/>
                <w:szCs w:val="22"/>
              </w:rPr>
            </w:pPr>
            <w:r>
              <w:rPr>
                <w:rFonts w:cs="Calibri"/>
                <w:sz w:val="22"/>
                <w:szCs w:val="22"/>
              </w:rPr>
              <w:t>Ορθοπεδικό</w:t>
            </w:r>
          </w:p>
        </w:tc>
        <w:tc>
          <w:tcPr>
            <w:tcW w:w="4353" w:type="dxa"/>
            <w:tcBorders>
              <w:left w:val="single" w:sz="4" w:space="0" w:color="000000"/>
              <w:bottom w:val="single" w:sz="4" w:space="0" w:color="000000"/>
            </w:tcBorders>
          </w:tcPr>
          <w:p>
            <w:pPr>
              <w:pStyle w:val="Normal"/>
              <w:widowControl w:val="false"/>
              <w:snapToGrid w:val="false"/>
              <w:spacing w:before="0" w:after="120"/>
              <w:rPr>
                <w:rFonts w:ascii="Calibri" w:hAnsi="Calibri" w:cs="Calibri"/>
                <w:sz w:val="22"/>
                <w:szCs w:val="22"/>
              </w:rPr>
            </w:pPr>
            <w:r>
              <w:rPr>
                <w:rFonts w:cs="Calibri"/>
                <w:sz w:val="22"/>
                <w:szCs w:val="22"/>
              </w:rPr>
              <w:t>Ναι</w:t>
            </w:r>
          </w:p>
        </w:tc>
        <w:tc>
          <w:tcPr>
            <w:tcW w:w="2629" w:type="dxa"/>
            <w:tcBorders>
              <w:left w:val="single" w:sz="4" w:space="0" w:color="000000"/>
              <w:bottom w:val="single" w:sz="4" w:space="0" w:color="000000"/>
              <w:right w:val="single" w:sz="4" w:space="0" w:color="000000"/>
            </w:tcBorders>
          </w:tcPr>
          <w:p>
            <w:pPr>
              <w:pStyle w:val="Style25"/>
              <w:widowControl w:val="false"/>
              <w:tabs>
                <w:tab w:val="clear" w:pos="720"/>
                <w:tab w:val="left" w:pos="-540" w:leader="none"/>
              </w:tabs>
              <w:snapToGrid w:val="false"/>
              <w:spacing w:before="0" w:after="240"/>
              <w:jc w:val="left"/>
              <w:rPr>
                <w:rFonts w:ascii="Calibri" w:hAnsi="Calibri" w:cs="Calibri"/>
                <w:sz w:val="22"/>
                <w:szCs w:val="22"/>
              </w:rPr>
            </w:pPr>
            <w:r>
              <w:rPr>
                <w:rFonts w:cs="Calibri"/>
                <w:sz w:val="22"/>
                <w:szCs w:val="22"/>
              </w:rPr>
            </w:r>
          </w:p>
        </w:tc>
      </w:tr>
      <w:tr>
        <w:trPr/>
        <w:tc>
          <w:tcPr>
            <w:tcW w:w="2434" w:type="dxa"/>
            <w:tcBorders>
              <w:left w:val="single" w:sz="4" w:space="0" w:color="000000"/>
              <w:bottom w:val="single" w:sz="4" w:space="0" w:color="000000"/>
            </w:tcBorders>
          </w:tcPr>
          <w:p>
            <w:pPr>
              <w:pStyle w:val="Normal"/>
              <w:widowControl w:val="false"/>
              <w:snapToGrid w:val="false"/>
              <w:spacing w:before="0" w:after="120"/>
              <w:rPr>
                <w:rFonts w:ascii="Calibri" w:hAnsi="Calibri" w:cs="Calibri"/>
                <w:sz w:val="22"/>
                <w:szCs w:val="22"/>
              </w:rPr>
            </w:pPr>
            <w:r>
              <w:rPr>
                <w:rFonts w:cs="Calibri"/>
                <w:sz w:val="22"/>
                <w:szCs w:val="22"/>
              </w:rPr>
              <w:t>Υλικό γεμίσματος</w:t>
            </w:r>
          </w:p>
        </w:tc>
        <w:tc>
          <w:tcPr>
            <w:tcW w:w="4353" w:type="dxa"/>
            <w:tcBorders>
              <w:left w:val="single" w:sz="4" w:space="0" w:color="000000"/>
              <w:bottom w:val="single" w:sz="4" w:space="0" w:color="000000"/>
            </w:tcBorders>
          </w:tcPr>
          <w:p>
            <w:pPr>
              <w:pStyle w:val="Normal"/>
              <w:widowControl w:val="false"/>
              <w:snapToGrid w:val="false"/>
              <w:spacing w:before="0" w:after="120"/>
              <w:rPr/>
            </w:pPr>
            <w:r>
              <w:rPr>
                <w:rFonts w:cs="Calibri"/>
                <w:sz w:val="22"/>
                <w:szCs w:val="22"/>
              </w:rPr>
              <w:t xml:space="preserve">Ελατήρια, βάτα, </w:t>
            </w:r>
            <w:r>
              <w:rPr>
                <w:rFonts w:cs="Calibri"/>
                <w:sz w:val="22"/>
                <w:szCs w:val="22"/>
                <w:lang w:val="en-US"/>
              </w:rPr>
              <w:t>foam</w:t>
            </w:r>
          </w:p>
        </w:tc>
        <w:tc>
          <w:tcPr>
            <w:tcW w:w="2629" w:type="dxa"/>
            <w:tcBorders>
              <w:left w:val="single" w:sz="4" w:space="0" w:color="000000"/>
              <w:bottom w:val="single" w:sz="4" w:space="0" w:color="000000"/>
              <w:right w:val="single" w:sz="4" w:space="0" w:color="000000"/>
            </w:tcBorders>
          </w:tcPr>
          <w:p>
            <w:pPr>
              <w:pStyle w:val="Style25"/>
              <w:widowControl w:val="false"/>
              <w:tabs>
                <w:tab w:val="clear" w:pos="720"/>
                <w:tab w:val="left" w:pos="-540" w:leader="none"/>
              </w:tabs>
              <w:snapToGrid w:val="false"/>
              <w:spacing w:before="0" w:after="240"/>
              <w:jc w:val="left"/>
              <w:rPr>
                <w:rFonts w:ascii="Calibri" w:hAnsi="Calibri" w:cs="Calibri"/>
                <w:sz w:val="22"/>
                <w:szCs w:val="22"/>
              </w:rPr>
            </w:pPr>
            <w:r>
              <w:rPr>
                <w:rFonts w:cs="Calibri"/>
                <w:sz w:val="22"/>
                <w:szCs w:val="22"/>
              </w:rPr>
            </w:r>
          </w:p>
        </w:tc>
      </w:tr>
      <w:tr>
        <w:trPr/>
        <w:tc>
          <w:tcPr>
            <w:tcW w:w="2434" w:type="dxa"/>
            <w:tcBorders>
              <w:left w:val="single" w:sz="4" w:space="0" w:color="000000"/>
              <w:bottom w:val="single" w:sz="4" w:space="0" w:color="000000"/>
            </w:tcBorders>
          </w:tcPr>
          <w:p>
            <w:pPr>
              <w:pStyle w:val="Normal"/>
              <w:widowControl w:val="false"/>
              <w:snapToGrid w:val="false"/>
              <w:spacing w:before="0" w:after="120"/>
              <w:rPr>
                <w:rFonts w:ascii="Calibri" w:hAnsi="Calibri" w:cs="Calibri"/>
                <w:sz w:val="22"/>
                <w:szCs w:val="22"/>
              </w:rPr>
            </w:pPr>
            <w:r>
              <w:rPr>
                <w:rFonts w:cs="Calibri"/>
                <w:sz w:val="22"/>
                <w:szCs w:val="22"/>
              </w:rPr>
              <w:t>Εγγύηση</w:t>
            </w:r>
          </w:p>
        </w:tc>
        <w:tc>
          <w:tcPr>
            <w:tcW w:w="4353" w:type="dxa"/>
            <w:tcBorders>
              <w:left w:val="single" w:sz="4" w:space="0" w:color="000000"/>
              <w:bottom w:val="single" w:sz="4" w:space="0" w:color="000000"/>
            </w:tcBorders>
          </w:tcPr>
          <w:p>
            <w:pPr>
              <w:pStyle w:val="Normal"/>
              <w:widowControl w:val="false"/>
              <w:snapToGrid w:val="false"/>
              <w:spacing w:before="0" w:after="120"/>
              <w:rPr>
                <w:rFonts w:ascii="Calibri" w:hAnsi="Calibri" w:cs="Calibri"/>
                <w:sz w:val="22"/>
                <w:szCs w:val="22"/>
              </w:rPr>
            </w:pPr>
            <w:r>
              <w:rPr>
                <w:rFonts w:cs="Calibri"/>
                <w:sz w:val="22"/>
                <w:szCs w:val="22"/>
              </w:rPr>
              <w:t>&gt;=2 έτη</w:t>
            </w:r>
          </w:p>
        </w:tc>
        <w:tc>
          <w:tcPr>
            <w:tcW w:w="2629" w:type="dxa"/>
            <w:tcBorders>
              <w:left w:val="single" w:sz="4" w:space="0" w:color="000000"/>
              <w:bottom w:val="single" w:sz="4" w:space="0" w:color="000000"/>
              <w:right w:val="single" w:sz="4" w:space="0" w:color="000000"/>
            </w:tcBorders>
          </w:tcPr>
          <w:p>
            <w:pPr>
              <w:pStyle w:val="Style25"/>
              <w:widowControl w:val="false"/>
              <w:tabs>
                <w:tab w:val="clear" w:pos="720"/>
                <w:tab w:val="left" w:pos="-540" w:leader="none"/>
              </w:tabs>
              <w:snapToGrid w:val="false"/>
              <w:spacing w:before="0" w:after="240"/>
              <w:jc w:val="left"/>
              <w:rPr>
                <w:rFonts w:ascii="Calibri" w:hAnsi="Calibri" w:cs="Calibri"/>
                <w:sz w:val="22"/>
                <w:szCs w:val="22"/>
              </w:rPr>
            </w:pPr>
            <w:r>
              <w:rPr>
                <w:rFonts w:cs="Calibri"/>
                <w:sz w:val="22"/>
                <w:szCs w:val="22"/>
              </w:rPr>
            </w:r>
          </w:p>
        </w:tc>
      </w:tr>
    </w:tbl>
    <w:p>
      <w:pPr>
        <w:pStyle w:val="Style41"/>
        <w:jc w:val="left"/>
        <w:rPr>
          <w:rFonts w:ascii="Calibri" w:hAnsi="Calibri" w:eastAsia="Times New Roman" w:cs="Calibri"/>
          <w:b/>
          <w:b/>
          <w:bCs/>
          <w:color w:val="auto"/>
          <w:kern w:val="0"/>
          <w:sz w:val="22"/>
          <w:szCs w:val="22"/>
          <w:lang w:val="en-GB" w:eastAsia="ar-SA" w:bidi="ar-SA"/>
        </w:rPr>
      </w:pPr>
      <w:r>
        <w:rPr>
          <w:rFonts w:eastAsia="Times New Roman" w:cs="Calibri" w:ascii="Calibri" w:hAnsi="Calibri"/>
          <w:b/>
          <w:bCs/>
          <w:color w:val="auto"/>
          <w:kern w:val="0"/>
          <w:sz w:val="22"/>
          <w:szCs w:val="22"/>
          <w:lang w:val="en-GB" w:eastAsia="ar-SA" w:bidi="ar-SA"/>
        </w:rPr>
        <w:t xml:space="preserve">      </w:t>
      </w:r>
    </w:p>
    <w:p>
      <w:pPr>
        <w:pStyle w:val="Style41"/>
        <w:jc w:val="left"/>
        <w:rPr>
          <w:rFonts w:ascii="Calibri" w:hAnsi="Calibri" w:eastAsia="Times New Roman" w:cs="Calibri"/>
          <w:b/>
          <w:b/>
          <w:bCs/>
          <w:color w:val="auto"/>
          <w:kern w:val="0"/>
          <w:sz w:val="22"/>
          <w:szCs w:val="22"/>
          <w:lang w:val="en-GB" w:eastAsia="ar-SA" w:bidi="ar-SA"/>
        </w:rPr>
      </w:pPr>
      <w:r>
        <w:rPr>
          <w:rFonts w:eastAsia="Times New Roman" w:cs="Calibri" w:ascii="Calibri" w:hAnsi="Calibri"/>
          <w:b/>
          <w:bCs/>
          <w:color w:val="auto"/>
          <w:kern w:val="0"/>
          <w:sz w:val="22"/>
          <w:szCs w:val="22"/>
          <w:lang w:val="en-GB" w:eastAsia="ar-SA" w:bidi="ar-SA"/>
        </w:rPr>
        <w:t xml:space="preserve">     </w:t>
      </w:r>
      <w:r>
        <w:rPr>
          <w:rFonts w:eastAsia="Times New Roman" w:cs="Calibri" w:ascii="Calibri" w:hAnsi="Calibri"/>
          <w:b/>
          <w:bCs/>
          <w:color w:val="auto"/>
          <w:kern w:val="0"/>
          <w:sz w:val="22"/>
          <w:szCs w:val="22"/>
          <w:lang w:val="en-GB" w:eastAsia="ar-SA" w:bidi="ar-SA"/>
        </w:rPr>
        <w:t>16. Μαξιλάρια ύπνου</w:t>
      </w:r>
    </w:p>
    <w:tbl>
      <w:tblPr>
        <w:tblW w:w="9416" w:type="dxa"/>
        <w:jc w:val="left"/>
        <w:tblInd w:w="-65" w:type="dxa"/>
        <w:tblLayout w:type="fixed"/>
        <w:tblCellMar>
          <w:top w:w="0" w:type="dxa"/>
          <w:left w:w="108" w:type="dxa"/>
          <w:bottom w:w="0" w:type="dxa"/>
          <w:right w:w="108" w:type="dxa"/>
        </w:tblCellMar>
      </w:tblPr>
      <w:tblGrid>
        <w:gridCol w:w="3352"/>
        <w:gridCol w:w="3322"/>
        <w:gridCol w:w="2742"/>
      </w:tblGrid>
      <w:tr>
        <w:trPr/>
        <w:tc>
          <w:tcPr>
            <w:tcW w:w="3352" w:type="dxa"/>
            <w:tcBorders>
              <w:top w:val="single" w:sz="4" w:space="0" w:color="000000"/>
              <w:left w:val="single" w:sz="4" w:space="0" w:color="000000"/>
              <w:bottom w:val="single" w:sz="4" w:space="0" w:color="000000"/>
            </w:tcBorders>
            <w:shd w:fill="F2F2F2" w:val="clear"/>
          </w:tcPr>
          <w:p>
            <w:pPr>
              <w:pStyle w:val="Style25"/>
              <w:widowControl w:val="false"/>
              <w:tabs>
                <w:tab w:val="clear" w:pos="720"/>
                <w:tab w:val="left" w:pos="-540" w:leader="none"/>
              </w:tabs>
              <w:spacing w:before="0" w:after="240"/>
              <w:jc w:val="left"/>
              <w:rPr>
                <w:rFonts w:ascii="Calibri" w:hAnsi="Calibri" w:eastAsia="Calibri" w:cs="Calibri"/>
                <w:b/>
                <w:b/>
                <w:sz w:val="22"/>
                <w:szCs w:val="22"/>
              </w:rPr>
            </w:pPr>
            <w:r>
              <w:rPr>
                <w:rFonts w:eastAsia="Calibri" w:cs="Calibri"/>
                <w:b/>
                <w:sz w:val="22"/>
                <w:szCs w:val="22"/>
              </w:rPr>
              <w:t>Χαρακτηριστικό</w:t>
            </w:r>
          </w:p>
        </w:tc>
        <w:tc>
          <w:tcPr>
            <w:tcW w:w="3322" w:type="dxa"/>
            <w:tcBorders>
              <w:top w:val="single" w:sz="4" w:space="0" w:color="000000"/>
              <w:left w:val="single" w:sz="4" w:space="0" w:color="000000"/>
              <w:bottom w:val="single" w:sz="4" w:space="0" w:color="000000"/>
            </w:tcBorders>
            <w:shd w:fill="F2F2F2" w:val="clear"/>
          </w:tcPr>
          <w:p>
            <w:pPr>
              <w:pStyle w:val="Style25"/>
              <w:widowControl w:val="false"/>
              <w:tabs>
                <w:tab w:val="clear" w:pos="720"/>
                <w:tab w:val="left" w:pos="-540" w:leader="none"/>
              </w:tabs>
              <w:spacing w:before="0" w:after="240"/>
              <w:jc w:val="left"/>
              <w:rPr>
                <w:rFonts w:ascii="Calibri" w:hAnsi="Calibri" w:eastAsia="Calibri" w:cs="Calibri"/>
                <w:b/>
                <w:b/>
                <w:sz w:val="22"/>
                <w:szCs w:val="22"/>
              </w:rPr>
            </w:pPr>
            <w:r>
              <w:rPr>
                <w:rFonts w:eastAsia="Calibri" w:cs="Calibri"/>
                <w:b/>
                <w:sz w:val="22"/>
                <w:szCs w:val="22"/>
              </w:rPr>
              <w:t>Απαίτηση</w:t>
            </w:r>
          </w:p>
        </w:tc>
        <w:tc>
          <w:tcPr>
            <w:tcW w:w="2742" w:type="dxa"/>
            <w:tcBorders>
              <w:top w:val="single" w:sz="4" w:space="0" w:color="000000"/>
              <w:left w:val="single" w:sz="4" w:space="0" w:color="000000"/>
              <w:bottom w:val="single" w:sz="4" w:space="0" w:color="000000"/>
              <w:right w:val="single" w:sz="4" w:space="0" w:color="000000"/>
            </w:tcBorders>
            <w:shd w:fill="F2F2F2" w:val="clear"/>
          </w:tcPr>
          <w:p>
            <w:pPr>
              <w:pStyle w:val="Style25"/>
              <w:widowControl w:val="false"/>
              <w:tabs>
                <w:tab w:val="clear" w:pos="720"/>
                <w:tab w:val="left" w:pos="-540" w:leader="none"/>
              </w:tabs>
              <w:spacing w:before="0" w:after="240"/>
              <w:jc w:val="left"/>
              <w:rPr>
                <w:rFonts w:ascii="Calibri" w:hAnsi="Calibri" w:eastAsia="Calibri" w:cs="Calibri"/>
                <w:b/>
                <w:b/>
                <w:sz w:val="22"/>
                <w:szCs w:val="22"/>
              </w:rPr>
            </w:pPr>
            <w:r>
              <w:rPr>
                <w:rFonts w:eastAsia="Calibri" w:cs="Calibri"/>
                <w:b/>
                <w:sz w:val="22"/>
                <w:szCs w:val="22"/>
              </w:rPr>
              <w:t>Παρατηρήσεις</w:t>
            </w:r>
          </w:p>
        </w:tc>
      </w:tr>
      <w:tr>
        <w:trPr/>
        <w:tc>
          <w:tcPr>
            <w:tcW w:w="3352" w:type="dxa"/>
            <w:tcBorders>
              <w:top w:val="single" w:sz="4" w:space="0" w:color="000000"/>
              <w:left w:val="single" w:sz="4" w:space="0" w:color="000000"/>
              <w:bottom w:val="single" w:sz="4" w:space="0" w:color="000000"/>
            </w:tcBorders>
          </w:tcPr>
          <w:p>
            <w:pPr>
              <w:pStyle w:val="Style25"/>
              <w:widowControl w:val="false"/>
              <w:tabs>
                <w:tab w:val="clear" w:pos="720"/>
                <w:tab w:val="left" w:pos="-540" w:leader="none"/>
              </w:tabs>
              <w:spacing w:before="0" w:after="240"/>
              <w:jc w:val="left"/>
              <w:rPr>
                <w:rFonts w:ascii="Calibri" w:hAnsi="Calibri" w:cs="Calibri"/>
                <w:sz w:val="22"/>
                <w:szCs w:val="22"/>
              </w:rPr>
            </w:pPr>
            <w:r>
              <w:rPr>
                <w:rFonts w:cs="Calibri"/>
                <w:sz w:val="22"/>
                <w:szCs w:val="22"/>
              </w:rPr>
              <w:t>Διαστάσεις</w:t>
            </w:r>
          </w:p>
        </w:tc>
        <w:tc>
          <w:tcPr>
            <w:tcW w:w="3322" w:type="dxa"/>
            <w:tcBorders>
              <w:top w:val="single" w:sz="4" w:space="0" w:color="000000"/>
              <w:left w:val="single" w:sz="4" w:space="0" w:color="000000"/>
              <w:bottom w:val="single" w:sz="4" w:space="0" w:color="000000"/>
            </w:tcBorders>
          </w:tcPr>
          <w:p>
            <w:pPr>
              <w:pStyle w:val="Style25"/>
              <w:widowControl w:val="false"/>
              <w:tabs>
                <w:tab w:val="clear" w:pos="720"/>
                <w:tab w:val="left" w:pos="-540" w:leader="none"/>
              </w:tabs>
              <w:spacing w:before="0" w:after="240"/>
              <w:jc w:val="left"/>
              <w:rPr/>
            </w:pPr>
            <w:r>
              <w:rPr>
                <w:rFonts w:cs="Calibri"/>
                <w:sz w:val="22"/>
                <w:szCs w:val="22"/>
              </w:rPr>
              <w:t>Τουλάχιστον 60</w:t>
            </w:r>
            <w:r>
              <w:rPr>
                <w:rFonts w:cs="Calibri"/>
                <w:sz w:val="22"/>
                <w:szCs w:val="22"/>
                <w:lang w:val="en-US"/>
              </w:rPr>
              <w:t>x40cm</w:t>
            </w:r>
          </w:p>
        </w:tc>
        <w:tc>
          <w:tcPr>
            <w:tcW w:w="2742" w:type="dxa"/>
            <w:tcBorders>
              <w:top w:val="single" w:sz="4" w:space="0" w:color="000000"/>
              <w:left w:val="single" w:sz="4" w:space="0" w:color="000000"/>
              <w:bottom w:val="single" w:sz="4" w:space="0" w:color="000000"/>
              <w:right w:val="single" w:sz="4" w:space="0" w:color="000000"/>
            </w:tcBorders>
          </w:tcPr>
          <w:p>
            <w:pPr>
              <w:pStyle w:val="Style25"/>
              <w:widowControl w:val="false"/>
              <w:tabs>
                <w:tab w:val="clear" w:pos="720"/>
                <w:tab w:val="left" w:pos="-540" w:leader="none"/>
              </w:tabs>
              <w:snapToGrid w:val="false"/>
              <w:spacing w:before="0" w:after="240"/>
              <w:jc w:val="left"/>
              <w:rPr>
                <w:rFonts w:ascii="Calibri" w:hAnsi="Calibri" w:cs="Calibri"/>
                <w:sz w:val="22"/>
                <w:szCs w:val="22"/>
              </w:rPr>
            </w:pPr>
            <w:r>
              <w:rPr>
                <w:rFonts w:cs="Calibri"/>
                <w:sz w:val="22"/>
                <w:szCs w:val="22"/>
              </w:rPr>
            </w:r>
          </w:p>
        </w:tc>
      </w:tr>
      <w:tr>
        <w:trPr/>
        <w:tc>
          <w:tcPr>
            <w:tcW w:w="3352" w:type="dxa"/>
            <w:tcBorders>
              <w:top w:val="single" w:sz="4" w:space="0" w:color="000000"/>
              <w:left w:val="single" w:sz="4" w:space="0" w:color="000000"/>
              <w:bottom w:val="single" w:sz="4" w:space="0" w:color="000000"/>
            </w:tcBorders>
          </w:tcPr>
          <w:p>
            <w:pPr>
              <w:pStyle w:val="Style25"/>
              <w:widowControl w:val="false"/>
              <w:tabs>
                <w:tab w:val="clear" w:pos="720"/>
                <w:tab w:val="left" w:pos="-540" w:leader="none"/>
              </w:tabs>
              <w:spacing w:before="0" w:after="240"/>
              <w:jc w:val="left"/>
              <w:rPr>
                <w:rFonts w:ascii="Calibri" w:hAnsi="Calibri" w:cs="Calibri"/>
                <w:sz w:val="22"/>
                <w:szCs w:val="22"/>
              </w:rPr>
            </w:pPr>
            <w:r>
              <w:rPr>
                <w:rFonts w:cs="Calibri"/>
                <w:sz w:val="22"/>
                <w:szCs w:val="22"/>
              </w:rPr>
              <w:t>Πάχος</w:t>
            </w:r>
          </w:p>
        </w:tc>
        <w:tc>
          <w:tcPr>
            <w:tcW w:w="3322" w:type="dxa"/>
            <w:tcBorders>
              <w:top w:val="single" w:sz="4" w:space="0" w:color="000000"/>
              <w:left w:val="single" w:sz="4" w:space="0" w:color="000000"/>
              <w:bottom w:val="single" w:sz="4" w:space="0" w:color="000000"/>
            </w:tcBorders>
          </w:tcPr>
          <w:p>
            <w:pPr>
              <w:pStyle w:val="Style25"/>
              <w:widowControl w:val="false"/>
              <w:tabs>
                <w:tab w:val="clear" w:pos="720"/>
                <w:tab w:val="left" w:pos="-540" w:leader="none"/>
              </w:tabs>
              <w:spacing w:before="0" w:after="240"/>
              <w:jc w:val="left"/>
              <w:rPr/>
            </w:pPr>
            <w:r>
              <w:rPr>
                <w:rFonts w:cs="Calibri"/>
                <w:sz w:val="22"/>
                <w:szCs w:val="22"/>
              </w:rPr>
              <w:t>Τουλάχιστον 12</w:t>
            </w:r>
            <w:r>
              <w:rPr>
                <w:rFonts w:cs="Calibri"/>
                <w:sz w:val="22"/>
                <w:szCs w:val="22"/>
                <w:lang w:val="en-US"/>
              </w:rPr>
              <w:t>cm</w:t>
            </w:r>
          </w:p>
        </w:tc>
        <w:tc>
          <w:tcPr>
            <w:tcW w:w="2742" w:type="dxa"/>
            <w:tcBorders>
              <w:top w:val="single" w:sz="4" w:space="0" w:color="000000"/>
              <w:left w:val="single" w:sz="4" w:space="0" w:color="000000"/>
              <w:bottom w:val="single" w:sz="4" w:space="0" w:color="000000"/>
              <w:right w:val="single" w:sz="4" w:space="0" w:color="000000"/>
            </w:tcBorders>
          </w:tcPr>
          <w:p>
            <w:pPr>
              <w:pStyle w:val="Style25"/>
              <w:widowControl w:val="false"/>
              <w:tabs>
                <w:tab w:val="clear" w:pos="720"/>
                <w:tab w:val="left" w:pos="-540" w:leader="none"/>
              </w:tabs>
              <w:snapToGrid w:val="false"/>
              <w:spacing w:before="0" w:after="240"/>
              <w:jc w:val="left"/>
              <w:rPr>
                <w:rFonts w:ascii="Calibri" w:hAnsi="Calibri" w:cs="Calibri"/>
                <w:sz w:val="22"/>
                <w:szCs w:val="22"/>
              </w:rPr>
            </w:pPr>
            <w:r>
              <w:rPr>
                <w:rFonts w:cs="Calibri"/>
                <w:sz w:val="22"/>
                <w:szCs w:val="22"/>
              </w:rPr>
            </w:r>
          </w:p>
        </w:tc>
      </w:tr>
      <w:tr>
        <w:trPr/>
        <w:tc>
          <w:tcPr>
            <w:tcW w:w="3352" w:type="dxa"/>
            <w:tcBorders>
              <w:top w:val="single" w:sz="4" w:space="0" w:color="000000"/>
              <w:left w:val="single" w:sz="4" w:space="0" w:color="000000"/>
              <w:bottom w:val="single" w:sz="4" w:space="0" w:color="000000"/>
            </w:tcBorders>
          </w:tcPr>
          <w:p>
            <w:pPr>
              <w:pStyle w:val="Style25"/>
              <w:widowControl w:val="false"/>
              <w:tabs>
                <w:tab w:val="clear" w:pos="720"/>
                <w:tab w:val="left" w:pos="-540" w:leader="none"/>
              </w:tabs>
              <w:spacing w:before="0" w:after="240"/>
              <w:jc w:val="left"/>
              <w:rPr>
                <w:rFonts w:ascii="Calibri" w:hAnsi="Calibri" w:cs="Calibri"/>
                <w:sz w:val="22"/>
                <w:szCs w:val="22"/>
              </w:rPr>
            </w:pPr>
            <w:r>
              <w:rPr>
                <w:rFonts w:cs="Calibri"/>
                <w:sz w:val="22"/>
                <w:szCs w:val="22"/>
              </w:rPr>
              <w:t>Εξωτερικό υλικό</w:t>
            </w:r>
          </w:p>
        </w:tc>
        <w:tc>
          <w:tcPr>
            <w:tcW w:w="3322" w:type="dxa"/>
            <w:tcBorders>
              <w:top w:val="single" w:sz="4" w:space="0" w:color="000000"/>
              <w:left w:val="single" w:sz="4" w:space="0" w:color="000000"/>
              <w:bottom w:val="single" w:sz="4" w:space="0" w:color="000000"/>
            </w:tcBorders>
          </w:tcPr>
          <w:p>
            <w:pPr>
              <w:pStyle w:val="Style25"/>
              <w:widowControl w:val="false"/>
              <w:tabs>
                <w:tab w:val="clear" w:pos="720"/>
                <w:tab w:val="left" w:pos="-540" w:leader="none"/>
              </w:tabs>
              <w:spacing w:before="0" w:after="240"/>
              <w:jc w:val="left"/>
              <w:rPr>
                <w:rFonts w:ascii="Calibri" w:hAnsi="Calibri" w:cs="Calibri"/>
                <w:sz w:val="22"/>
                <w:szCs w:val="22"/>
              </w:rPr>
            </w:pPr>
            <w:r>
              <w:rPr>
                <w:rFonts w:cs="Calibri"/>
                <w:sz w:val="22"/>
                <w:szCs w:val="22"/>
              </w:rPr>
              <w:t>Βαμβάκι</w:t>
            </w:r>
          </w:p>
        </w:tc>
        <w:tc>
          <w:tcPr>
            <w:tcW w:w="2742" w:type="dxa"/>
            <w:tcBorders>
              <w:top w:val="single" w:sz="4" w:space="0" w:color="000000"/>
              <w:left w:val="single" w:sz="4" w:space="0" w:color="000000"/>
              <w:bottom w:val="single" w:sz="4" w:space="0" w:color="000000"/>
              <w:right w:val="single" w:sz="4" w:space="0" w:color="000000"/>
            </w:tcBorders>
          </w:tcPr>
          <w:p>
            <w:pPr>
              <w:pStyle w:val="Style25"/>
              <w:widowControl w:val="false"/>
              <w:tabs>
                <w:tab w:val="clear" w:pos="720"/>
                <w:tab w:val="left" w:pos="-540" w:leader="none"/>
              </w:tabs>
              <w:snapToGrid w:val="false"/>
              <w:spacing w:before="0" w:after="240"/>
              <w:jc w:val="left"/>
              <w:rPr>
                <w:rFonts w:ascii="Calibri" w:hAnsi="Calibri" w:cs="Calibri"/>
                <w:sz w:val="22"/>
                <w:szCs w:val="22"/>
              </w:rPr>
            </w:pPr>
            <w:r>
              <w:rPr>
                <w:rFonts w:cs="Calibri"/>
                <w:sz w:val="22"/>
                <w:szCs w:val="22"/>
              </w:rPr>
            </w:r>
          </w:p>
        </w:tc>
      </w:tr>
      <w:tr>
        <w:trPr/>
        <w:tc>
          <w:tcPr>
            <w:tcW w:w="3352" w:type="dxa"/>
            <w:tcBorders>
              <w:top w:val="single" w:sz="4" w:space="0" w:color="000000"/>
              <w:left w:val="single" w:sz="4" w:space="0" w:color="000000"/>
              <w:bottom w:val="single" w:sz="4" w:space="0" w:color="000000"/>
            </w:tcBorders>
          </w:tcPr>
          <w:p>
            <w:pPr>
              <w:pStyle w:val="Style25"/>
              <w:widowControl w:val="false"/>
              <w:tabs>
                <w:tab w:val="clear" w:pos="720"/>
                <w:tab w:val="left" w:pos="-540" w:leader="none"/>
              </w:tabs>
              <w:spacing w:before="0" w:after="240"/>
              <w:jc w:val="left"/>
              <w:rPr>
                <w:rFonts w:ascii="Calibri" w:hAnsi="Calibri" w:cs="Calibri"/>
                <w:sz w:val="22"/>
                <w:szCs w:val="22"/>
              </w:rPr>
            </w:pPr>
            <w:r>
              <w:rPr>
                <w:rFonts w:cs="Calibri"/>
                <w:sz w:val="22"/>
                <w:szCs w:val="22"/>
              </w:rPr>
              <w:t>Εσωτερικό υλικό</w:t>
            </w:r>
          </w:p>
        </w:tc>
        <w:tc>
          <w:tcPr>
            <w:tcW w:w="3322" w:type="dxa"/>
            <w:tcBorders>
              <w:top w:val="single" w:sz="4" w:space="0" w:color="000000"/>
              <w:left w:val="single" w:sz="4" w:space="0" w:color="000000"/>
              <w:bottom w:val="single" w:sz="4" w:space="0" w:color="000000"/>
            </w:tcBorders>
          </w:tcPr>
          <w:p>
            <w:pPr>
              <w:pStyle w:val="Style25"/>
              <w:widowControl w:val="false"/>
              <w:tabs>
                <w:tab w:val="clear" w:pos="720"/>
                <w:tab w:val="left" w:pos="-540" w:leader="none"/>
              </w:tabs>
              <w:snapToGrid w:val="false"/>
              <w:spacing w:before="0" w:after="240"/>
              <w:jc w:val="left"/>
              <w:rPr>
                <w:rFonts w:ascii="Calibri" w:hAnsi="Calibri" w:cs="Calibri"/>
                <w:sz w:val="22"/>
                <w:szCs w:val="22"/>
                <w:lang w:val="en-US"/>
              </w:rPr>
            </w:pPr>
            <w:r>
              <w:rPr>
                <w:rFonts w:cs="Calibri"/>
                <w:sz w:val="22"/>
                <w:szCs w:val="22"/>
                <w:lang w:val="en-US"/>
              </w:rPr>
              <w:t>Memory foam</w:t>
            </w:r>
          </w:p>
        </w:tc>
        <w:tc>
          <w:tcPr>
            <w:tcW w:w="2742" w:type="dxa"/>
            <w:tcBorders>
              <w:top w:val="single" w:sz="4" w:space="0" w:color="000000"/>
              <w:left w:val="single" w:sz="4" w:space="0" w:color="000000"/>
              <w:bottom w:val="single" w:sz="4" w:space="0" w:color="000000"/>
              <w:right w:val="single" w:sz="4" w:space="0" w:color="000000"/>
            </w:tcBorders>
          </w:tcPr>
          <w:p>
            <w:pPr>
              <w:pStyle w:val="Style25"/>
              <w:widowControl w:val="false"/>
              <w:tabs>
                <w:tab w:val="clear" w:pos="720"/>
                <w:tab w:val="left" w:pos="-540" w:leader="none"/>
              </w:tabs>
              <w:snapToGrid w:val="false"/>
              <w:spacing w:before="0" w:after="240"/>
              <w:jc w:val="left"/>
              <w:rPr>
                <w:rFonts w:ascii="Calibri" w:hAnsi="Calibri" w:cs="Calibri"/>
                <w:sz w:val="22"/>
                <w:szCs w:val="22"/>
              </w:rPr>
            </w:pPr>
            <w:r>
              <w:rPr>
                <w:rFonts w:cs="Calibri"/>
                <w:sz w:val="22"/>
                <w:szCs w:val="22"/>
              </w:rPr>
            </w:r>
          </w:p>
        </w:tc>
      </w:tr>
    </w:tbl>
    <w:p>
      <w:pPr>
        <w:pStyle w:val="Normal"/>
        <w:tabs>
          <w:tab w:val="clear" w:pos="720"/>
          <w:tab w:val="left" w:pos="4800" w:leader="none"/>
        </w:tabs>
        <w:rPr>
          <w:rFonts w:ascii="Calibri" w:hAnsi="Calibri" w:cs="Calibri"/>
          <w:sz w:val="22"/>
          <w:szCs w:val="22"/>
        </w:rPr>
      </w:pPr>
      <w:r>
        <w:rPr>
          <w:rFonts w:cs="Calibri"/>
          <w:sz w:val="22"/>
          <w:szCs w:val="22"/>
        </w:rPr>
      </w:r>
    </w:p>
    <w:p>
      <w:pPr>
        <w:pStyle w:val="Normal"/>
        <w:tabs>
          <w:tab w:val="clear" w:pos="720"/>
          <w:tab w:val="left" w:pos="4800" w:leader="none"/>
        </w:tabs>
        <w:ind w:left="1077" w:hanging="0"/>
        <w:rPr>
          <w:rFonts w:ascii="Calibri" w:hAnsi="Calibri" w:cs="Calibri"/>
          <w:b/>
          <w:b/>
          <w:bCs/>
          <w:sz w:val="22"/>
          <w:szCs w:val="22"/>
        </w:rPr>
      </w:pPr>
      <w:r>
        <w:rPr>
          <w:rFonts w:cs="Calibri"/>
          <w:b/>
          <w:bCs/>
          <w:sz w:val="22"/>
          <w:szCs w:val="22"/>
        </w:rPr>
        <w:t>17. Κομοδίνο</w:t>
      </w:r>
    </w:p>
    <w:tbl>
      <w:tblPr>
        <w:tblW w:w="9416" w:type="dxa"/>
        <w:jc w:val="left"/>
        <w:tblInd w:w="-65" w:type="dxa"/>
        <w:tblLayout w:type="fixed"/>
        <w:tblCellMar>
          <w:top w:w="0" w:type="dxa"/>
          <w:left w:w="108" w:type="dxa"/>
          <w:bottom w:w="0" w:type="dxa"/>
          <w:right w:w="108" w:type="dxa"/>
        </w:tblCellMar>
      </w:tblPr>
      <w:tblGrid>
        <w:gridCol w:w="2434"/>
        <w:gridCol w:w="4353"/>
        <w:gridCol w:w="2629"/>
      </w:tblGrid>
      <w:tr>
        <w:trPr/>
        <w:tc>
          <w:tcPr>
            <w:tcW w:w="2434" w:type="dxa"/>
            <w:tcBorders>
              <w:top w:val="single" w:sz="4" w:space="0" w:color="000000"/>
              <w:left w:val="single" w:sz="4" w:space="0" w:color="000000"/>
              <w:bottom w:val="single" w:sz="4" w:space="0" w:color="000000"/>
            </w:tcBorders>
            <w:shd w:fill="F2F2F2" w:val="clear"/>
          </w:tcPr>
          <w:p>
            <w:pPr>
              <w:pStyle w:val="Style25"/>
              <w:widowControl w:val="false"/>
              <w:tabs>
                <w:tab w:val="clear" w:pos="720"/>
                <w:tab w:val="left" w:pos="-540" w:leader="none"/>
              </w:tabs>
              <w:spacing w:before="0" w:after="240"/>
              <w:jc w:val="left"/>
              <w:rPr>
                <w:rFonts w:ascii="Calibri" w:hAnsi="Calibri" w:cs="Calibri"/>
                <w:b/>
                <w:b/>
                <w:sz w:val="22"/>
                <w:szCs w:val="22"/>
              </w:rPr>
            </w:pPr>
            <w:r>
              <w:rPr>
                <w:rFonts w:cs="Calibri"/>
                <w:b/>
                <w:sz w:val="22"/>
                <w:szCs w:val="22"/>
              </w:rPr>
              <w:t>Χαρακτηριστικό</w:t>
            </w:r>
          </w:p>
        </w:tc>
        <w:tc>
          <w:tcPr>
            <w:tcW w:w="4353" w:type="dxa"/>
            <w:tcBorders>
              <w:top w:val="single" w:sz="4" w:space="0" w:color="000000"/>
              <w:left w:val="single" w:sz="4" w:space="0" w:color="000000"/>
              <w:bottom w:val="single" w:sz="4" w:space="0" w:color="000000"/>
            </w:tcBorders>
            <w:shd w:fill="F2F2F2" w:val="clear"/>
          </w:tcPr>
          <w:p>
            <w:pPr>
              <w:pStyle w:val="Style25"/>
              <w:widowControl w:val="false"/>
              <w:tabs>
                <w:tab w:val="clear" w:pos="720"/>
                <w:tab w:val="left" w:pos="-540" w:leader="none"/>
              </w:tabs>
              <w:spacing w:before="0" w:after="240"/>
              <w:jc w:val="left"/>
              <w:rPr>
                <w:rFonts w:ascii="Calibri" w:hAnsi="Calibri" w:cs="Calibri"/>
                <w:b/>
                <w:b/>
                <w:sz w:val="22"/>
                <w:szCs w:val="22"/>
              </w:rPr>
            </w:pPr>
            <w:r>
              <w:rPr>
                <w:rFonts w:cs="Calibri"/>
                <w:b/>
                <w:sz w:val="22"/>
                <w:szCs w:val="22"/>
              </w:rPr>
              <w:t>Απαίτηση</w:t>
            </w:r>
          </w:p>
        </w:tc>
        <w:tc>
          <w:tcPr>
            <w:tcW w:w="2629" w:type="dxa"/>
            <w:tcBorders>
              <w:top w:val="single" w:sz="4" w:space="0" w:color="000000"/>
              <w:left w:val="single" w:sz="4" w:space="0" w:color="000000"/>
              <w:bottom w:val="single" w:sz="4" w:space="0" w:color="000000"/>
              <w:right w:val="single" w:sz="4" w:space="0" w:color="000000"/>
            </w:tcBorders>
            <w:shd w:fill="F2F2F2" w:val="clear"/>
          </w:tcPr>
          <w:p>
            <w:pPr>
              <w:pStyle w:val="Style25"/>
              <w:widowControl w:val="false"/>
              <w:tabs>
                <w:tab w:val="clear" w:pos="720"/>
                <w:tab w:val="left" w:pos="-540" w:leader="none"/>
              </w:tabs>
              <w:spacing w:before="0" w:after="240"/>
              <w:jc w:val="left"/>
              <w:rPr>
                <w:rFonts w:ascii="Calibri" w:hAnsi="Calibri" w:cs="Calibri"/>
                <w:b/>
                <w:b/>
                <w:sz w:val="22"/>
                <w:szCs w:val="22"/>
              </w:rPr>
            </w:pPr>
            <w:r>
              <w:rPr>
                <w:rFonts w:cs="Calibri"/>
                <w:b/>
                <w:sz w:val="22"/>
                <w:szCs w:val="22"/>
              </w:rPr>
              <w:t>Παρατηρήσεις</w:t>
            </w:r>
          </w:p>
        </w:tc>
      </w:tr>
      <w:tr>
        <w:trPr/>
        <w:tc>
          <w:tcPr>
            <w:tcW w:w="2434" w:type="dxa"/>
            <w:tcBorders>
              <w:top w:val="single" w:sz="4" w:space="0" w:color="000000"/>
              <w:left w:val="single" w:sz="4" w:space="0" w:color="000000"/>
              <w:bottom w:val="single" w:sz="4" w:space="0" w:color="000000"/>
            </w:tcBorders>
          </w:tcPr>
          <w:p>
            <w:pPr>
              <w:pStyle w:val="Normal"/>
              <w:widowControl w:val="false"/>
              <w:snapToGrid w:val="false"/>
              <w:spacing w:before="0" w:after="120"/>
              <w:rPr>
                <w:rFonts w:ascii="Calibri" w:hAnsi="Calibri" w:cs="Calibri"/>
                <w:sz w:val="22"/>
                <w:szCs w:val="22"/>
              </w:rPr>
            </w:pPr>
            <w:r>
              <w:rPr>
                <w:rFonts w:cs="Calibri"/>
                <w:sz w:val="22"/>
                <w:szCs w:val="22"/>
              </w:rPr>
              <w:t>Μήκος</w:t>
            </w:r>
          </w:p>
        </w:tc>
        <w:tc>
          <w:tcPr>
            <w:tcW w:w="4353" w:type="dxa"/>
            <w:tcBorders>
              <w:top w:val="single" w:sz="4" w:space="0" w:color="000000"/>
              <w:left w:val="single" w:sz="4" w:space="0" w:color="000000"/>
              <w:bottom w:val="single" w:sz="4" w:space="0" w:color="000000"/>
            </w:tcBorders>
          </w:tcPr>
          <w:p>
            <w:pPr>
              <w:pStyle w:val="Normal"/>
              <w:widowControl w:val="false"/>
              <w:snapToGrid w:val="false"/>
              <w:spacing w:before="0" w:after="120"/>
              <w:rPr/>
            </w:pPr>
            <w:r>
              <w:rPr>
                <w:rFonts w:cs="Calibri"/>
                <w:sz w:val="22"/>
                <w:szCs w:val="22"/>
              </w:rPr>
              <w:t xml:space="preserve">Έως 50 </w:t>
            </w:r>
            <w:r>
              <w:rPr>
                <w:rFonts w:cs="Calibri"/>
                <w:sz w:val="22"/>
                <w:szCs w:val="22"/>
                <w:lang w:val="en-US"/>
              </w:rPr>
              <w:t>cm</w:t>
            </w:r>
          </w:p>
        </w:tc>
        <w:tc>
          <w:tcPr>
            <w:tcW w:w="2629" w:type="dxa"/>
            <w:tcBorders>
              <w:top w:val="single" w:sz="4" w:space="0" w:color="000000"/>
              <w:left w:val="single" w:sz="4" w:space="0" w:color="000000"/>
              <w:bottom w:val="single" w:sz="4" w:space="0" w:color="000000"/>
              <w:right w:val="single" w:sz="4" w:space="0" w:color="000000"/>
            </w:tcBorders>
          </w:tcPr>
          <w:p>
            <w:pPr>
              <w:pStyle w:val="Style25"/>
              <w:widowControl w:val="false"/>
              <w:tabs>
                <w:tab w:val="clear" w:pos="720"/>
                <w:tab w:val="left" w:pos="-540" w:leader="none"/>
              </w:tabs>
              <w:snapToGrid w:val="false"/>
              <w:spacing w:before="0" w:after="240"/>
              <w:jc w:val="left"/>
              <w:rPr>
                <w:rFonts w:ascii="Calibri" w:hAnsi="Calibri" w:cs="Calibri"/>
                <w:sz w:val="22"/>
                <w:szCs w:val="22"/>
              </w:rPr>
            </w:pPr>
            <w:r>
              <w:rPr>
                <w:rFonts w:cs="Calibri"/>
                <w:sz w:val="22"/>
                <w:szCs w:val="22"/>
              </w:rPr>
            </w:r>
          </w:p>
        </w:tc>
      </w:tr>
      <w:tr>
        <w:trPr/>
        <w:tc>
          <w:tcPr>
            <w:tcW w:w="2434" w:type="dxa"/>
            <w:tcBorders>
              <w:left w:val="single" w:sz="4" w:space="0" w:color="000000"/>
              <w:bottom w:val="single" w:sz="4" w:space="0" w:color="000000"/>
            </w:tcBorders>
          </w:tcPr>
          <w:p>
            <w:pPr>
              <w:pStyle w:val="Normal"/>
              <w:widowControl w:val="false"/>
              <w:snapToGrid w:val="false"/>
              <w:spacing w:before="0" w:after="120"/>
              <w:rPr>
                <w:rFonts w:ascii="Calibri" w:hAnsi="Calibri" w:cs="Calibri"/>
                <w:sz w:val="22"/>
                <w:szCs w:val="22"/>
              </w:rPr>
            </w:pPr>
            <w:r>
              <w:rPr>
                <w:rFonts w:cs="Calibri"/>
                <w:sz w:val="22"/>
                <w:szCs w:val="22"/>
              </w:rPr>
              <w:t>Αριθμός συρταριών</w:t>
            </w:r>
          </w:p>
        </w:tc>
        <w:tc>
          <w:tcPr>
            <w:tcW w:w="4353" w:type="dxa"/>
            <w:tcBorders>
              <w:left w:val="single" w:sz="4" w:space="0" w:color="000000"/>
              <w:bottom w:val="single" w:sz="4" w:space="0" w:color="000000"/>
            </w:tcBorders>
          </w:tcPr>
          <w:p>
            <w:pPr>
              <w:pStyle w:val="Normal"/>
              <w:widowControl w:val="false"/>
              <w:snapToGrid w:val="false"/>
              <w:spacing w:before="0" w:after="120"/>
              <w:rPr>
                <w:rFonts w:ascii="Calibri" w:hAnsi="Calibri" w:cs="Calibri"/>
                <w:sz w:val="22"/>
                <w:szCs w:val="22"/>
              </w:rPr>
            </w:pPr>
            <w:r>
              <w:rPr>
                <w:rFonts w:cs="Calibri"/>
                <w:sz w:val="22"/>
                <w:szCs w:val="22"/>
              </w:rPr>
              <w:t>Τουλάχιστον 2</w:t>
            </w:r>
          </w:p>
        </w:tc>
        <w:tc>
          <w:tcPr>
            <w:tcW w:w="2629" w:type="dxa"/>
            <w:tcBorders>
              <w:left w:val="single" w:sz="4" w:space="0" w:color="000000"/>
              <w:bottom w:val="single" w:sz="4" w:space="0" w:color="000000"/>
              <w:right w:val="single" w:sz="4" w:space="0" w:color="000000"/>
            </w:tcBorders>
          </w:tcPr>
          <w:p>
            <w:pPr>
              <w:pStyle w:val="Style25"/>
              <w:widowControl w:val="false"/>
              <w:tabs>
                <w:tab w:val="clear" w:pos="720"/>
                <w:tab w:val="left" w:pos="-540" w:leader="none"/>
              </w:tabs>
              <w:snapToGrid w:val="false"/>
              <w:spacing w:before="0" w:after="240"/>
              <w:jc w:val="left"/>
              <w:rPr>
                <w:rFonts w:ascii="Calibri" w:hAnsi="Calibri" w:cs="Calibri"/>
                <w:sz w:val="22"/>
                <w:szCs w:val="22"/>
              </w:rPr>
            </w:pPr>
            <w:r>
              <w:rPr>
                <w:rFonts w:cs="Calibri"/>
                <w:sz w:val="22"/>
                <w:szCs w:val="22"/>
              </w:rPr>
            </w:r>
          </w:p>
        </w:tc>
      </w:tr>
      <w:tr>
        <w:trPr/>
        <w:tc>
          <w:tcPr>
            <w:tcW w:w="2434" w:type="dxa"/>
            <w:tcBorders>
              <w:left w:val="single" w:sz="4" w:space="0" w:color="000000"/>
              <w:bottom w:val="single" w:sz="4" w:space="0" w:color="000000"/>
            </w:tcBorders>
          </w:tcPr>
          <w:p>
            <w:pPr>
              <w:pStyle w:val="Normal"/>
              <w:widowControl w:val="false"/>
              <w:snapToGrid w:val="false"/>
              <w:spacing w:before="0" w:after="120"/>
              <w:rPr>
                <w:rFonts w:ascii="Calibri" w:hAnsi="Calibri" w:cs="Calibri"/>
                <w:sz w:val="22"/>
                <w:szCs w:val="22"/>
              </w:rPr>
            </w:pPr>
            <w:r>
              <w:rPr>
                <w:rFonts w:cs="Calibri"/>
                <w:sz w:val="22"/>
                <w:szCs w:val="22"/>
              </w:rPr>
              <w:t>Υλικό</w:t>
            </w:r>
          </w:p>
        </w:tc>
        <w:tc>
          <w:tcPr>
            <w:tcW w:w="4353" w:type="dxa"/>
            <w:tcBorders>
              <w:left w:val="single" w:sz="4" w:space="0" w:color="000000"/>
              <w:bottom w:val="single" w:sz="4" w:space="0" w:color="000000"/>
            </w:tcBorders>
          </w:tcPr>
          <w:p>
            <w:pPr>
              <w:pStyle w:val="Normal"/>
              <w:widowControl w:val="false"/>
              <w:snapToGrid w:val="false"/>
              <w:spacing w:before="0" w:after="120"/>
              <w:rPr/>
            </w:pPr>
            <w:r>
              <w:rPr>
                <w:rFonts w:cs="Calibri"/>
                <w:sz w:val="22"/>
                <w:szCs w:val="22"/>
              </w:rPr>
              <w:t xml:space="preserve">Ξύλο ή μελαμίνη ή </w:t>
            </w:r>
            <w:r>
              <w:rPr>
                <w:rFonts w:cs="Calibri"/>
                <w:sz w:val="22"/>
                <w:szCs w:val="22"/>
                <w:lang w:val="en-US"/>
              </w:rPr>
              <w:t>MDF</w:t>
            </w:r>
          </w:p>
        </w:tc>
        <w:tc>
          <w:tcPr>
            <w:tcW w:w="2629" w:type="dxa"/>
            <w:tcBorders>
              <w:left w:val="single" w:sz="4" w:space="0" w:color="000000"/>
              <w:bottom w:val="single" w:sz="4" w:space="0" w:color="000000"/>
              <w:right w:val="single" w:sz="4" w:space="0" w:color="000000"/>
            </w:tcBorders>
          </w:tcPr>
          <w:p>
            <w:pPr>
              <w:pStyle w:val="Style25"/>
              <w:widowControl w:val="false"/>
              <w:tabs>
                <w:tab w:val="clear" w:pos="720"/>
                <w:tab w:val="left" w:pos="-540" w:leader="none"/>
              </w:tabs>
              <w:snapToGrid w:val="false"/>
              <w:spacing w:before="0" w:after="240"/>
              <w:jc w:val="left"/>
              <w:rPr>
                <w:rFonts w:ascii="Calibri" w:hAnsi="Calibri" w:cs="Calibri"/>
                <w:sz w:val="22"/>
                <w:szCs w:val="22"/>
              </w:rPr>
            </w:pPr>
            <w:r>
              <w:rPr>
                <w:rFonts w:cs="Calibri"/>
                <w:sz w:val="22"/>
                <w:szCs w:val="22"/>
              </w:rPr>
            </w:r>
          </w:p>
        </w:tc>
      </w:tr>
      <w:tr>
        <w:trPr/>
        <w:tc>
          <w:tcPr>
            <w:tcW w:w="2434" w:type="dxa"/>
            <w:tcBorders>
              <w:left w:val="single" w:sz="4" w:space="0" w:color="000000"/>
              <w:bottom w:val="single" w:sz="4" w:space="0" w:color="000000"/>
            </w:tcBorders>
          </w:tcPr>
          <w:p>
            <w:pPr>
              <w:pStyle w:val="Normal"/>
              <w:widowControl w:val="false"/>
              <w:snapToGrid w:val="false"/>
              <w:spacing w:before="0" w:after="120"/>
              <w:rPr>
                <w:rFonts w:ascii="Calibri" w:hAnsi="Calibri" w:cs="Calibri"/>
                <w:sz w:val="22"/>
                <w:szCs w:val="22"/>
              </w:rPr>
            </w:pPr>
            <w:r>
              <w:rPr>
                <w:rFonts w:cs="Calibri"/>
                <w:sz w:val="22"/>
                <w:szCs w:val="22"/>
              </w:rPr>
              <w:t>Χρώμα</w:t>
            </w:r>
          </w:p>
        </w:tc>
        <w:tc>
          <w:tcPr>
            <w:tcW w:w="4353" w:type="dxa"/>
            <w:tcBorders>
              <w:left w:val="single" w:sz="4" w:space="0" w:color="000000"/>
              <w:bottom w:val="single" w:sz="4" w:space="0" w:color="000000"/>
            </w:tcBorders>
          </w:tcPr>
          <w:p>
            <w:pPr>
              <w:pStyle w:val="Normal"/>
              <w:widowControl w:val="false"/>
              <w:snapToGrid w:val="false"/>
              <w:spacing w:before="0" w:after="120"/>
              <w:rPr>
                <w:rFonts w:ascii="Calibri" w:hAnsi="Calibri" w:cs="Calibri"/>
                <w:sz w:val="22"/>
                <w:szCs w:val="22"/>
              </w:rPr>
            </w:pPr>
            <w:r>
              <w:rPr>
                <w:rFonts w:cs="Calibri"/>
                <w:sz w:val="22"/>
                <w:szCs w:val="22"/>
              </w:rPr>
              <w:t>Αποχρώσεις του μπεζ ή του καφέ</w:t>
            </w:r>
          </w:p>
        </w:tc>
        <w:tc>
          <w:tcPr>
            <w:tcW w:w="2629" w:type="dxa"/>
            <w:tcBorders>
              <w:left w:val="single" w:sz="4" w:space="0" w:color="000000"/>
              <w:bottom w:val="single" w:sz="4" w:space="0" w:color="000000"/>
              <w:right w:val="single" w:sz="4" w:space="0" w:color="000000"/>
            </w:tcBorders>
          </w:tcPr>
          <w:p>
            <w:pPr>
              <w:pStyle w:val="Style25"/>
              <w:widowControl w:val="false"/>
              <w:tabs>
                <w:tab w:val="clear" w:pos="720"/>
                <w:tab w:val="left" w:pos="-540" w:leader="none"/>
              </w:tabs>
              <w:snapToGrid w:val="false"/>
              <w:spacing w:before="0" w:after="240"/>
              <w:jc w:val="left"/>
              <w:rPr>
                <w:rFonts w:ascii="Calibri" w:hAnsi="Calibri" w:cs="Calibri"/>
                <w:sz w:val="22"/>
                <w:szCs w:val="22"/>
              </w:rPr>
            </w:pPr>
            <w:r>
              <w:rPr>
                <w:rFonts w:cs="Calibri"/>
                <w:sz w:val="22"/>
                <w:szCs w:val="22"/>
              </w:rPr>
            </w:r>
          </w:p>
        </w:tc>
      </w:tr>
    </w:tbl>
    <w:p>
      <w:pPr>
        <w:pStyle w:val="Normal"/>
        <w:tabs>
          <w:tab w:val="clear" w:pos="720"/>
          <w:tab w:val="left" w:pos="4095" w:leader="none"/>
        </w:tabs>
        <w:rPr>
          <w:rFonts w:ascii="Calibri" w:hAnsi="Calibri" w:cs="Calibri"/>
          <w:sz w:val="22"/>
          <w:szCs w:val="22"/>
        </w:rPr>
      </w:pPr>
      <w:r>
        <w:rPr>
          <w:rFonts w:cs="Calibri"/>
          <w:sz w:val="22"/>
          <w:szCs w:val="22"/>
        </w:rPr>
      </w:r>
    </w:p>
    <w:p>
      <w:pPr>
        <w:pStyle w:val="Normal"/>
        <w:tabs>
          <w:tab w:val="clear" w:pos="720"/>
          <w:tab w:val="left" w:pos="4800" w:leader="none"/>
        </w:tabs>
        <w:ind w:left="1077" w:hanging="0"/>
        <w:rPr>
          <w:rFonts w:ascii="Calibri" w:hAnsi="Calibri" w:cs="Calibri"/>
          <w:b/>
          <w:b/>
          <w:bCs/>
          <w:sz w:val="22"/>
          <w:szCs w:val="22"/>
        </w:rPr>
      </w:pPr>
      <w:r>
        <w:rPr>
          <w:rFonts w:cs="Calibri"/>
          <w:b/>
          <w:bCs/>
          <w:sz w:val="22"/>
          <w:szCs w:val="22"/>
        </w:rPr>
        <w:t>18. Τριθέσιος καναπές - κρεβάτι</w:t>
      </w:r>
    </w:p>
    <w:tbl>
      <w:tblPr>
        <w:tblW w:w="9416" w:type="dxa"/>
        <w:jc w:val="left"/>
        <w:tblInd w:w="-65" w:type="dxa"/>
        <w:tblLayout w:type="fixed"/>
        <w:tblCellMar>
          <w:top w:w="0" w:type="dxa"/>
          <w:left w:w="108" w:type="dxa"/>
          <w:bottom w:w="0" w:type="dxa"/>
          <w:right w:w="108" w:type="dxa"/>
        </w:tblCellMar>
      </w:tblPr>
      <w:tblGrid>
        <w:gridCol w:w="2434"/>
        <w:gridCol w:w="4353"/>
        <w:gridCol w:w="2629"/>
      </w:tblGrid>
      <w:tr>
        <w:trPr/>
        <w:tc>
          <w:tcPr>
            <w:tcW w:w="2434" w:type="dxa"/>
            <w:tcBorders>
              <w:top w:val="single" w:sz="4" w:space="0" w:color="000000"/>
              <w:left w:val="single" w:sz="4" w:space="0" w:color="000000"/>
              <w:bottom w:val="single" w:sz="4" w:space="0" w:color="000000"/>
            </w:tcBorders>
            <w:shd w:fill="F2F2F2" w:val="clear"/>
          </w:tcPr>
          <w:p>
            <w:pPr>
              <w:pStyle w:val="Style25"/>
              <w:widowControl w:val="false"/>
              <w:tabs>
                <w:tab w:val="clear" w:pos="720"/>
                <w:tab w:val="left" w:pos="-540" w:leader="none"/>
              </w:tabs>
              <w:spacing w:before="0" w:after="240"/>
              <w:jc w:val="left"/>
              <w:rPr>
                <w:rFonts w:ascii="Calibri" w:hAnsi="Calibri" w:cs="Calibri"/>
                <w:b/>
                <w:b/>
                <w:sz w:val="22"/>
                <w:szCs w:val="22"/>
              </w:rPr>
            </w:pPr>
            <w:r>
              <w:rPr>
                <w:rFonts w:cs="Calibri"/>
                <w:b/>
                <w:sz w:val="22"/>
                <w:szCs w:val="22"/>
              </w:rPr>
              <w:t>Χαρακτηριστικό</w:t>
            </w:r>
          </w:p>
        </w:tc>
        <w:tc>
          <w:tcPr>
            <w:tcW w:w="4353" w:type="dxa"/>
            <w:tcBorders>
              <w:top w:val="single" w:sz="4" w:space="0" w:color="000000"/>
              <w:left w:val="single" w:sz="4" w:space="0" w:color="000000"/>
              <w:bottom w:val="single" w:sz="4" w:space="0" w:color="000000"/>
            </w:tcBorders>
            <w:shd w:fill="F2F2F2" w:val="clear"/>
          </w:tcPr>
          <w:p>
            <w:pPr>
              <w:pStyle w:val="Style25"/>
              <w:widowControl w:val="false"/>
              <w:tabs>
                <w:tab w:val="clear" w:pos="720"/>
                <w:tab w:val="left" w:pos="-540" w:leader="none"/>
              </w:tabs>
              <w:spacing w:before="0" w:after="240"/>
              <w:jc w:val="left"/>
              <w:rPr>
                <w:rFonts w:ascii="Calibri" w:hAnsi="Calibri" w:cs="Calibri"/>
                <w:b/>
                <w:b/>
                <w:sz w:val="22"/>
                <w:szCs w:val="22"/>
              </w:rPr>
            </w:pPr>
            <w:r>
              <w:rPr>
                <w:rFonts w:cs="Calibri"/>
                <w:b/>
                <w:sz w:val="22"/>
                <w:szCs w:val="22"/>
              </w:rPr>
              <w:t>Απαίτηση</w:t>
            </w:r>
          </w:p>
        </w:tc>
        <w:tc>
          <w:tcPr>
            <w:tcW w:w="2629" w:type="dxa"/>
            <w:tcBorders>
              <w:top w:val="single" w:sz="4" w:space="0" w:color="000000"/>
              <w:left w:val="single" w:sz="4" w:space="0" w:color="000000"/>
              <w:bottom w:val="single" w:sz="4" w:space="0" w:color="000000"/>
              <w:right w:val="single" w:sz="4" w:space="0" w:color="000000"/>
            </w:tcBorders>
            <w:shd w:fill="F2F2F2" w:val="clear"/>
          </w:tcPr>
          <w:p>
            <w:pPr>
              <w:pStyle w:val="Style25"/>
              <w:widowControl w:val="false"/>
              <w:tabs>
                <w:tab w:val="clear" w:pos="720"/>
                <w:tab w:val="left" w:pos="-540" w:leader="none"/>
              </w:tabs>
              <w:spacing w:before="0" w:after="240"/>
              <w:jc w:val="left"/>
              <w:rPr>
                <w:rFonts w:ascii="Calibri" w:hAnsi="Calibri" w:cs="Calibri"/>
                <w:b/>
                <w:b/>
                <w:sz w:val="22"/>
                <w:szCs w:val="22"/>
              </w:rPr>
            </w:pPr>
            <w:r>
              <w:rPr>
                <w:rFonts w:cs="Calibri"/>
                <w:b/>
                <w:sz w:val="22"/>
                <w:szCs w:val="22"/>
              </w:rPr>
              <w:t>Παρατηρήσεις</w:t>
            </w:r>
          </w:p>
        </w:tc>
      </w:tr>
      <w:tr>
        <w:trPr/>
        <w:tc>
          <w:tcPr>
            <w:tcW w:w="2434" w:type="dxa"/>
            <w:tcBorders>
              <w:top w:val="single" w:sz="4" w:space="0" w:color="000000"/>
              <w:left w:val="single" w:sz="4" w:space="0" w:color="000000"/>
              <w:bottom w:val="single" w:sz="4" w:space="0" w:color="000000"/>
            </w:tcBorders>
          </w:tcPr>
          <w:p>
            <w:pPr>
              <w:pStyle w:val="Normal"/>
              <w:widowControl w:val="false"/>
              <w:snapToGrid w:val="false"/>
              <w:spacing w:before="0" w:after="120"/>
              <w:rPr>
                <w:rFonts w:ascii="Calibri" w:hAnsi="Calibri" w:cs="Calibri"/>
                <w:sz w:val="22"/>
                <w:szCs w:val="22"/>
              </w:rPr>
            </w:pPr>
            <w:r>
              <w:rPr>
                <w:rFonts w:cs="Calibri"/>
                <w:sz w:val="22"/>
                <w:szCs w:val="22"/>
              </w:rPr>
              <w:t>Τύπος</w:t>
            </w:r>
          </w:p>
        </w:tc>
        <w:tc>
          <w:tcPr>
            <w:tcW w:w="4353" w:type="dxa"/>
            <w:tcBorders>
              <w:top w:val="single" w:sz="4" w:space="0" w:color="000000"/>
              <w:left w:val="single" w:sz="4" w:space="0" w:color="000000"/>
              <w:bottom w:val="single" w:sz="4" w:space="0" w:color="000000"/>
            </w:tcBorders>
          </w:tcPr>
          <w:p>
            <w:pPr>
              <w:pStyle w:val="Normal"/>
              <w:widowControl w:val="false"/>
              <w:snapToGrid w:val="false"/>
              <w:spacing w:before="0" w:after="120"/>
              <w:rPr>
                <w:rFonts w:ascii="Calibri" w:hAnsi="Calibri" w:cs="Calibri"/>
                <w:sz w:val="22"/>
                <w:szCs w:val="22"/>
              </w:rPr>
            </w:pPr>
            <w:r>
              <w:rPr>
                <w:rFonts w:cs="Calibri"/>
                <w:sz w:val="22"/>
                <w:szCs w:val="22"/>
              </w:rPr>
              <w:t>Τριθέσιος πτυσσόμενος</w:t>
            </w:r>
          </w:p>
        </w:tc>
        <w:tc>
          <w:tcPr>
            <w:tcW w:w="2629" w:type="dxa"/>
            <w:tcBorders>
              <w:top w:val="single" w:sz="4" w:space="0" w:color="000000"/>
              <w:left w:val="single" w:sz="4" w:space="0" w:color="000000"/>
              <w:bottom w:val="single" w:sz="4" w:space="0" w:color="000000"/>
              <w:right w:val="single" w:sz="4" w:space="0" w:color="000000"/>
            </w:tcBorders>
          </w:tcPr>
          <w:p>
            <w:pPr>
              <w:pStyle w:val="Style25"/>
              <w:widowControl w:val="false"/>
              <w:tabs>
                <w:tab w:val="clear" w:pos="720"/>
                <w:tab w:val="left" w:pos="-540" w:leader="none"/>
              </w:tabs>
              <w:snapToGrid w:val="false"/>
              <w:spacing w:before="0" w:after="240"/>
              <w:jc w:val="left"/>
              <w:rPr>
                <w:rFonts w:ascii="Calibri" w:hAnsi="Calibri" w:cs="Calibri"/>
                <w:sz w:val="22"/>
                <w:szCs w:val="22"/>
              </w:rPr>
            </w:pPr>
            <w:r>
              <w:rPr>
                <w:rFonts w:cs="Calibri"/>
                <w:sz w:val="22"/>
                <w:szCs w:val="22"/>
              </w:rPr>
            </w:r>
          </w:p>
        </w:tc>
      </w:tr>
      <w:tr>
        <w:trPr/>
        <w:tc>
          <w:tcPr>
            <w:tcW w:w="2434" w:type="dxa"/>
            <w:tcBorders>
              <w:left w:val="single" w:sz="4" w:space="0" w:color="000000"/>
              <w:bottom w:val="single" w:sz="4" w:space="0" w:color="000000"/>
            </w:tcBorders>
          </w:tcPr>
          <w:p>
            <w:pPr>
              <w:pStyle w:val="Normal"/>
              <w:widowControl w:val="false"/>
              <w:snapToGrid w:val="false"/>
              <w:spacing w:before="0" w:after="120"/>
              <w:rPr>
                <w:rFonts w:ascii="Calibri" w:hAnsi="Calibri" w:cs="Calibri"/>
                <w:sz w:val="22"/>
                <w:szCs w:val="22"/>
              </w:rPr>
            </w:pPr>
            <w:r>
              <w:rPr>
                <w:rFonts w:cs="Calibri"/>
                <w:sz w:val="22"/>
                <w:szCs w:val="22"/>
              </w:rPr>
              <w:t>Μήκος</w:t>
            </w:r>
          </w:p>
        </w:tc>
        <w:tc>
          <w:tcPr>
            <w:tcW w:w="4353" w:type="dxa"/>
            <w:tcBorders>
              <w:left w:val="single" w:sz="4" w:space="0" w:color="000000"/>
              <w:bottom w:val="single" w:sz="4" w:space="0" w:color="000000"/>
            </w:tcBorders>
          </w:tcPr>
          <w:p>
            <w:pPr>
              <w:pStyle w:val="Normal"/>
              <w:widowControl w:val="false"/>
              <w:snapToGrid w:val="false"/>
              <w:spacing w:before="0" w:after="120"/>
              <w:rPr/>
            </w:pPr>
            <w:r>
              <w:rPr>
                <w:rFonts w:cs="Calibri"/>
                <w:sz w:val="22"/>
                <w:szCs w:val="22"/>
              </w:rPr>
              <w:t>Από 1.90</w:t>
            </w:r>
            <w:r>
              <w:rPr>
                <w:rFonts w:cs="Calibri"/>
                <w:sz w:val="22"/>
                <w:szCs w:val="22"/>
                <w:lang w:val="en-US"/>
              </w:rPr>
              <w:t xml:space="preserve"> </w:t>
            </w:r>
            <w:r>
              <w:rPr>
                <w:rFonts w:cs="Calibri"/>
                <w:sz w:val="22"/>
                <w:szCs w:val="22"/>
              </w:rPr>
              <w:t>έως 2.00</w:t>
            </w:r>
            <w:r>
              <w:rPr>
                <w:rFonts w:cs="Calibri"/>
                <w:sz w:val="22"/>
                <w:szCs w:val="22"/>
                <w:lang w:val="en-US"/>
              </w:rPr>
              <w:t>m</w:t>
            </w:r>
          </w:p>
        </w:tc>
        <w:tc>
          <w:tcPr>
            <w:tcW w:w="2629" w:type="dxa"/>
            <w:tcBorders>
              <w:left w:val="single" w:sz="4" w:space="0" w:color="000000"/>
              <w:bottom w:val="single" w:sz="4" w:space="0" w:color="000000"/>
              <w:right w:val="single" w:sz="4" w:space="0" w:color="000000"/>
            </w:tcBorders>
          </w:tcPr>
          <w:p>
            <w:pPr>
              <w:pStyle w:val="Style25"/>
              <w:widowControl w:val="false"/>
              <w:tabs>
                <w:tab w:val="clear" w:pos="720"/>
                <w:tab w:val="left" w:pos="-540" w:leader="none"/>
              </w:tabs>
              <w:snapToGrid w:val="false"/>
              <w:spacing w:before="0" w:after="240"/>
              <w:jc w:val="left"/>
              <w:rPr>
                <w:rFonts w:ascii="Calibri" w:hAnsi="Calibri" w:cs="Calibri"/>
                <w:sz w:val="22"/>
                <w:szCs w:val="22"/>
              </w:rPr>
            </w:pPr>
            <w:r>
              <w:rPr>
                <w:rFonts w:cs="Calibri"/>
                <w:sz w:val="22"/>
                <w:szCs w:val="22"/>
              </w:rPr>
            </w:r>
          </w:p>
        </w:tc>
      </w:tr>
      <w:tr>
        <w:trPr/>
        <w:tc>
          <w:tcPr>
            <w:tcW w:w="2434" w:type="dxa"/>
            <w:tcBorders>
              <w:left w:val="single" w:sz="4" w:space="0" w:color="000000"/>
              <w:bottom w:val="single" w:sz="4" w:space="0" w:color="000000"/>
            </w:tcBorders>
          </w:tcPr>
          <w:p>
            <w:pPr>
              <w:pStyle w:val="Normal"/>
              <w:widowControl w:val="false"/>
              <w:snapToGrid w:val="false"/>
              <w:spacing w:before="0" w:after="120"/>
              <w:rPr>
                <w:rFonts w:ascii="Calibri" w:hAnsi="Calibri" w:cs="Calibri"/>
                <w:sz w:val="22"/>
                <w:szCs w:val="22"/>
              </w:rPr>
            </w:pPr>
            <w:r>
              <w:rPr>
                <w:rFonts w:cs="Calibri"/>
                <w:sz w:val="22"/>
                <w:szCs w:val="22"/>
              </w:rPr>
              <w:t>Διαστάσεις κρεβατιού</w:t>
            </w:r>
          </w:p>
        </w:tc>
        <w:tc>
          <w:tcPr>
            <w:tcW w:w="4353" w:type="dxa"/>
            <w:tcBorders>
              <w:left w:val="single" w:sz="4" w:space="0" w:color="000000"/>
              <w:bottom w:val="single" w:sz="4" w:space="0" w:color="000000"/>
            </w:tcBorders>
          </w:tcPr>
          <w:p>
            <w:pPr>
              <w:pStyle w:val="Normal"/>
              <w:widowControl w:val="false"/>
              <w:snapToGrid w:val="false"/>
              <w:spacing w:before="0" w:after="120"/>
              <w:rPr>
                <w:rFonts w:ascii="Calibri" w:hAnsi="Calibri" w:cs="Calibri"/>
                <w:sz w:val="22"/>
                <w:szCs w:val="22"/>
              </w:rPr>
            </w:pPr>
            <w:r>
              <w:rPr>
                <w:rFonts w:cs="Calibri"/>
                <w:sz w:val="22"/>
                <w:szCs w:val="22"/>
              </w:rPr>
              <w:t>Τουλάχιστον 1.00x1.90m</w:t>
            </w:r>
          </w:p>
        </w:tc>
        <w:tc>
          <w:tcPr>
            <w:tcW w:w="2629" w:type="dxa"/>
            <w:tcBorders>
              <w:left w:val="single" w:sz="4" w:space="0" w:color="000000"/>
              <w:bottom w:val="single" w:sz="4" w:space="0" w:color="000000"/>
              <w:right w:val="single" w:sz="4" w:space="0" w:color="000000"/>
            </w:tcBorders>
          </w:tcPr>
          <w:p>
            <w:pPr>
              <w:pStyle w:val="Style25"/>
              <w:widowControl w:val="false"/>
              <w:tabs>
                <w:tab w:val="clear" w:pos="720"/>
                <w:tab w:val="left" w:pos="-540" w:leader="none"/>
              </w:tabs>
              <w:snapToGrid w:val="false"/>
              <w:spacing w:before="0" w:after="240"/>
              <w:jc w:val="left"/>
              <w:rPr>
                <w:rFonts w:ascii="Calibri" w:hAnsi="Calibri" w:cs="Calibri"/>
                <w:sz w:val="22"/>
                <w:szCs w:val="22"/>
              </w:rPr>
            </w:pPr>
            <w:r>
              <w:rPr>
                <w:rFonts w:cs="Calibri"/>
                <w:sz w:val="22"/>
                <w:szCs w:val="22"/>
              </w:rPr>
            </w:r>
          </w:p>
        </w:tc>
      </w:tr>
      <w:tr>
        <w:trPr/>
        <w:tc>
          <w:tcPr>
            <w:tcW w:w="2434" w:type="dxa"/>
            <w:tcBorders>
              <w:left w:val="single" w:sz="4" w:space="0" w:color="000000"/>
              <w:bottom w:val="single" w:sz="4" w:space="0" w:color="000000"/>
            </w:tcBorders>
          </w:tcPr>
          <w:p>
            <w:pPr>
              <w:pStyle w:val="Normal"/>
              <w:widowControl w:val="false"/>
              <w:snapToGrid w:val="false"/>
              <w:spacing w:before="0" w:after="120"/>
              <w:rPr>
                <w:rFonts w:ascii="Calibri" w:hAnsi="Calibri" w:cs="Calibri"/>
                <w:sz w:val="22"/>
                <w:szCs w:val="22"/>
              </w:rPr>
            </w:pPr>
            <w:r>
              <w:rPr>
                <w:rFonts w:cs="Calibri"/>
                <w:sz w:val="22"/>
                <w:szCs w:val="22"/>
              </w:rPr>
              <w:t>Υλικό</w:t>
            </w:r>
          </w:p>
        </w:tc>
        <w:tc>
          <w:tcPr>
            <w:tcW w:w="4353" w:type="dxa"/>
            <w:tcBorders>
              <w:left w:val="single" w:sz="4" w:space="0" w:color="000000"/>
              <w:bottom w:val="single" w:sz="4" w:space="0" w:color="000000"/>
            </w:tcBorders>
          </w:tcPr>
          <w:p>
            <w:pPr>
              <w:pStyle w:val="Normal"/>
              <w:widowControl w:val="false"/>
              <w:snapToGrid w:val="false"/>
              <w:spacing w:before="0" w:after="120"/>
              <w:rPr>
                <w:rFonts w:ascii="Calibri" w:hAnsi="Calibri" w:cs="Calibri"/>
                <w:sz w:val="22"/>
                <w:szCs w:val="22"/>
              </w:rPr>
            </w:pPr>
            <w:r>
              <w:rPr>
                <w:rFonts w:cs="Calibri"/>
                <w:sz w:val="22"/>
                <w:szCs w:val="22"/>
              </w:rPr>
              <w:t>Ύφασμα</w:t>
            </w:r>
          </w:p>
        </w:tc>
        <w:tc>
          <w:tcPr>
            <w:tcW w:w="2629" w:type="dxa"/>
            <w:tcBorders>
              <w:left w:val="single" w:sz="4" w:space="0" w:color="000000"/>
              <w:bottom w:val="single" w:sz="4" w:space="0" w:color="000000"/>
              <w:right w:val="single" w:sz="4" w:space="0" w:color="000000"/>
            </w:tcBorders>
          </w:tcPr>
          <w:p>
            <w:pPr>
              <w:pStyle w:val="Style25"/>
              <w:widowControl w:val="false"/>
              <w:tabs>
                <w:tab w:val="clear" w:pos="720"/>
                <w:tab w:val="left" w:pos="-540" w:leader="none"/>
              </w:tabs>
              <w:snapToGrid w:val="false"/>
              <w:spacing w:before="0" w:after="240"/>
              <w:jc w:val="left"/>
              <w:rPr>
                <w:rFonts w:ascii="Calibri" w:hAnsi="Calibri" w:cs="Calibri"/>
                <w:sz w:val="22"/>
                <w:szCs w:val="22"/>
              </w:rPr>
            </w:pPr>
            <w:r>
              <w:rPr>
                <w:rFonts w:cs="Calibri"/>
                <w:sz w:val="22"/>
                <w:szCs w:val="22"/>
              </w:rPr>
            </w:r>
          </w:p>
        </w:tc>
      </w:tr>
      <w:tr>
        <w:trPr/>
        <w:tc>
          <w:tcPr>
            <w:tcW w:w="2434" w:type="dxa"/>
            <w:tcBorders>
              <w:left w:val="single" w:sz="4" w:space="0" w:color="000000"/>
              <w:bottom w:val="single" w:sz="4" w:space="0" w:color="000000"/>
            </w:tcBorders>
          </w:tcPr>
          <w:p>
            <w:pPr>
              <w:pStyle w:val="Normal"/>
              <w:widowControl w:val="false"/>
              <w:snapToGrid w:val="false"/>
              <w:spacing w:before="0" w:after="120"/>
              <w:rPr>
                <w:rFonts w:ascii="Calibri" w:hAnsi="Calibri" w:cs="Calibri"/>
                <w:sz w:val="22"/>
                <w:szCs w:val="22"/>
              </w:rPr>
            </w:pPr>
            <w:r>
              <w:rPr>
                <w:rFonts w:cs="Calibri"/>
                <w:sz w:val="22"/>
                <w:szCs w:val="22"/>
              </w:rPr>
              <w:t>Αποθηκευτικός χώρος</w:t>
            </w:r>
          </w:p>
        </w:tc>
        <w:tc>
          <w:tcPr>
            <w:tcW w:w="4353" w:type="dxa"/>
            <w:tcBorders>
              <w:left w:val="single" w:sz="4" w:space="0" w:color="000000"/>
              <w:bottom w:val="single" w:sz="4" w:space="0" w:color="000000"/>
            </w:tcBorders>
          </w:tcPr>
          <w:p>
            <w:pPr>
              <w:pStyle w:val="Normal"/>
              <w:widowControl w:val="false"/>
              <w:snapToGrid w:val="false"/>
              <w:spacing w:before="0" w:after="120"/>
              <w:rPr>
                <w:rFonts w:ascii="Calibri" w:hAnsi="Calibri" w:cs="Calibri"/>
                <w:sz w:val="22"/>
                <w:szCs w:val="22"/>
              </w:rPr>
            </w:pPr>
            <w:r>
              <w:rPr>
                <w:rFonts w:cs="Calibri"/>
                <w:sz w:val="22"/>
                <w:szCs w:val="22"/>
              </w:rPr>
              <w:t>Επιθυμητός</w:t>
            </w:r>
          </w:p>
        </w:tc>
        <w:tc>
          <w:tcPr>
            <w:tcW w:w="2629" w:type="dxa"/>
            <w:tcBorders>
              <w:left w:val="single" w:sz="4" w:space="0" w:color="000000"/>
              <w:bottom w:val="single" w:sz="4" w:space="0" w:color="000000"/>
              <w:right w:val="single" w:sz="4" w:space="0" w:color="000000"/>
            </w:tcBorders>
          </w:tcPr>
          <w:p>
            <w:pPr>
              <w:pStyle w:val="Style25"/>
              <w:widowControl w:val="false"/>
              <w:tabs>
                <w:tab w:val="clear" w:pos="720"/>
                <w:tab w:val="left" w:pos="-540" w:leader="none"/>
              </w:tabs>
              <w:snapToGrid w:val="false"/>
              <w:spacing w:before="0" w:after="240"/>
              <w:jc w:val="left"/>
              <w:rPr>
                <w:rFonts w:ascii="Calibri" w:hAnsi="Calibri" w:cs="Calibri"/>
                <w:sz w:val="22"/>
                <w:szCs w:val="22"/>
              </w:rPr>
            </w:pPr>
            <w:r>
              <w:rPr>
                <w:rFonts w:cs="Calibri"/>
                <w:sz w:val="22"/>
                <w:szCs w:val="22"/>
              </w:rPr>
            </w:r>
          </w:p>
        </w:tc>
      </w:tr>
    </w:tbl>
    <w:p>
      <w:pPr>
        <w:pStyle w:val="Normal"/>
        <w:tabs>
          <w:tab w:val="clear" w:pos="720"/>
          <w:tab w:val="left" w:pos="4095" w:leader="none"/>
        </w:tabs>
        <w:rPr>
          <w:rFonts w:ascii="Calibri" w:hAnsi="Calibri" w:cs="Calibri"/>
          <w:sz w:val="22"/>
          <w:szCs w:val="22"/>
        </w:rPr>
      </w:pPr>
      <w:r>
        <w:rPr>
          <w:rFonts w:cs="Calibri"/>
          <w:sz w:val="22"/>
          <w:szCs w:val="22"/>
        </w:rPr>
      </w:r>
    </w:p>
    <w:p>
      <w:pPr>
        <w:pStyle w:val="Normal"/>
        <w:tabs>
          <w:tab w:val="clear" w:pos="720"/>
          <w:tab w:val="left" w:pos="4800" w:leader="none"/>
        </w:tabs>
        <w:ind w:firstLine="1134"/>
        <w:rPr/>
      </w:pPr>
      <w:r>
        <w:rPr>
          <w:rFonts w:cs="Calibri"/>
          <w:b/>
          <w:color w:val="00000A"/>
        </w:rPr>
        <w:t>19</w:t>
      </w:r>
      <w:r>
        <w:rPr>
          <w:rFonts w:cs="Calibri"/>
          <w:b/>
          <w:color w:val="00000A"/>
          <w:lang w:val="en-US"/>
        </w:rPr>
        <w:t>.</w:t>
      </w:r>
      <w:r>
        <w:rPr>
          <w:rFonts w:cs="Calibri"/>
          <w:b/>
          <w:bCs/>
          <w:sz w:val="22"/>
          <w:szCs w:val="22"/>
        </w:rPr>
        <w:t xml:space="preserve"> Τραπέζι φαγητού</w:t>
      </w:r>
    </w:p>
    <w:tbl>
      <w:tblPr>
        <w:tblW w:w="9416" w:type="dxa"/>
        <w:jc w:val="left"/>
        <w:tblInd w:w="-65" w:type="dxa"/>
        <w:tblLayout w:type="fixed"/>
        <w:tblCellMar>
          <w:top w:w="0" w:type="dxa"/>
          <w:left w:w="108" w:type="dxa"/>
          <w:bottom w:w="0" w:type="dxa"/>
          <w:right w:w="108" w:type="dxa"/>
        </w:tblCellMar>
      </w:tblPr>
      <w:tblGrid>
        <w:gridCol w:w="2434"/>
        <w:gridCol w:w="4353"/>
        <w:gridCol w:w="2629"/>
      </w:tblGrid>
      <w:tr>
        <w:trPr/>
        <w:tc>
          <w:tcPr>
            <w:tcW w:w="2434" w:type="dxa"/>
            <w:tcBorders>
              <w:top w:val="single" w:sz="4" w:space="0" w:color="000000"/>
              <w:left w:val="single" w:sz="4" w:space="0" w:color="000000"/>
              <w:bottom w:val="single" w:sz="4" w:space="0" w:color="000000"/>
            </w:tcBorders>
            <w:shd w:fill="F2F2F2" w:val="clear"/>
          </w:tcPr>
          <w:p>
            <w:pPr>
              <w:pStyle w:val="Style25"/>
              <w:widowControl w:val="false"/>
              <w:tabs>
                <w:tab w:val="clear" w:pos="720"/>
                <w:tab w:val="left" w:pos="-540" w:leader="none"/>
              </w:tabs>
              <w:spacing w:before="0" w:after="240"/>
              <w:jc w:val="left"/>
              <w:rPr>
                <w:rFonts w:ascii="Calibri" w:hAnsi="Calibri" w:eastAsia="Calibri" w:cs="Calibri"/>
                <w:b/>
                <w:b/>
                <w:sz w:val="22"/>
                <w:szCs w:val="22"/>
              </w:rPr>
            </w:pPr>
            <w:r>
              <w:rPr>
                <w:rFonts w:eastAsia="Calibri" w:cs="Calibri"/>
                <w:b/>
                <w:sz w:val="22"/>
                <w:szCs w:val="22"/>
              </w:rPr>
              <w:t>Χαρακτηριστικό</w:t>
            </w:r>
          </w:p>
        </w:tc>
        <w:tc>
          <w:tcPr>
            <w:tcW w:w="4353" w:type="dxa"/>
            <w:tcBorders>
              <w:top w:val="single" w:sz="4" w:space="0" w:color="000000"/>
              <w:left w:val="single" w:sz="4" w:space="0" w:color="000000"/>
              <w:bottom w:val="single" w:sz="4" w:space="0" w:color="000000"/>
            </w:tcBorders>
            <w:shd w:fill="F2F2F2" w:val="clear"/>
          </w:tcPr>
          <w:p>
            <w:pPr>
              <w:pStyle w:val="Style25"/>
              <w:widowControl w:val="false"/>
              <w:tabs>
                <w:tab w:val="clear" w:pos="720"/>
                <w:tab w:val="left" w:pos="-540" w:leader="none"/>
              </w:tabs>
              <w:spacing w:before="0" w:after="240"/>
              <w:jc w:val="left"/>
              <w:rPr>
                <w:rFonts w:ascii="Calibri" w:hAnsi="Calibri" w:eastAsia="Calibri" w:cs="Calibri"/>
                <w:b/>
                <w:b/>
                <w:sz w:val="22"/>
                <w:szCs w:val="22"/>
              </w:rPr>
            </w:pPr>
            <w:r>
              <w:rPr>
                <w:rFonts w:eastAsia="Calibri" w:cs="Calibri"/>
                <w:b/>
                <w:sz w:val="22"/>
                <w:szCs w:val="22"/>
              </w:rPr>
              <w:t>Απαίτηση</w:t>
            </w:r>
          </w:p>
        </w:tc>
        <w:tc>
          <w:tcPr>
            <w:tcW w:w="2629" w:type="dxa"/>
            <w:tcBorders>
              <w:top w:val="single" w:sz="4" w:space="0" w:color="000000"/>
              <w:left w:val="single" w:sz="4" w:space="0" w:color="000000"/>
              <w:bottom w:val="single" w:sz="4" w:space="0" w:color="000000"/>
              <w:right w:val="single" w:sz="4" w:space="0" w:color="000000"/>
            </w:tcBorders>
            <w:shd w:fill="F2F2F2" w:val="clear"/>
          </w:tcPr>
          <w:p>
            <w:pPr>
              <w:pStyle w:val="Style25"/>
              <w:widowControl w:val="false"/>
              <w:tabs>
                <w:tab w:val="clear" w:pos="720"/>
                <w:tab w:val="left" w:pos="-540" w:leader="none"/>
              </w:tabs>
              <w:spacing w:before="0" w:after="240"/>
              <w:jc w:val="left"/>
              <w:rPr>
                <w:rFonts w:ascii="Calibri" w:hAnsi="Calibri" w:eastAsia="Calibri" w:cs="Calibri"/>
                <w:b/>
                <w:b/>
                <w:sz w:val="22"/>
                <w:szCs w:val="22"/>
              </w:rPr>
            </w:pPr>
            <w:r>
              <w:rPr>
                <w:rFonts w:eastAsia="Calibri" w:cs="Calibri"/>
                <w:b/>
                <w:sz w:val="22"/>
                <w:szCs w:val="22"/>
              </w:rPr>
              <w:t>Παρατηρήσεις</w:t>
            </w:r>
          </w:p>
        </w:tc>
      </w:tr>
      <w:tr>
        <w:trPr/>
        <w:tc>
          <w:tcPr>
            <w:tcW w:w="2434" w:type="dxa"/>
            <w:tcBorders>
              <w:top w:val="single" w:sz="4" w:space="0" w:color="000000"/>
              <w:left w:val="single" w:sz="4" w:space="0" w:color="000000"/>
              <w:bottom w:val="single" w:sz="4" w:space="0" w:color="000000"/>
            </w:tcBorders>
          </w:tcPr>
          <w:p>
            <w:pPr>
              <w:pStyle w:val="Normal"/>
              <w:widowControl w:val="false"/>
              <w:spacing w:before="0" w:after="120"/>
              <w:rPr/>
            </w:pPr>
            <w:r>
              <w:rPr>
                <w:rStyle w:val="Style22"/>
                <w:rFonts w:cs="Calibri"/>
                <w:b w:val="false"/>
                <w:bCs w:val="false"/>
                <w:sz w:val="22"/>
                <w:szCs w:val="22"/>
              </w:rPr>
              <w:t>Υλικό</w:t>
            </w:r>
          </w:p>
        </w:tc>
        <w:tc>
          <w:tcPr>
            <w:tcW w:w="4353" w:type="dxa"/>
            <w:tcBorders>
              <w:top w:val="single" w:sz="4" w:space="0" w:color="000000"/>
              <w:left w:val="single" w:sz="4" w:space="0" w:color="000000"/>
              <w:bottom w:val="single" w:sz="4" w:space="0" w:color="000000"/>
            </w:tcBorders>
            <w:vAlign w:val="center"/>
          </w:tcPr>
          <w:p>
            <w:pPr>
              <w:pStyle w:val="Normal"/>
              <w:widowControl w:val="false"/>
              <w:spacing w:before="0" w:after="120"/>
              <w:rPr>
                <w:rFonts w:ascii="Calibri" w:hAnsi="Calibri" w:cs="Calibri"/>
                <w:sz w:val="22"/>
                <w:szCs w:val="22"/>
              </w:rPr>
            </w:pPr>
            <w:r>
              <w:rPr>
                <w:rFonts w:cs="Calibri"/>
                <w:sz w:val="22"/>
                <w:szCs w:val="22"/>
              </w:rPr>
              <w:t>Ξύλο, μελαμίνη ή ινοσανίδα</w:t>
            </w:r>
          </w:p>
        </w:tc>
        <w:tc>
          <w:tcPr>
            <w:tcW w:w="2629" w:type="dxa"/>
            <w:tcBorders>
              <w:top w:val="single" w:sz="4" w:space="0" w:color="000000"/>
              <w:left w:val="single" w:sz="4" w:space="0" w:color="000000"/>
              <w:bottom w:val="single" w:sz="4" w:space="0" w:color="000000"/>
              <w:right w:val="single" w:sz="4" w:space="0" w:color="000000"/>
            </w:tcBorders>
          </w:tcPr>
          <w:p>
            <w:pPr>
              <w:pStyle w:val="Style25"/>
              <w:widowControl w:val="false"/>
              <w:tabs>
                <w:tab w:val="clear" w:pos="720"/>
                <w:tab w:val="left" w:pos="-540" w:leader="none"/>
              </w:tabs>
              <w:snapToGrid w:val="false"/>
              <w:spacing w:before="0" w:after="240"/>
              <w:jc w:val="left"/>
              <w:rPr>
                <w:rFonts w:ascii="Calibri" w:hAnsi="Calibri" w:cs="Calibri"/>
                <w:sz w:val="22"/>
                <w:szCs w:val="22"/>
              </w:rPr>
            </w:pPr>
            <w:r>
              <w:rPr>
                <w:rFonts w:cs="Calibri"/>
                <w:sz w:val="22"/>
                <w:szCs w:val="22"/>
              </w:rPr>
            </w:r>
          </w:p>
        </w:tc>
      </w:tr>
      <w:tr>
        <w:trPr/>
        <w:tc>
          <w:tcPr>
            <w:tcW w:w="2434" w:type="dxa"/>
            <w:tcBorders>
              <w:top w:val="single" w:sz="4" w:space="0" w:color="000000"/>
              <w:left w:val="single" w:sz="4" w:space="0" w:color="000000"/>
              <w:bottom w:val="single" w:sz="4" w:space="0" w:color="000000"/>
            </w:tcBorders>
          </w:tcPr>
          <w:p>
            <w:pPr>
              <w:pStyle w:val="Normal"/>
              <w:widowControl w:val="false"/>
              <w:spacing w:before="0" w:after="120"/>
              <w:rPr/>
            </w:pPr>
            <w:r>
              <w:rPr>
                <w:rStyle w:val="Style22"/>
                <w:rFonts w:cs="Calibri"/>
                <w:b w:val="false"/>
                <w:bCs w:val="false"/>
                <w:sz w:val="22"/>
                <w:szCs w:val="22"/>
              </w:rPr>
              <w:t>Μήκος</w:t>
            </w:r>
          </w:p>
        </w:tc>
        <w:tc>
          <w:tcPr>
            <w:tcW w:w="4353" w:type="dxa"/>
            <w:tcBorders>
              <w:top w:val="single" w:sz="4" w:space="0" w:color="000000"/>
              <w:left w:val="single" w:sz="4" w:space="0" w:color="000000"/>
              <w:bottom w:val="single" w:sz="4" w:space="0" w:color="000000"/>
            </w:tcBorders>
            <w:vAlign w:val="center"/>
          </w:tcPr>
          <w:p>
            <w:pPr>
              <w:pStyle w:val="Normal"/>
              <w:widowControl w:val="false"/>
              <w:spacing w:before="0" w:after="120"/>
              <w:rPr/>
            </w:pPr>
            <w:r>
              <w:rPr>
                <w:rFonts w:cs="Calibri"/>
                <w:sz w:val="22"/>
                <w:szCs w:val="22"/>
              </w:rPr>
              <w:t>&lt;=1,20</w:t>
            </w:r>
            <w:r>
              <w:rPr>
                <w:rFonts w:cs="Calibri"/>
                <w:sz w:val="22"/>
                <w:szCs w:val="22"/>
                <w:lang w:val="en-US"/>
              </w:rPr>
              <w:t>m</w:t>
            </w:r>
          </w:p>
        </w:tc>
        <w:tc>
          <w:tcPr>
            <w:tcW w:w="2629" w:type="dxa"/>
            <w:tcBorders>
              <w:top w:val="single" w:sz="4" w:space="0" w:color="000000"/>
              <w:left w:val="single" w:sz="4" w:space="0" w:color="000000"/>
              <w:bottom w:val="single" w:sz="4" w:space="0" w:color="000000"/>
              <w:right w:val="single" w:sz="4" w:space="0" w:color="000000"/>
            </w:tcBorders>
          </w:tcPr>
          <w:p>
            <w:pPr>
              <w:pStyle w:val="Style25"/>
              <w:widowControl w:val="false"/>
              <w:tabs>
                <w:tab w:val="clear" w:pos="720"/>
                <w:tab w:val="left" w:pos="-540" w:leader="none"/>
              </w:tabs>
              <w:snapToGrid w:val="false"/>
              <w:spacing w:before="0" w:after="240"/>
              <w:jc w:val="left"/>
              <w:rPr>
                <w:rFonts w:ascii="Calibri" w:hAnsi="Calibri" w:cs="Calibri"/>
                <w:sz w:val="22"/>
                <w:szCs w:val="22"/>
              </w:rPr>
            </w:pPr>
            <w:r>
              <w:rPr>
                <w:rFonts w:cs="Calibri"/>
                <w:sz w:val="22"/>
                <w:szCs w:val="22"/>
              </w:rPr>
            </w:r>
          </w:p>
        </w:tc>
      </w:tr>
      <w:tr>
        <w:trPr/>
        <w:tc>
          <w:tcPr>
            <w:tcW w:w="2434" w:type="dxa"/>
            <w:tcBorders>
              <w:top w:val="single" w:sz="4" w:space="0" w:color="000000"/>
              <w:left w:val="single" w:sz="4" w:space="0" w:color="000000"/>
              <w:bottom w:val="single" w:sz="4" w:space="0" w:color="000000"/>
            </w:tcBorders>
          </w:tcPr>
          <w:p>
            <w:pPr>
              <w:pStyle w:val="Normal"/>
              <w:widowControl w:val="false"/>
              <w:spacing w:before="0" w:after="120"/>
              <w:rPr/>
            </w:pPr>
            <w:r>
              <w:rPr>
                <w:rStyle w:val="Style22"/>
                <w:rFonts w:cs="Calibri"/>
                <w:b w:val="false"/>
                <w:bCs w:val="false"/>
                <w:sz w:val="22"/>
                <w:szCs w:val="22"/>
              </w:rPr>
              <w:t>Υψος</w:t>
            </w:r>
          </w:p>
        </w:tc>
        <w:tc>
          <w:tcPr>
            <w:tcW w:w="4353" w:type="dxa"/>
            <w:tcBorders>
              <w:top w:val="single" w:sz="4" w:space="0" w:color="000000"/>
              <w:left w:val="single" w:sz="4" w:space="0" w:color="000000"/>
              <w:bottom w:val="single" w:sz="4" w:space="0" w:color="000000"/>
            </w:tcBorders>
            <w:vAlign w:val="center"/>
          </w:tcPr>
          <w:p>
            <w:pPr>
              <w:pStyle w:val="Normal"/>
              <w:widowControl w:val="false"/>
              <w:spacing w:before="0" w:after="120"/>
              <w:rPr/>
            </w:pPr>
            <w:r>
              <w:rPr>
                <w:rFonts w:cs="Calibri"/>
                <w:sz w:val="22"/>
                <w:szCs w:val="22"/>
              </w:rPr>
              <w:t>&lt;=0,76</w:t>
            </w:r>
            <w:r>
              <w:rPr>
                <w:rFonts w:cs="Calibri"/>
                <w:sz w:val="22"/>
                <w:szCs w:val="22"/>
                <w:lang w:val="en-US"/>
              </w:rPr>
              <w:t>m</w:t>
            </w:r>
          </w:p>
        </w:tc>
        <w:tc>
          <w:tcPr>
            <w:tcW w:w="2629" w:type="dxa"/>
            <w:tcBorders>
              <w:top w:val="single" w:sz="4" w:space="0" w:color="000000"/>
              <w:left w:val="single" w:sz="4" w:space="0" w:color="000000"/>
              <w:bottom w:val="single" w:sz="4" w:space="0" w:color="000000"/>
              <w:right w:val="single" w:sz="4" w:space="0" w:color="000000"/>
            </w:tcBorders>
          </w:tcPr>
          <w:p>
            <w:pPr>
              <w:pStyle w:val="Style25"/>
              <w:widowControl w:val="false"/>
              <w:tabs>
                <w:tab w:val="clear" w:pos="720"/>
                <w:tab w:val="left" w:pos="-540" w:leader="none"/>
              </w:tabs>
              <w:snapToGrid w:val="false"/>
              <w:spacing w:before="0" w:after="240"/>
              <w:jc w:val="left"/>
              <w:rPr>
                <w:rFonts w:ascii="Calibri" w:hAnsi="Calibri" w:cs="Calibri"/>
                <w:sz w:val="22"/>
                <w:szCs w:val="22"/>
                <w:lang w:val="en-US"/>
              </w:rPr>
            </w:pPr>
            <w:r>
              <w:rPr>
                <w:rFonts w:cs="Calibri"/>
                <w:sz w:val="22"/>
                <w:szCs w:val="22"/>
                <w:lang w:val="en-US"/>
              </w:rPr>
            </w:r>
          </w:p>
        </w:tc>
      </w:tr>
      <w:tr>
        <w:trPr/>
        <w:tc>
          <w:tcPr>
            <w:tcW w:w="2434" w:type="dxa"/>
            <w:tcBorders>
              <w:top w:val="single" w:sz="4" w:space="0" w:color="000000"/>
              <w:left w:val="single" w:sz="4" w:space="0" w:color="000000"/>
              <w:bottom w:val="single" w:sz="4" w:space="0" w:color="000000"/>
            </w:tcBorders>
          </w:tcPr>
          <w:p>
            <w:pPr>
              <w:pStyle w:val="Normal"/>
              <w:widowControl w:val="false"/>
              <w:spacing w:before="0" w:after="120"/>
              <w:rPr/>
            </w:pPr>
            <w:r>
              <w:rPr>
                <w:rStyle w:val="Style22"/>
                <w:rFonts w:cs="Calibri"/>
                <w:b w:val="false"/>
                <w:bCs w:val="false"/>
                <w:sz w:val="22"/>
                <w:szCs w:val="22"/>
              </w:rPr>
              <w:t>Πλάτος</w:t>
            </w:r>
          </w:p>
        </w:tc>
        <w:tc>
          <w:tcPr>
            <w:tcW w:w="4353" w:type="dxa"/>
            <w:tcBorders>
              <w:top w:val="single" w:sz="4" w:space="0" w:color="000000"/>
              <w:left w:val="single" w:sz="4" w:space="0" w:color="000000"/>
              <w:bottom w:val="single" w:sz="4" w:space="0" w:color="000000"/>
            </w:tcBorders>
            <w:vAlign w:val="center"/>
          </w:tcPr>
          <w:p>
            <w:pPr>
              <w:pStyle w:val="Normal"/>
              <w:widowControl w:val="false"/>
              <w:spacing w:before="0" w:after="120"/>
              <w:rPr/>
            </w:pPr>
            <w:r>
              <w:rPr>
                <w:rFonts w:cs="Calibri"/>
                <w:sz w:val="22"/>
                <w:szCs w:val="22"/>
              </w:rPr>
              <w:t>&lt;=0,70</w:t>
            </w:r>
            <w:r>
              <w:rPr>
                <w:rFonts w:cs="Calibri"/>
                <w:sz w:val="22"/>
                <w:szCs w:val="22"/>
                <w:lang w:val="en-US"/>
              </w:rPr>
              <w:t>m</w:t>
            </w:r>
          </w:p>
        </w:tc>
        <w:tc>
          <w:tcPr>
            <w:tcW w:w="2629" w:type="dxa"/>
            <w:tcBorders>
              <w:top w:val="single" w:sz="4" w:space="0" w:color="000000"/>
              <w:left w:val="single" w:sz="4" w:space="0" w:color="000000"/>
              <w:bottom w:val="single" w:sz="4" w:space="0" w:color="000000"/>
              <w:right w:val="single" w:sz="4" w:space="0" w:color="000000"/>
            </w:tcBorders>
          </w:tcPr>
          <w:p>
            <w:pPr>
              <w:pStyle w:val="Style25"/>
              <w:widowControl w:val="false"/>
              <w:tabs>
                <w:tab w:val="clear" w:pos="720"/>
                <w:tab w:val="left" w:pos="-540" w:leader="none"/>
              </w:tabs>
              <w:snapToGrid w:val="false"/>
              <w:spacing w:before="0" w:after="240"/>
              <w:jc w:val="left"/>
              <w:rPr>
                <w:rFonts w:ascii="Calibri" w:hAnsi="Calibri" w:cs="Calibri"/>
                <w:sz w:val="22"/>
                <w:szCs w:val="22"/>
              </w:rPr>
            </w:pPr>
            <w:r>
              <w:rPr>
                <w:rFonts w:cs="Calibri"/>
                <w:sz w:val="22"/>
                <w:szCs w:val="22"/>
              </w:rPr>
            </w:r>
          </w:p>
        </w:tc>
      </w:tr>
      <w:tr>
        <w:trPr/>
        <w:tc>
          <w:tcPr>
            <w:tcW w:w="2434" w:type="dxa"/>
            <w:tcBorders>
              <w:top w:val="single" w:sz="4" w:space="0" w:color="000000"/>
              <w:left w:val="single" w:sz="4" w:space="0" w:color="000000"/>
              <w:bottom w:val="single" w:sz="4" w:space="0" w:color="000000"/>
            </w:tcBorders>
          </w:tcPr>
          <w:p>
            <w:pPr>
              <w:pStyle w:val="Normal"/>
              <w:widowControl w:val="false"/>
              <w:spacing w:before="0" w:after="120"/>
              <w:rPr/>
            </w:pPr>
            <w:r>
              <w:rPr>
                <w:rStyle w:val="Style22"/>
                <w:rFonts w:cs="Calibri"/>
                <w:b w:val="false"/>
                <w:bCs w:val="false"/>
                <w:sz w:val="22"/>
                <w:szCs w:val="22"/>
              </w:rPr>
              <w:t>Χρώμα</w:t>
            </w:r>
          </w:p>
        </w:tc>
        <w:tc>
          <w:tcPr>
            <w:tcW w:w="4353" w:type="dxa"/>
            <w:tcBorders>
              <w:top w:val="single" w:sz="4" w:space="0" w:color="000000"/>
              <w:left w:val="single" w:sz="4" w:space="0" w:color="000000"/>
              <w:bottom w:val="single" w:sz="4" w:space="0" w:color="000000"/>
            </w:tcBorders>
            <w:vAlign w:val="center"/>
          </w:tcPr>
          <w:p>
            <w:pPr>
              <w:pStyle w:val="Normal"/>
              <w:widowControl w:val="false"/>
              <w:spacing w:before="0" w:after="120"/>
              <w:rPr>
                <w:rFonts w:ascii="Calibri" w:hAnsi="Calibri" w:cs="Calibri"/>
                <w:sz w:val="22"/>
                <w:szCs w:val="22"/>
              </w:rPr>
            </w:pPr>
            <w:r>
              <w:rPr>
                <w:rFonts w:cs="Calibri"/>
                <w:sz w:val="22"/>
                <w:szCs w:val="22"/>
              </w:rPr>
              <w:t>Αποχρώσεις του μπεζ ή του καφέ ή λευκό</w:t>
            </w:r>
          </w:p>
        </w:tc>
        <w:tc>
          <w:tcPr>
            <w:tcW w:w="2629" w:type="dxa"/>
            <w:tcBorders>
              <w:top w:val="single" w:sz="4" w:space="0" w:color="000000"/>
              <w:left w:val="single" w:sz="4" w:space="0" w:color="000000"/>
              <w:bottom w:val="single" w:sz="4" w:space="0" w:color="000000"/>
              <w:right w:val="single" w:sz="4" w:space="0" w:color="000000"/>
            </w:tcBorders>
          </w:tcPr>
          <w:p>
            <w:pPr>
              <w:pStyle w:val="Style25"/>
              <w:widowControl w:val="false"/>
              <w:tabs>
                <w:tab w:val="clear" w:pos="720"/>
                <w:tab w:val="left" w:pos="-540" w:leader="none"/>
              </w:tabs>
              <w:snapToGrid w:val="false"/>
              <w:spacing w:before="0" w:after="240"/>
              <w:jc w:val="left"/>
              <w:rPr>
                <w:rFonts w:ascii="Calibri" w:hAnsi="Calibri" w:cs="Calibri"/>
                <w:sz w:val="22"/>
                <w:szCs w:val="22"/>
              </w:rPr>
            </w:pPr>
            <w:r>
              <w:rPr>
                <w:rFonts w:cs="Calibri"/>
                <w:sz w:val="22"/>
                <w:szCs w:val="22"/>
              </w:rPr>
            </w:r>
          </w:p>
        </w:tc>
      </w:tr>
    </w:tbl>
    <w:p>
      <w:pPr>
        <w:pStyle w:val="Normal"/>
        <w:tabs>
          <w:tab w:val="clear" w:pos="720"/>
          <w:tab w:val="left" w:pos="4800" w:leader="none"/>
        </w:tabs>
        <w:rPr>
          <w:rFonts w:ascii="Calibri" w:hAnsi="Calibri" w:cs="Calibri"/>
          <w:sz w:val="22"/>
          <w:szCs w:val="22"/>
        </w:rPr>
      </w:pPr>
      <w:r>
        <w:rPr>
          <w:rFonts w:cs="Calibri"/>
          <w:sz w:val="22"/>
          <w:szCs w:val="22"/>
        </w:rPr>
      </w:r>
    </w:p>
    <w:p>
      <w:pPr>
        <w:pStyle w:val="Normal"/>
        <w:tabs>
          <w:tab w:val="clear" w:pos="720"/>
          <w:tab w:val="left" w:pos="4800" w:leader="none"/>
        </w:tabs>
        <w:ind w:firstLine="1134"/>
        <w:rPr/>
      </w:pPr>
      <w:r>
        <w:rPr>
          <w:rFonts w:cs="Calibri"/>
          <w:b/>
        </w:rPr>
        <w:t>20.</w:t>
      </w:r>
      <w:r>
        <w:rPr>
          <w:rFonts w:cs="Calibri"/>
          <w:b/>
          <w:bCs/>
          <w:sz w:val="22"/>
          <w:szCs w:val="22"/>
        </w:rPr>
        <w:t xml:space="preserve"> Καρέκλα τραπεζαρίας</w:t>
      </w:r>
    </w:p>
    <w:tbl>
      <w:tblPr>
        <w:tblW w:w="9416" w:type="dxa"/>
        <w:jc w:val="left"/>
        <w:tblInd w:w="-65" w:type="dxa"/>
        <w:tblLayout w:type="fixed"/>
        <w:tblCellMar>
          <w:top w:w="0" w:type="dxa"/>
          <w:left w:w="108" w:type="dxa"/>
          <w:bottom w:w="0" w:type="dxa"/>
          <w:right w:w="108" w:type="dxa"/>
        </w:tblCellMar>
      </w:tblPr>
      <w:tblGrid>
        <w:gridCol w:w="2430"/>
        <w:gridCol w:w="4357"/>
        <w:gridCol w:w="2629"/>
      </w:tblGrid>
      <w:tr>
        <w:trPr/>
        <w:tc>
          <w:tcPr>
            <w:tcW w:w="2430" w:type="dxa"/>
            <w:tcBorders>
              <w:top w:val="single" w:sz="4" w:space="0" w:color="000000"/>
              <w:left w:val="single" w:sz="4" w:space="0" w:color="000000"/>
              <w:bottom w:val="single" w:sz="4" w:space="0" w:color="000000"/>
            </w:tcBorders>
            <w:shd w:fill="F2F2F2" w:val="clear"/>
          </w:tcPr>
          <w:p>
            <w:pPr>
              <w:pStyle w:val="Style25"/>
              <w:widowControl w:val="false"/>
              <w:tabs>
                <w:tab w:val="clear" w:pos="720"/>
                <w:tab w:val="left" w:pos="-540" w:leader="none"/>
              </w:tabs>
              <w:spacing w:before="0" w:after="240"/>
              <w:jc w:val="left"/>
              <w:rPr>
                <w:rFonts w:ascii="Calibri" w:hAnsi="Calibri" w:eastAsia="Calibri" w:cs="Calibri"/>
                <w:b/>
                <w:b/>
                <w:sz w:val="22"/>
                <w:szCs w:val="22"/>
              </w:rPr>
            </w:pPr>
            <w:r>
              <w:rPr>
                <w:rFonts w:eastAsia="Calibri" w:cs="Calibri"/>
                <w:b/>
                <w:sz w:val="22"/>
                <w:szCs w:val="22"/>
              </w:rPr>
              <w:t>Χαρακτηριστικό</w:t>
            </w:r>
          </w:p>
        </w:tc>
        <w:tc>
          <w:tcPr>
            <w:tcW w:w="4357" w:type="dxa"/>
            <w:tcBorders>
              <w:top w:val="single" w:sz="4" w:space="0" w:color="000000"/>
              <w:left w:val="single" w:sz="4" w:space="0" w:color="000000"/>
              <w:bottom w:val="single" w:sz="4" w:space="0" w:color="000000"/>
            </w:tcBorders>
            <w:shd w:fill="F2F2F2" w:val="clear"/>
          </w:tcPr>
          <w:p>
            <w:pPr>
              <w:pStyle w:val="Style25"/>
              <w:widowControl w:val="false"/>
              <w:tabs>
                <w:tab w:val="clear" w:pos="720"/>
                <w:tab w:val="left" w:pos="-540" w:leader="none"/>
              </w:tabs>
              <w:spacing w:before="0" w:after="240"/>
              <w:jc w:val="left"/>
              <w:rPr>
                <w:rFonts w:ascii="Calibri" w:hAnsi="Calibri" w:eastAsia="Calibri" w:cs="Calibri"/>
                <w:b/>
                <w:b/>
                <w:sz w:val="22"/>
                <w:szCs w:val="22"/>
              </w:rPr>
            </w:pPr>
            <w:r>
              <w:rPr>
                <w:rFonts w:eastAsia="Calibri" w:cs="Calibri"/>
                <w:b/>
                <w:sz w:val="22"/>
                <w:szCs w:val="22"/>
              </w:rPr>
              <w:t>Απαίτηση</w:t>
            </w:r>
          </w:p>
        </w:tc>
        <w:tc>
          <w:tcPr>
            <w:tcW w:w="2629" w:type="dxa"/>
            <w:tcBorders>
              <w:top w:val="single" w:sz="4" w:space="0" w:color="000000"/>
              <w:left w:val="single" w:sz="4" w:space="0" w:color="000000"/>
              <w:bottom w:val="single" w:sz="4" w:space="0" w:color="000000"/>
              <w:right w:val="single" w:sz="4" w:space="0" w:color="000000"/>
            </w:tcBorders>
            <w:shd w:fill="F2F2F2" w:val="clear"/>
          </w:tcPr>
          <w:p>
            <w:pPr>
              <w:pStyle w:val="Style25"/>
              <w:widowControl w:val="false"/>
              <w:tabs>
                <w:tab w:val="clear" w:pos="720"/>
                <w:tab w:val="left" w:pos="-540" w:leader="none"/>
              </w:tabs>
              <w:spacing w:before="0" w:after="240"/>
              <w:jc w:val="left"/>
              <w:rPr>
                <w:rFonts w:ascii="Calibri" w:hAnsi="Calibri" w:eastAsia="Calibri" w:cs="Calibri"/>
                <w:b/>
                <w:b/>
                <w:sz w:val="22"/>
                <w:szCs w:val="22"/>
              </w:rPr>
            </w:pPr>
            <w:r>
              <w:rPr>
                <w:rFonts w:eastAsia="Calibri" w:cs="Calibri"/>
                <w:b/>
                <w:sz w:val="22"/>
                <w:szCs w:val="22"/>
              </w:rPr>
              <w:t>Παρατηρήσεις</w:t>
            </w:r>
          </w:p>
        </w:tc>
      </w:tr>
      <w:tr>
        <w:trPr/>
        <w:tc>
          <w:tcPr>
            <w:tcW w:w="2430" w:type="dxa"/>
            <w:tcBorders>
              <w:top w:val="single" w:sz="4" w:space="0" w:color="000000"/>
              <w:left w:val="single" w:sz="4" w:space="0" w:color="000000"/>
              <w:bottom w:val="single" w:sz="4" w:space="0" w:color="000000"/>
            </w:tcBorders>
          </w:tcPr>
          <w:p>
            <w:pPr>
              <w:pStyle w:val="Normal"/>
              <w:widowControl w:val="false"/>
              <w:spacing w:before="0" w:after="120"/>
              <w:rPr/>
            </w:pPr>
            <w:r>
              <w:rPr>
                <w:rStyle w:val="Style22"/>
                <w:rFonts w:cs="Calibri"/>
                <w:b w:val="false"/>
                <w:bCs w:val="false"/>
                <w:sz w:val="22"/>
                <w:szCs w:val="22"/>
              </w:rPr>
              <w:t>Υλικό σκελετού</w:t>
            </w:r>
          </w:p>
        </w:tc>
        <w:tc>
          <w:tcPr>
            <w:tcW w:w="4357" w:type="dxa"/>
            <w:tcBorders>
              <w:top w:val="single" w:sz="4" w:space="0" w:color="000000"/>
              <w:left w:val="single" w:sz="4" w:space="0" w:color="000000"/>
              <w:bottom w:val="single" w:sz="4" w:space="0" w:color="000000"/>
            </w:tcBorders>
            <w:vAlign w:val="center"/>
          </w:tcPr>
          <w:p>
            <w:pPr>
              <w:pStyle w:val="Normal"/>
              <w:widowControl w:val="false"/>
              <w:spacing w:before="0" w:after="120"/>
              <w:rPr>
                <w:rFonts w:ascii="Calibri" w:hAnsi="Calibri" w:cs="Calibri"/>
                <w:sz w:val="22"/>
                <w:szCs w:val="22"/>
              </w:rPr>
            </w:pPr>
            <w:r>
              <w:rPr>
                <w:rFonts w:cs="Calibri"/>
                <w:sz w:val="22"/>
                <w:szCs w:val="22"/>
              </w:rPr>
              <w:t>Ξύλο ή απομίμηση ξύλου</w:t>
            </w:r>
          </w:p>
        </w:tc>
        <w:tc>
          <w:tcPr>
            <w:tcW w:w="2629" w:type="dxa"/>
            <w:tcBorders>
              <w:top w:val="single" w:sz="4" w:space="0" w:color="000000"/>
              <w:left w:val="single" w:sz="4" w:space="0" w:color="000000"/>
              <w:bottom w:val="single" w:sz="4" w:space="0" w:color="000000"/>
              <w:right w:val="single" w:sz="4" w:space="0" w:color="000000"/>
            </w:tcBorders>
          </w:tcPr>
          <w:p>
            <w:pPr>
              <w:pStyle w:val="Style25"/>
              <w:widowControl w:val="false"/>
              <w:tabs>
                <w:tab w:val="clear" w:pos="720"/>
                <w:tab w:val="left" w:pos="-540" w:leader="none"/>
              </w:tabs>
              <w:snapToGrid w:val="false"/>
              <w:spacing w:before="0" w:after="240"/>
              <w:jc w:val="left"/>
              <w:rPr>
                <w:rFonts w:ascii="Calibri" w:hAnsi="Calibri" w:cs="Calibri"/>
                <w:sz w:val="22"/>
                <w:szCs w:val="22"/>
              </w:rPr>
            </w:pPr>
            <w:r>
              <w:rPr>
                <w:rFonts w:cs="Calibri"/>
                <w:sz w:val="22"/>
                <w:szCs w:val="22"/>
              </w:rPr>
            </w:r>
          </w:p>
        </w:tc>
      </w:tr>
      <w:tr>
        <w:trPr/>
        <w:tc>
          <w:tcPr>
            <w:tcW w:w="2430" w:type="dxa"/>
            <w:tcBorders>
              <w:left w:val="single" w:sz="4" w:space="0" w:color="000000"/>
              <w:bottom w:val="single" w:sz="4" w:space="0" w:color="000000"/>
            </w:tcBorders>
          </w:tcPr>
          <w:p>
            <w:pPr>
              <w:pStyle w:val="Normal"/>
              <w:widowControl w:val="false"/>
              <w:spacing w:before="0" w:after="120"/>
              <w:rPr/>
            </w:pPr>
            <w:r>
              <w:rPr>
                <w:rStyle w:val="Style22"/>
                <w:rFonts w:cs="Calibri"/>
                <w:b w:val="false"/>
                <w:bCs w:val="false"/>
                <w:sz w:val="22"/>
                <w:szCs w:val="22"/>
              </w:rPr>
              <w:t>Υλικό στο κάθισμα</w:t>
            </w:r>
          </w:p>
        </w:tc>
        <w:tc>
          <w:tcPr>
            <w:tcW w:w="4357" w:type="dxa"/>
            <w:tcBorders>
              <w:left w:val="single" w:sz="4" w:space="0" w:color="000000"/>
              <w:bottom w:val="single" w:sz="4" w:space="0" w:color="000000"/>
            </w:tcBorders>
            <w:vAlign w:val="center"/>
          </w:tcPr>
          <w:p>
            <w:pPr>
              <w:pStyle w:val="Normal"/>
              <w:widowControl w:val="false"/>
              <w:spacing w:before="0" w:after="120"/>
              <w:rPr/>
            </w:pPr>
            <w:r>
              <w:rPr>
                <w:rStyle w:val="Style22"/>
                <w:rFonts w:cs="Calibri"/>
                <w:b w:val="false"/>
                <w:bCs w:val="false"/>
                <w:sz w:val="22"/>
                <w:szCs w:val="22"/>
              </w:rPr>
              <w:t>Ύφασμα</w:t>
            </w:r>
          </w:p>
        </w:tc>
        <w:tc>
          <w:tcPr>
            <w:tcW w:w="2629" w:type="dxa"/>
            <w:tcBorders>
              <w:left w:val="single" w:sz="4" w:space="0" w:color="000000"/>
              <w:bottom w:val="single" w:sz="4" w:space="0" w:color="000000"/>
              <w:right w:val="single" w:sz="4" w:space="0" w:color="000000"/>
            </w:tcBorders>
          </w:tcPr>
          <w:p>
            <w:pPr>
              <w:pStyle w:val="Style25"/>
              <w:widowControl w:val="false"/>
              <w:tabs>
                <w:tab w:val="clear" w:pos="720"/>
                <w:tab w:val="left" w:pos="-540" w:leader="none"/>
              </w:tabs>
              <w:snapToGrid w:val="false"/>
              <w:spacing w:before="0" w:after="240"/>
              <w:jc w:val="left"/>
              <w:rPr>
                <w:rFonts w:ascii="Calibri" w:hAnsi="Calibri" w:cs="Calibri"/>
                <w:sz w:val="22"/>
                <w:szCs w:val="22"/>
              </w:rPr>
            </w:pPr>
            <w:r>
              <w:rPr>
                <w:rFonts w:cs="Calibri"/>
                <w:sz w:val="22"/>
                <w:szCs w:val="22"/>
              </w:rPr>
            </w:r>
          </w:p>
        </w:tc>
      </w:tr>
      <w:tr>
        <w:trPr/>
        <w:tc>
          <w:tcPr>
            <w:tcW w:w="2430" w:type="dxa"/>
            <w:tcBorders>
              <w:top w:val="single" w:sz="4" w:space="0" w:color="000000"/>
              <w:left w:val="single" w:sz="4" w:space="0" w:color="000000"/>
              <w:bottom w:val="single" w:sz="4" w:space="0" w:color="000000"/>
            </w:tcBorders>
          </w:tcPr>
          <w:p>
            <w:pPr>
              <w:pStyle w:val="Normal"/>
              <w:widowControl w:val="false"/>
              <w:spacing w:before="0" w:after="120"/>
              <w:rPr/>
            </w:pPr>
            <w:r>
              <w:rPr>
                <w:rStyle w:val="Style22"/>
                <w:rFonts w:cs="Calibri"/>
                <w:b w:val="false"/>
                <w:bCs w:val="false"/>
                <w:sz w:val="22"/>
                <w:szCs w:val="22"/>
              </w:rPr>
              <w:t>Μήκος</w:t>
            </w:r>
          </w:p>
        </w:tc>
        <w:tc>
          <w:tcPr>
            <w:tcW w:w="4357" w:type="dxa"/>
            <w:tcBorders>
              <w:top w:val="single" w:sz="4" w:space="0" w:color="000000"/>
              <w:left w:val="single" w:sz="4" w:space="0" w:color="000000"/>
              <w:bottom w:val="single" w:sz="4" w:space="0" w:color="000000"/>
            </w:tcBorders>
            <w:vAlign w:val="center"/>
          </w:tcPr>
          <w:p>
            <w:pPr>
              <w:pStyle w:val="Normal"/>
              <w:widowControl w:val="false"/>
              <w:spacing w:before="0" w:after="120"/>
              <w:rPr/>
            </w:pPr>
            <w:r>
              <w:rPr>
                <w:rFonts w:cs="Calibri"/>
                <w:sz w:val="22"/>
                <w:szCs w:val="22"/>
              </w:rPr>
              <w:t>&lt;=0,50</w:t>
            </w:r>
            <w:r>
              <w:rPr>
                <w:rFonts w:cs="Calibri"/>
                <w:sz w:val="22"/>
                <w:szCs w:val="22"/>
                <w:lang w:val="en-US"/>
              </w:rPr>
              <w:t>m</w:t>
            </w:r>
          </w:p>
        </w:tc>
        <w:tc>
          <w:tcPr>
            <w:tcW w:w="2629" w:type="dxa"/>
            <w:tcBorders>
              <w:top w:val="single" w:sz="4" w:space="0" w:color="000000"/>
              <w:left w:val="single" w:sz="4" w:space="0" w:color="000000"/>
              <w:bottom w:val="single" w:sz="4" w:space="0" w:color="000000"/>
              <w:right w:val="single" w:sz="4" w:space="0" w:color="000000"/>
            </w:tcBorders>
          </w:tcPr>
          <w:p>
            <w:pPr>
              <w:pStyle w:val="Style25"/>
              <w:widowControl w:val="false"/>
              <w:tabs>
                <w:tab w:val="clear" w:pos="720"/>
                <w:tab w:val="left" w:pos="-540" w:leader="none"/>
              </w:tabs>
              <w:snapToGrid w:val="false"/>
              <w:spacing w:before="0" w:after="240"/>
              <w:jc w:val="left"/>
              <w:rPr>
                <w:rFonts w:ascii="Calibri" w:hAnsi="Calibri" w:cs="Calibri"/>
                <w:sz w:val="22"/>
                <w:szCs w:val="22"/>
              </w:rPr>
            </w:pPr>
            <w:r>
              <w:rPr>
                <w:rFonts w:cs="Calibri"/>
                <w:sz w:val="22"/>
                <w:szCs w:val="22"/>
              </w:rPr>
            </w:r>
          </w:p>
        </w:tc>
      </w:tr>
      <w:tr>
        <w:trPr/>
        <w:tc>
          <w:tcPr>
            <w:tcW w:w="2430" w:type="dxa"/>
            <w:tcBorders>
              <w:top w:val="single" w:sz="4" w:space="0" w:color="000000"/>
              <w:left w:val="single" w:sz="4" w:space="0" w:color="000000"/>
              <w:bottom w:val="single" w:sz="4" w:space="0" w:color="000000"/>
            </w:tcBorders>
          </w:tcPr>
          <w:p>
            <w:pPr>
              <w:pStyle w:val="Normal"/>
              <w:widowControl w:val="false"/>
              <w:spacing w:before="0" w:after="120"/>
              <w:rPr/>
            </w:pPr>
            <w:r>
              <w:rPr>
                <w:rStyle w:val="Style22"/>
                <w:rFonts w:cs="Calibri"/>
                <w:b w:val="false"/>
                <w:bCs w:val="false"/>
                <w:sz w:val="22"/>
                <w:szCs w:val="22"/>
              </w:rPr>
              <w:t>Υψος</w:t>
            </w:r>
          </w:p>
        </w:tc>
        <w:tc>
          <w:tcPr>
            <w:tcW w:w="4357" w:type="dxa"/>
            <w:tcBorders>
              <w:top w:val="single" w:sz="4" w:space="0" w:color="000000"/>
              <w:left w:val="single" w:sz="4" w:space="0" w:color="000000"/>
              <w:bottom w:val="single" w:sz="4" w:space="0" w:color="000000"/>
            </w:tcBorders>
            <w:vAlign w:val="center"/>
          </w:tcPr>
          <w:p>
            <w:pPr>
              <w:pStyle w:val="Normal"/>
              <w:widowControl w:val="false"/>
              <w:spacing w:before="0" w:after="120"/>
              <w:rPr/>
            </w:pPr>
            <w:r>
              <w:rPr>
                <w:rFonts w:cs="Calibri"/>
                <w:sz w:val="22"/>
                <w:szCs w:val="22"/>
              </w:rPr>
              <w:t>&lt;=0,85</w:t>
            </w:r>
            <w:r>
              <w:rPr>
                <w:rFonts w:cs="Calibri"/>
                <w:sz w:val="22"/>
                <w:szCs w:val="22"/>
                <w:lang w:val="en-US"/>
              </w:rPr>
              <w:t>m</w:t>
            </w:r>
          </w:p>
        </w:tc>
        <w:tc>
          <w:tcPr>
            <w:tcW w:w="2629" w:type="dxa"/>
            <w:tcBorders>
              <w:top w:val="single" w:sz="4" w:space="0" w:color="000000"/>
              <w:left w:val="single" w:sz="4" w:space="0" w:color="000000"/>
              <w:bottom w:val="single" w:sz="4" w:space="0" w:color="000000"/>
              <w:right w:val="single" w:sz="4" w:space="0" w:color="000000"/>
            </w:tcBorders>
          </w:tcPr>
          <w:p>
            <w:pPr>
              <w:pStyle w:val="Style25"/>
              <w:widowControl w:val="false"/>
              <w:tabs>
                <w:tab w:val="clear" w:pos="720"/>
                <w:tab w:val="left" w:pos="-540" w:leader="none"/>
              </w:tabs>
              <w:snapToGrid w:val="false"/>
              <w:spacing w:before="0" w:after="240"/>
              <w:jc w:val="left"/>
              <w:rPr>
                <w:rFonts w:ascii="Calibri" w:hAnsi="Calibri" w:cs="Calibri"/>
                <w:sz w:val="22"/>
                <w:szCs w:val="22"/>
              </w:rPr>
            </w:pPr>
            <w:r>
              <w:rPr>
                <w:rFonts w:cs="Calibri"/>
                <w:sz w:val="22"/>
                <w:szCs w:val="22"/>
              </w:rPr>
            </w:r>
          </w:p>
        </w:tc>
      </w:tr>
      <w:tr>
        <w:trPr/>
        <w:tc>
          <w:tcPr>
            <w:tcW w:w="2430" w:type="dxa"/>
            <w:tcBorders>
              <w:left w:val="single" w:sz="4" w:space="0" w:color="000000"/>
              <w:bottom w:val="single" w:sz="4" w:space="0" w:color="000000"/>
            </w:tcBorders>
          </w:tcPr>
          <w:p>
            <w:pPr>
              <w:pStyle w:val="Normal"/>
              <w:widowControl w:val="false"/>
              <w:spacing w:before="0" w:after="120"/>
              <w:rPr/>
            </w:pPr>
            <w:r>
              <w:rPr>
                <w:rStyle w:val="Style22"/>
                <w:rFonts w:cs="Calibri"/>
                <w:b w:val="false"/>
                <w:bCs w:val="false"/>
                <w:sz w:val="22"/>
                <w:szCs w:val="22"/>
              </w:rPr>
              <w:t>Ύψος καθίσματος</w:t>
            </w:r>
          </w:p>
        </w:tc>
        <w:tc>
          <w:tcPr>
            <w:tcW w:w="4357" w:type="dxa"/>
            <w:tcBorders>
              <w:left w:val="single" w:sz="4" w:space="0" w:color="000000"/>
              <w:bottom w:val="single" w:sz="4" w:space="0" w:color="000000"/>
            </w:tcBorders>
            <w:vAlign w:val="center"/>
          </w:tcPr>
          <w:p>
            <w:pPr>
              <w:pStyle w:val="Normal"/>
              <w:widowControl w:val="false"/>
              <w:spacing w:before="0" w:after="120"/>
              <w:rPr/>
            </w:pPr>
            <w:r>
              <w:rPr>
                <w:rFonts w:cs="Calibri"/>
                <w:sz w:val="22"/>
                <w:szCs w:val="22"/>
              </w:rPr>
              <w:t>&gt;=0,45</w:t>
            </w:r>
            <w:r>
              <w:rPr>
                <w:rFonts w:cs="Calibri"/>
                <w:sz w:val="22"/>
                <w:szCs w:val="22"/>
                <w:lang w:val="en-US"/>
              </w:rPr>
              <w:t>m</w:t>
            </w:r>
          </w:p>
        </w:tc>
        <w:tc>
          <w:tcPr>
            <w:tcW w:w="2629" w:type="dxa"/>
            <w:tcBorders>
              <w:left w:val="single" w:sz="4" w:space="0" w:color="000000"/>
              <w:bottom w:val="single" w:sz="4" w:space="0" w:color="000000"/>
              <w:right w:val="single" w:sz="4" w:space="0" w:color="000000"/>
            </w:tcBorders>
          </w:tcPr>
          <w:p>
            <w:pPr>
              <w:pStyle w:val="Style25"/>
              <w:widowControl w:val="false"/>
              <w:tabs>
                <w:tab w:val="clear" w:pos="720"/>
                <w:tab w:val="left" w:pos="-540" w:leader="none"/>
              </w:tabs>
              <w:snapToGrid w:val="false"/>
              <w:spacing w:before="0" w:after="240"/>
              <w:jc w:val="left"/>
              <w:rPr>
                <w:rFonts w:ascii="Calibri" w:hAnsi="Calibri" w:cs="Calibri"/>
                <w:sz w:val="22"/>
                <w:szCs w:val="22"/>
              </w:rPr>
            </w:pPr>
            <w:r>
              <w:rPr>
                <w:rFonts w:cs="Calibri"/>
                <w:sz w:val="22"/>
                <w:szCs w:val="22"/>
              </w:rPr>
            </w:r>
          </w:p>
        </w:tc>
      </w:tr>
      <w:tr>
        <w:trPr/>
        <w:tc>
          <w:tcPr>
            <w:tcW w:w="2430" w:type="dxa"/>
            <w:tcBorders>
              <w:top w:val="single" w:sz="4" w:space="0" w:color="000000"/>
              <w:left w:val="single" w:sz="4" w:space="0" w:color="000000"/>
              <w:bottom w:val="single" w:sz="4" w:space="0" w:color="000000"/>
            </w:tcBorders>
          </w:tcPr>
          <w:p>
            <w:pPr>
              <w:pStyle w:val="Normal"/>
              <w:widowControl w:val="false"/>
              <w:spacing w:before="0" w:after="120"/>
              <w:rPr/>
            </w:pPr>
            <w:r>
              <w:rPr>
                <w:rStyle w:val="Style22"/>
                <w:rFonts w:cs="Calibri"/>
                <w:b w:val="false"/>
                <w:bCs w:val="false"/>
                <w:sz w:val="22"/>
                <w:szCs w:val="22"/>
              </w:rPr>
              <w:t>Πλάτος</w:t>
            </w:r>
          </w:p>
        </w:tc>
        <w:tc>
          <w:tcPr>
            <w:tcW w:w="4357" w:type="dxa"/>
            <w:tcBorders>
              <w:top w:val="single" w:sz="4" w:space="0" w:color="000000"/>
              <w:left w:val="single" w:sz="4" w:space="0" w:color="000000"/>
              <w:bottom w:val="single" w:sz="4" w:space="0" w:color="000000"/>
            </w:tcBorders>
            <w:vAlign w:val="center"/>
          </w:tcPr>
          <w:p>
            <w:pPr>
              <w:pStyle w:val="Normal"/>
              <w:widowControl w:val="false"/>
              <w:spacing w:before="0" w:after="120"/>
              <w:rPr/>
            </w:pPr>
            <w:r>
              <w:rPr>
                <w:rFonts w:cs="Calibri"/>
                <w:sz w:val="22"/>
                <w:szCs w:val="22"/>
              </w:rPr>
              <w:t>&gt;=0,35</w:t>
            </w:r>
            <w:r>
              <w:rPr>
                <w:rFonts w:cs="Calibri"/>
                <w:sz w:val="22"/>
                <w:szCs w:val="22"/>
                <w:lang w:val="en-US"/>
              </w:rPr>
              <w:t>m</w:t>
            </w:r>
          </w:p>
        </w:tc>
        <w:tc>
          <w:tcPr>
            <w:tcW w:w="2629" w:type="dxa"/>
            <w:tcBorders>
              <w:top w:val="single" w:sz="4" w:space="0" w:color="000000"/>
              <w:left w:val="single" w:sz="4" w:space="0" w:color="000000"/>
              <w:bottom w:val="single" w:sz="4" w:space="0" w:color="000000"/>
              <w:right w:val="single" w:sz="4" w:space="0" w:color="000000"/>
            </w:tcBorders>
          </w:tcPr>
          <w:p>
            <w:pPr>
              <w:pStyle w:val="Style25"/>
              <w:widowControl w:val="false"/>
              <w:tabs>
                <w:tab w:val="clear" w:pos="720"/>
                <w:tab w:val="left" w:pos="-540" w:leader="none"/>
              </w:tabs>
              <w:snapToGrid w:val="false"/>
              <w:spacing w:before="0" w:after="240"/>
              <w:jc w:val="left"/>
              <w:rPr>
                <w:rFonts w:ascii="Calibri" w:hAnsi="Calibri" w:cs="Calibri"/>
                <w:sz w:val="22"/>
                <w:szCs w:val="22"/>
              </w:rPr>
            </w:pPr>
            <w:r>
              <w:rPr>
                <w:rFonts w:cs="Calibri"/>
                <w:sz w:val="22"/>
                <w:szCs w:val="22"/>
              </w:rPr>
            </w:r>
          </w:p>
        </w:tc>
      </w:tr>
      <w:tr>
        <w:trPr/>
        <w:tc>
          <w:tcPr>
            <w:tcW w:w="2430" w:type="dxa"/>
            <w:tcBorders>
              <w:top w:val="single" w:sz="4" w:space="0" w:color="000000"/>
              <w:left w:val="single" w:sz="4" w:space="0" w:color="000000"/>
              <w:bottom w:val="single" w:sz="4" w:space="0" w:color="000000"/>
            </w:tcBorders>
          </w:tcPr>
          <w:p>
            <w:pPr>
              <w:pStyle w:val="Normal"/>
              <w:widowControl w:val="false"/>
              <w:spacing w:before="0" w:after="120"/>
              <w:rPr/>
            </w:pPr>
            <w:r>
              <w:rPr>
                <w:rStyle w:val="Style22"/>
                <w:rFonts w:cs="Calibri"/>
                <w:b w:val="false"/>
                <w:bCs w:val="false"/>
                <w:sz w:val="22"/>
                <w:szCs w:val="22"/>
              </w:rPr>
              <w:t>Χρώμα</w:t>
            </w:r>
          </w:p>
        </w:tc>
        <w:tc>
          <w:tcPr>
            <w:tcW w:w="4357" w:type="dxa"/>
            <w:tcBorders>
              <w:top w:val="single" w:sz="4" w:space="0" w:color="000000"/>
              <w:left w:val="single" w:sz="4" w:space="0" w:color="000000"/>
              <w:bottom w:val="single" w:sz="4" w:space="0" w:color="000000"/>
            </w:tcBorders>
            <w:vAlign w:val="center"/>
          </w:tcPr>
          <w:p>
            <w:pPr>
              <w:pStyle w:val="Normal"/>
              <w:widowControl w:val="false"/>
              <w:spacing w:before="0" w:after="120"/>
              <w:rPr>
                <w:rFonts w:ascii="Calibri" w:hAnsi="Calibri" w:cs="Calibri"/>
                <w:sz w:val="22"/>
                <w:szCs w:val="22"/>
              </w:rPr>
            </w:pPr>
            <w:r>
              <w:rPr>
                <w:rFonts w:cs="Calibri"/>
                <w:sz w:val="22"/>
                <w:szCs w:val="22"/>
              </w:rPr>
              <w:t>Αποχρώσεις του μπεζ ή του καφέ</w:t>
            </w:r>
          </w:p>
        </w:tc>
        <w:tc>
          <w:tcPr>
            <w:tcW w:w="2629" w:type="dxa"/>
            <w:tcBorders>
              <w:top w:val="single" w:sz="4" w:space="0" w:color="000000"/>
              <w:left w:val="single" w:sz="4" w:space="0" w:color="000000"/>
              <w:bottom w:val="single" w:sz="4" w:space="0" w:color="000000"/>
              <w:right w:val="single" w:sz="4" w:space="0" w:color="000000"/>
            </w:tcBorders>
          </w:tcPr>
          <w:p>
            <w:pPr>
              <w:pStyle w:val="Style25"/>
              <w:widowControl w:val="false"/>
              <w:tabs>
                <w:tab w:val="clear" w:pos="720"/>
                <w:tab w:val="left" w:pos="-540" w:leader="none"/>
              </w:tabs>
              <w:snapToGrid w:val="false"/>
              <w:spacing w:before="0" w:after="240"/>
              <w:jc w:val="left"/>
              <w:rPr>
                <w:rFonts w:ascii="Calibri" w:hAnsi="Calibri" w:cs="Calibri"/>
                <w:sz w:val="22"/>
                <w:szCs w:val="22"/>
              </w:rPr>
            </w:pPr>
            <w:r>
              <w:rPr>
                <w:rFonts w:cs="Calibri"/>
                <w:sz w:val="22"/>
                <w:szCs w:val="22"/>
              </w:rPr>
            </w:r>
          </w:p>
        </w:tc>
      </w:tr>
    </w:tbl>
    <w:p>
      <w:pPr>
        <w:pStyle w:val="Normal"/>
        <w:tabs>
          <w:tab w:val="clear" w:pos="720"/>
          <w:tab w:val="left" w:pos="4800" w:leader="none"/>
        </w:tabs>
        <w:ind w:firstLine="1134"/>
        <w:rPr>
          <w:rFonts w:ascii="Calibri" w:hAnsi="Calibri" w:cs="Calibri"/>
          <w:sz w:val="22"/>
          <w:szCs w:val="22"/>
        </w:rPr>
      </w:pPr>
      <w:r>
        <w:rPr>
          <w:rFonts w:cs="Calibri"/>
          <w:sz w:val="22"/>
          <w:szCs w:val="22"/>
        </w:rPr>
      </w:r>
    </w:p>
    <w:p>
      <w:pPr>
        <w:pStyle w:val="Normal"/>
        <w:tabs>
          <w:tab w:val="clear" w:pos="720"/>
          <w:tab w:val="left" w:pos="4800" w:leader="none"/>
        </w:tabs>
        <w:ind w:firstLine="1134"/>
        <w:rPr/>
      </w:pPr>
      <w:r>
        <w:rPr>
          <w:rFonts w:cs="Calibri"/>
          <w:b/>
          <w:sz w:val="22"/>
          <w:szCs w:val="22"/>
          <w:lang w:val="en-US"/>
        </w:rPr>
        <w:t>2</w:t>
      </w:r>
      <w:r>
        <w:rPr>
          <w:rFonts w:cs="Calibri"/>
          <w:b/>
          <w:sz w:val="22"/>
          <w:szCs w:val="22"/>
        </w:rPr>
        <w:t>1</w:t>
      </w:r>
      <w:r>
        <w:rPr>
          <w:rFonts w:cs="Calibri"/>
          <w:b/>
          <w:sz w:val="22"/>
          <w:szCs w:val="22"/>
          <w:lang w:val="en-US"/>
        </w:rPr>
        <w:t>.</w:t>
      </w:r>
      <w:r>
        <w:rPr>
          <w:rFonts w:cs="Calibri"/>
          <w:b/>
          <w:bCs/>
          <w:sz w:val="22"/>
          <w:szCs w:val="22"/>
        </w:rPr>
        <w:t xml:space="preserve"> Συρταριέρα</w:t>
      </w:r>
    </w:p>
    <w:tbl>
      <w:tblPr>
        <w:tblW w:w="9416" w:type="dxa"/>
        <w:jc w:val="left"/>
        <w:tblInd w:w="-65" w:type="dxa"/>
        <w:tblLayout w:type="fixed"/>
        <w:tblCellMar>
          <w:top w:w="0" w:type="dxa"/>
          <w:left w:w="108" w:type="dxa"/>
          <w:bottom w:w="0" w:type="dxa"/>
          <w:right w:w="108" w:type="dxa"/>
        </w:tblCellMar>
      </w:tblPr>
      <w:tblGrid>
        <w:gridCol w:w="2434"/>
        <w:gridCol w:w="4353"/>
        <w:gridCol w:w="2629"/>
      </w:tblGrid>
      <w:tr>
        <w:trPr/>
        <w:tc>
          <w:tcPr>
            <w:tcW w:w="2434" w:type="dxa"/>
            <w:tcBorders>
              <w:top w:val="single" w:sz="4" w:space="0" w:color="000000"/>
              <w:left w:val="single" w:sz="4" w:space="0" w:color="000000"/>
              <w:bottom w:val="single" w:sz="4" w:space="0" w:color="000000"/>
            </w:tcBorders>
            <w:shd w:fill="F2F2F2" w:val="clear"/>
          </w:tcPr>
          <w:p>
            <w:pPr>
              <w:pStyle w:val="Style25"/>
              <w:widowControl w:val="false"/>
              <w:tabs>
                <w:tab w:val="clear" w:pos="720"/>
                <w:tab w:val="left" w:pos="-540" w:leader="none"/>
              </w:tabs>
              <w:spacing w:before="0" w:after="240"/>
              <w:jc w:val="left"/>
              <w:rPr>
                <w:rFonts w:ascii="Calibri" w:hAnsi="Calibri" w:cs="Calibri"/>
                <w:b/>
                <w:b/>
                <w:sz w:val="22"/>
                <w:szCs w:val="22"/>
              </w:rPr>
            </w:pPr>
            <w:r>
              <w:rPr>
                <w:rFonts w:cs="Calibri"/>
                <w:b/>
                <w:sz w:val="22"/>
                <w:szCs w:val="22"/>
              </w:rPr>
              <w:t>Χαρακτηριστικό</w:t>
            </w:r>
          </w:p>
        </w:tc>
        <w:tc>
          <w:tcPr>
            <w:tcW w:w="4353" w:type="dxa"/>
            <w:tcBorders>
              <w:top w:val="single" w:sz="4" w:space="0" w:color="000000"/>
              <w:left w:val="single" w:sz="4" w:space="0" w:color="000000"/>
              <w:bottom w:val="single" w:sz="4" w:space="0" w:color="000000"/>
            </w:tcBorders>
            <w:shd w:fill="F2F2F2" w:val="clear"/>
          </w:tcPr>
          <w:p>
            <w:pPr>
              <w:pStyle w:val="Style25"/>
              <w:widowControl w:val="false"/>
              <w:tabs>
                <w:tab w:val="clear" w:pos="720"/>
                <w:tab w:val="left" w:pos="-540" w:leader="none"/>
              </w:tabs>
              <w:spacing w:before="0" w:after="240"/>
              <w:jc w:val="left"/>
              <w:rPr>
                <w:rFonts w:ascii="Calibri" w:hAnsi="Calibri" w:cs="Calibri"/>
                <w:b/>
                <w:b/>
                <w:sz w:val="22"/>
                <w:szCs w:val="22"/>
              </w:rPr>
            </w:pPr>
            <w:r>
              <w:rPr>
                <w:rFonts w:cs="Calibri"/>
                <w:b/>
                <w:sz w:val="22"/>
                <w:szCs w:val="22"/>
              </w:rPr>
              <w:t>Απαίτηση</w:t>
            </w:r>
          </w:p>
        </w:tc>
        <w:tc>
          <w:tcPr>
            <w:tcW w:w="2629" w:type="dxa"/>
            <w:tcBorders>
              <w:top w:val="single" w:sz="4" w:space="0" w:color="000000"/>
              <w:left w:val="single" w:sz="4" w:space="0" w:color="000000"/>
              <w:bottom w:val="single" w:sz="4" w:space="0" w:color="000000"/>
              <w:right w:val="single" w:sz="4" w:space="0" w:color="000000"/>
            </w:tcBorders>
            <w:shd w:fill="F2F2F2" w:val="clear"/>
          </w:tcPr>
          <w:p>
            <w:pPr>
              <w:pStyle w:val="Style25"/>
              <w:widowControl w:val="false"/>
              <w:tabs>
                <w:tab w:val="clear" w:pos="720"/>
                <w:tab w:val="left" w:pos="-540" w:leader="none"/>
              </w:tabs>
              <w:spacing w:before="0" w:after="240"/>
              <w:jc w:val="left"/>
              <w:rPr>
                <w:rFonts w:ascii="Calibri" w:hAnsi="Calibri" w:cs="Calibri"/>
                <w:b/>
                <w:b/>
                <w:sz w:val="22"/>
                <w:szCs w:val="22"/>
              </w:rPr>
            </w:pPr>
            <w:r>
              <w:rPr>
                <w:rFonts w:cs="Calibri"/>
                <w:b/>
                <w:sz w:val="22"/>
                <w:szCs w:val="22"/>
              </w:rPr>
              <w:t>Παρατηρήσεις</w:t>
            </w:r>
          </w:p>
        </w:tc>
      </w:tr>
      <w:tr>
        <w:trPr/>
        <w:tc>
          <w:tcPr>
            <w:tcW w:w="2434" w:type="dxa"/>
            <w:tcBorders>
              <w:top w:val="single" w:sz="4" w:space="0" w:color="000000"/>
              <w:left w:val="single" w:sz="4" w:space="0" w:color="000000"/>
              <w:bottom w:val="single" w:sz="4" w:space="0" w:color="000000"/>
            </w:tcBorders>
          </w:tcPr>
          <w:p>
            <w:pPr>
              <w:pStyle w:val="Normal"/>
              <w:widowControl w:val="false"/>
              <w:spacing w:before="0" w:after="120"/>
              <w:rPr/>
            </w:pPr>
            <w:r>
              <w:rPr>
                <w:rStyle w:val="Style22"/>
                <w:rFonts w:cs="Calibri"/>
                <w:b w:val="false"/>
                <w:bCs w:val="false"/>
                <w:sz w:val="22"/>
                <w:szCs w:val="22"/>
              </w:rPr>
              <w:t>Υλικό</w:t>
            </w:r>
          </w:p>
        </w:tc>
        <w:tc>
          <w:tcPr>
            <w:tcW w:w="4353" w:type="dxa"/>
            <w:tcBorders>
              <w:top w:val="single" w:sz="4" w:space="0" w:color="000000"/>
              <w:left w:val="single" w:sz="4" w:space="0" w:color="000000"/>
              <w:bottom w:val="single" w:sz="4" w:space="0" w:color="000000"/>
            </w:tcBorders>
            <w:vAlign w:val="center"/>
          </w:tcPr>
          <w:p>
            <w:pPr>
              <w:pStyle w:val="Normal"/>
              <w:widowControl w:val="false"/>
              <w:spacing w:before="0" w:after="120"/>
              <w:rPr/>
            </w:pPr>
            <w:r>
              <w:rPr>
                <w:rFonts w:cs="Calibri"/>
                <w:sz w:val="22"/>
                <w:szCs w:val="22"/>
              </w:rPr>
              <w:t xml:space="preserve">Ξύλο ή μοριοσανίδα </w:t>
            </w:r>
            <w:r>
              <w:rPr>
                <w:rFonts w:cs="Calibri"/>
                <w:sz w:val="22"/>
                <w:szCs w:val="22"/>
                <w:lang w:val="en-US"/>
              </w:rPr>
              <w:t>(</w:t>
            </w:r>
            <w:r>
              <w:rPr>
                <w:rFonts w:cs="Calibri"/>
                <w:sz w:val="22"/>
                <w:szCs w:val="22"/>
              </w:rPr>
              <w:t>μελαμίνη</w:t>
            </w:r>
            <w:r>
              <w:rPr>
                <w:rFonts w:cs="Calibri"/>
                <w:sz w:val="22"/>
                <w:szCs w:val="22"/>
                <w:lang w:val="en-US"/>
              </w:rPr>
              <w:t>)</w:t>
            </w:r>
          </w:p>
        </w:tc>
        <w:tc>
          <w:tcPr>
            <w:tcW w:w="2629" w:type="dxa"/>
            <w:tcBorders>
              <w:top w:val="single" w:sz="4" w:space="0" w:color="000000"/>
              <w:left w:val="single" w:sz="4" w:space="0" w:color="000000"/>
              <w:bottom w:val="single" w:sz="4" w:space="0" w:color="000000"/>
              <w:right w:val="single" w:sz="4" w:space="0" w:color="000000"/>
            </w:tcBorders>
          </w:tcPr>
          <w:p>
            <w:pPr>
              <w:pStyle w:val="Style25"/>
              <w:widowControl w:val="false"/>
              <w:tabs>
                <w:tab w:val="clear" w:pos="720"/>
                <w:tab w:val="left" w:pos="-540" w:leader="none"/>
              </w:tabs>
              <w:snapToGrid w:val="false"/>
              <w:spacing w:before="0" w:after="240"/>
              <w:jc w:val="left"/>
              <w:rPr>
                <w:rFonts w:ascii="Calibri" w:hAnsi="Calibri" w:cs="Calibri"/>
                <w:sz w:val="22"/>
                <w:szCs w:val="22"/>
              </w:rPr>
            </w:pPr>
            <w:r>
              <w:rPr>
                <w:rFonts w:cs="Calibri"/>
                <w:sz w:val="22"/>
                <w:szCs w:val="22"/>
              </w:rPr>
            </w:r>
          </w:p>
        </w:tc>
      </w:tr>
      <w:tr>
        <w:trPr/>
        <w:tc>
          <w:tcPr>
            <w:tcW w:w="2434" w:type="dxa"/>
            <w:tcBorders>
              <w:top w:val="single" w:sz="4" w:space="0" w:color="000000"/>
              <w:left w:val="single" w:sz="4" w:space="0" w:color="000000"/>
              <w:bottom w:val="single" w:sz="4" w:space="0" w:color="000000"/>
            </w:tcBorders>
          </w:tcPr>
          <w:p>
            <w:pPr>
              <w:pStyle w:val="Normal"/>
              <w:widowControl w:val="false"/>
              <w:spacing w:before="0" w:after="120"/>
              <w:rPr/>
            </w:pPr>
            <w:r>
              <w:rPr>
                <w:rStyle w:val="Style22"/>
                <w:rFonts w:cs="Calibri"/>
                <w:b w:val="false"/>
                <w:bCs w:val="false"/>
                <w:sz w:val="22"/>
                <w:szCs w:val="22"/>
              </w:rPr>
              <w:t>Αριθμός συρταριών</w:t>
            </w:r>
          </w:p>
        </w:tc>
        <w:tc>
          <w:tcPr>
            <w:tcW w:w="4353" w:type="dxa"/>
            <w:tcBorders>
              <w:top w:val="single" w:sz="4" w:space="0" w:color="000000"/>
              <w:left w:val="single" w:sz="4" w:space="0" w:color="000000"/>
              <w:bottom w:val="single" w:sz="4" w:space="0" w:color="000000"/>
            </w:tcBorders>
            <w:vAlign w:val="center"/>
          </w:tcPr>
          <w:p>
            <w:pPr>
              <w:pStyle w:val="Normal"/>
              <w:widowControl w:val="false"/>
              <w:spacing w:before="0" w:after="120"/>
              <w:rPr>
                <w:rFonts w:ascii="Calibri" w:hAnsi="Calibri" w:cs="Calibri"/>
                <w:sz w:val="22"/>
                <w:szCs w:val="22"/>
              </w:rPr>
            </w:pPr>
            <w:r>
              <w:rPr>
                <w:rFonts w:cs="Calibri"/>
                <w:sz w:val="22"/>
                <w:szCs w:val="22"/>
              </w:rPr>
              <w:t>4 έως 5 συρτάρια</w:t>
            </w:r>
          </w:p>
        </w:tc>
        <w:tc>
          <w:tcPr>
            <w:tcW w:w="2629" w:type="dxa"/>
            <w:tcBorders>
              <w:top w:val="single" w:sz="4" w:space="0" w:color="000000"/>
              <w:left w:val="single" w:sz="4" w:space="0" w:color="000000"/>
              <w:bottom w:val="single" w:sz="4" w:space="0" w:color="000000"/>
              <w:right w:val="single" w:sz="4" w:space="0" w:color="000000"/>
            </w:tcBorders>
          </w:tcPr>
          <w:p>
            <w:pPr>
              <w:pStyle w:val="Style25"/>
              <w:widowControl w:val="false"/>
              <w:tabs>
                <w:tab w:val="clear" w:pos="720"/>
                <w:tab w:val="left" w:pos="-540" w:leader="none"/>
              </w:tabs>
              <w:snapToGrid w:val="false"/>
              <w:spacing w:before="0" w:after="240"/>
              <w:jc w:val="left"/>
              <w:rPr>
                <w:rFonts w:ascii="Calibri" w:hAnsi="Calibri" w:cs="Calibri"/>
                <w:sz w:val="22"/>
                <w:szCs w:val="22"/>
              </w:rPr>
            </w:pPr>
            <w:r>
              <w:rPr>
                <w:rFonts w:cs="Calibri"/>
                <w:sz w:val="22"/>
                <w:szCs w:val="22"/>
              </w:rPr>
            </w:r>
          </w:p>
        </w:tc>
      </w:tr>
      <w:tr>
        <w:trPr/>
        <w:tc>
          <w:tcPr>
            <w:tcW w:w="2434" w:type="dxa"/>
            <w:tcBorders>
              <w:top w:val="single" w:sz="4" w:space="0" w:color="000000"/>
              <w:left w:val="single" w:sz="4" w:space="0" w:color="000000"/>
              <w:bottom w:val="single" w:sz="4" w:space="0" w:color="000000"/>
            </w:tcBorders>
          </w:tcPr>
          <w:p>
            <w:pPr>
              <w:pStyle w:val="Normal"/>
              <w:widowControl w:val="false"/>
              <w:spacing w:before="0" w:after="120"/>
              <w:rPr/>
            </w:pPr>
            <w:r>
              <w:rPr>
                <w:rStyle w:val="Style22"/>
                <w:rFonts w:cs="Calibri"/>
                <w:b w:val="false"/>
                <w:bCs w:val="false"/>
                <w:sz w:val="22"/>
                <w:szCs w:val="22"/>
              </w:rPr>
              <w:t>Μήκος</w:t>
            </w:r>
          </w:p>
        </w:tc>
        <w:tc>
          <w:tcPr>
            <w:tcW w:w="4353" w:type="dxa"/>
            <w:tcBorders>
              <w:top w:val="single" w:sz="4" w:space="0" w:color="000000"/>
              <w:left w:val="single" w:sz="4" w:space="0" w:color="000000"/>
              <w:bottom w:val="single" w:sz="4" w:space="0" w:color="000000"/>
            </w:tcBorders>
            <w:vAlign w:val="center"/>
          </w:tcPr>
          <w:p>
            <w:pPr>
              <w:pStyle w:val="Normal"/>
              <w:widowControl w:val="false"/>
              <w:spacing w:before="0" w:after="120"/>
              <w:rPr>
                <w:rFonts w:ascii="Calibri" w:hAnsi="Calibri" w:cs="Calibri"/>
                <w:sz w:val="22"/>
                <w:szCs w:val="22"/>
                <w:lang w:val="en-US"/>
              </w:rPr>
            </w:pPr>
            <w:r>
              <w:rPr>
                <w:rFonts w:cs="Calibri"/>
                <w:sz w:val="22"/>
                <w:szCs w:val="22"/>
                <w:lang w:val="en-US"/>
              </w:rPr>
              <w:t>80cm</w:t>
            </w:r>
          </w:p>
        </w:tc>
        <w:tc>
          <w:tcPr>
            <w:tcW w:w="2629" w:type="dxa"/>
            <w:tcBorders>
              <w:top w:val="single" w:sz="4" w:space="0" w:color="000000"/>
              <w:left w:val="single" w:sz="4" w:space="0" w:color="000000"/>
              <w:bottom w:val="single" w:sz="4" w:space="0" w:color="000000"/>
              <w:right w:val="single" w:sz="4" w:space="0" w:color="000000"/>
            </w:tcBorders>
          </w:tcPr>
          <w:p>
            <w:pPr>
              <w:pStyle w:val="Style25"/>
              <w:widowControl w:val="false"/>
              <w:tabs>
                <w:tab w:val="clear" w:pos="720"/>
                <w:tab w:val="left" w:pos="-540" w:leader="none"/>
              </w:tabs>
              <w:snapToGrid w:val="false"/>
              <w:spacing w:before="0" w:after="240"/>
              <w:jc w:val="left"/>
              <w:rPr>
                <w:rFonts w:ascii="Calibri" w:hAnsi="Calibri" w:cs="Calibri"/>
                <w:sz w:val="22"/>
                <w:szCs w:val="22"/>
              </w:rPr>
            </w:pPr>
            <w:r>
              <w:rPr>
                <w:rFonts w:cs="Calibri"/>
                <w:sz w:val="22"/>
                <w:szCs w:val="22"/>
              </w:rPr>
            </w:r>
          </w:p>
        </w:tc>
      </w:tr>
      <w:tr>
        <w:trPr/>
        <w:tc>
          <w:tcPr>
            <w:tcW w:w="2434" w:type="dxa"/>
            <w:tcBorders>
              <w:top w:val="single" w:sz="4" w:space="0" w:color="000000"/>
              <w:left w:val="single" w:sz="4" w:space="0" w:color="000000"/>
              <w:bottom w:val="single" w:sz="4" w:space="0" w:color="000000"/>
            </w:tcBorders>
          </w:tcPr>
          <w:p>
            <w:pPr>
              <w:pStyle w:val="Normal"/>
              <w:widowControl w:val="false"/>
              <w:spacing w:before="0" w:after="120"/>
              <w:rPr/>
            </w:pPr>
            <w:r>
              <w:rPr>
                <w:rStyle w:val="Style22"/>
                <w:rFonts w:cs="Calibri"/>
                <w:b w:val="false"/>
                <w:bCs w:val="false"/>
                <w:sz w:val="22"/>
                <w:szCs w:val="22"/>
              </w:rPr>
              <w:t>Υψος</w:t>
            </w:r>
          </w:p>
        </w:tc>
        <w:tc>
          <w:tcPr>
            <w:tcW w:w="4353" w:type="dxa"/>
            <w:tcBorders>
              <w:top w:val="single" w:sz="4" w:space="0" w:color="000000"/>
              <w:left w:val="single" w:sz="4" w:space="0" w:color="000000"/>
              <w:bottom w:val="single" w:sz="4" w:space="0" w:color="000000"/>
            </w:tcBorders>
            <w:vAlign w:val="center"/>
          </w:tcPr>
          <w:p>
            <w:pPr>
              <w:pStyle w:val="Normal"/>
              <w:widowControl w:val="false"/>
              <w:spacing w:before="0" w:after="120"/>
              <w:rPr>
                <w:rFonts w:ascii="Calibri" w:hAnsi="Calibri" w:cs="Calibri"/>
                <w:sz w:val="22"/>
                <w:szCs w:val="22"/>
                <w:lang w:val="en-US"/>
              </w:rPr>
            </w:pPr>
            <w:r>
              <w:rPr>
                <w:rFonts w:cs="Calibri"/>
                <w:sz w:val="22"/>
                <w:szCs w:val="22"/>
                <w:lang w:val="en-US"/>
              </w:rPr>
              <w:t>&gt;=100cm</w:t>
            </w:r>
          </w:p>
        </w:tc>
        <w:tc>
          <w:tcPr>
            <w:tcW w:w="2629" w:type="dxa"/>
            <w:tcBorders>
              <w:top w:val="single" w:sz="4" w:space="0" w:color="000000"/>
              <w:left w:val="single" w:sz="4" w:space="0" w:color="000000"/>
              <w:bottom w:val="single" w:sz="4" w:space="0" w:color="000000"/>
              <w:right w:val="single" w:sz="4" w:space="0" w:color="000000"/>
            </w:tcBorders>
          </w:tcPr>
          <w:p>
            <w:pPr>
              <w:pStyle w:val="Style25"/>
              <w:widowControl w:val="false"/>
              <w:tabs>
                <w:tab w:val="clear" w:pos="720"/>
                <w:tab w:val="left" w:pos="-540" w:leader="none"/>
              </w:tabs>
              <w:snapToGrid w:val="false"/>
              <w:spacing w:before="0" w:after="240"/>
              <w:jc w:val="left"/>
              <w:rPr>
                <w:rFonts w:ascii="Calibri" w:hAnsi="Calibri" w:cs="Calibri"/>
                <w:sz w:val="22"/>
                <w:szCs w:val="22"/>
                <w:lang w:val="en-US"/>
              </w:rPr>
            </w:pPr>
            <w:r>
              <w:rPr>
                <w:rFonts w:cs="Calibri"/>
                <w:sz w:val="22"/>
                <w:szCs w:val="22"/>
                <w:lang w:val="en-US"/>
              </w:rPr>
            </w:r>
          </w:p>
        </w:tc>
      </w:tr>
      <w:tr>
        <w:trPr/>
        <w:tc>
          <w:tcPr>
            <w:tcW w:w="2434" w:type="dxa"/>
            <w:tcBorders>
              <w:top w:val="single" w:sz="4" w:space="0" w:color="000000"/>
              <w:left w:val="single" w:sz="4" w:space="0" w:color="000000"/>
              <w:bottom w:val="single" w:sz="4" w:space="0" w:color="000000"/>
            </w:tcBorders>
          </w:tcPr>
          <w:p>
            <w:pPr>
              <w:pStyle w:val="Normal"/>
              <w:widowControl w:val="false"/>
              <w:spacing w:before="0" w:after="120"/>
              <w:rPr/>
            </w:pPr>
            <w:r>
              <w:rPr>
                <w:rStyle w:val="Style22"/>
                <w:rFonts w:cs="Calibri"/>
                <w:b w:val="false"/>
                <w:bCs w:val="false"/>
                <w:sz w:val="22"/>
                <w:szCs w:val="22"/>
              </w:rPr>
              <w:t>Πλάτος</w:t>
            </w:r>
          </w:p>
        </w:tc>
        <w:tc>
          <w:tcPr>
            <w:tcW w:w="4353" w:type="dxa"/>
            <w:tcBorders>
              <w:top w:val="single" w:sz="4" w:space="0" w:color="000000"/>
              <w:left w:val="single" w:sz="4" w:space="0" w:color="000000"/>
              <w:bottom w:val="single" w:sz="4" w:space="0" w:color="000000"/>
            </w:tcBorders>
            <w:vAlign w:val="center"/>
          </w:tcPr>
          <w:p>
            <w:pPr>
              <w:pStyle w:val="Normal"/>
              <w:widowControl w:val="false"/>
              <w:spacing w:before="0" w:after="120"/>
              <w:rPr/>
            </w:pPr>
            <w:r>
              <w:rPr>
                <w:rFonts w:cs="Calibri"/>
                <w:sz w:val="22"/>
                <w:szCs w:val="22"/>
              </w:rPr>
              <w:t>Από 40 έως 45</w:t>
            </w:r>
            <w:r>
              <w:rPr>
                <w:rFonts w:cs="Calibri"/>
                <w:sz w:val="22"/>
                <w:szCs w:val="22"/>
                <w:lang w:val="en-US"/>
              </w:rPr>
              <w:t>cm</w:t>
            </w:r>
          </w:p>
        </w:tc>
        <w:tc>
          <w:tcPr>
            <w:tcW w:w="2629" w:type="dxa"/>
            <w:tcBorders>
              <w:top w:val="single" w:sz="4" w:space="0" w:color="000000"/>
              <w:left w:val="single" w:sz="4" w:space="0" w:color="000000"/>
              <w:bottom w:val="single" w:sz="4" w:space="0" w:color="000000"/>
              <w:right w:val="single" w:sz="4" w:space="0" w:color="000000"/>
            </w:tcBorders>
          </w:tcPr>
          <w:p>
            <w:pPr>
              <w:pStyle w:val="Style25"/>
              <w:widowControl w:val="false"/>
              <w:tabs>
                <w:tab w:val="clear" w:pos="720"/>
                <w:tab w:val="left" w:pos="-540" w:leader="none"/>
              </w:tabs>
              <w:snapToGrid w:val="false"/>
              <w:spacing w:before="0" w:after="240"/>
              <w:jc w:val="left"/>
              <w:rPr>
                <w:rFonts w:ascii="Calibri" w:hAnsi="Calibri" w:cs="Calibri"/>
                <w:sz w:val="22"/>
                <w:szCs w:val="22"/>
              </w:rPr>
            </w:pPr>
            <w:r>
              <w:rPr>
                <w:rFonts w:cs="Calibri"/>
                <w:sz w:val="22"/>
                <w:szCs w:val="22"/>
              </w:rPr>
            </w:r>
          </w:p>
        </w:tc>
      </w:tr>
      <w:tr>
        <w:trPr/>
        <w:tc>
          <w:tcPr>
            <w:tcW w:w="2434" w:type="dxa"/>
            <w:tcBorders>
              <w:top w:val="single" w:sz="4" w:space="0" w:color="000000"/>
              <w:left w:val="single" w:sz="4" w:space="0" w:color="000000"/>
              <w:bottom w:val="single" w:sz="4" w:space="0" w:color="000000"/>
            </w:tcBorders>
          </w:tcPr>
          <w:p>
            <w:pPr>
              <w:pStyle w:val="Normal"/>
              <w:widowControl w:val="false"/>
              <w:spacing w:before="0" w:after="120"/>
              <w:rPr/>
            </w:pPr>
            <w:r>
              <w:rPr>
                <w:rStyle w:val="Style22"/>
                <w:rFonts w:cs="Calibri"/>
                <w:b w:val="false"/>
                <w:bCs w:val="false"/>
                <w:sz w:val="22"/>
                <w:szCs w:val="22"/>
              </w:rPr>
              <w:t>Χρώμα</w:t>
            </w:r>
          </w:p>
        </w:tc>
        <w:tc>
          <w:tcPr>
            <w:tcW w:w="4353" w:type="dxa"/>
            <w:tcBorders>
              <w:top w:val="single" w:sz="4" w:space="0" w:color="000000"/>
              <w:left w:val="single" w:sz="4" w:space="0" w:color="000000"/>
              <w:bottom w:val="single" w:sz="4" w:space="0" w:color="000000"/>
            </w:tcBorders>
            <w:vAlign w:val="center"/>
          </w:tcPr>
          <w:p>
            <w:pPr>
              <w:pStyle w:val="Normal"/>
              <w:widowControl w:val="false"/>
              <w:spacing w:before="0" w:after="120"/>
              <w:rPr>
                <w:rFonts w:ascii="Calibri" w:hAnsi="Calibri" w:cs="Calibri"/>
                <w:sz w:val="22"/>
                <w:szCs w:val="22"/>
              </w:rPr>
            </w:pPr>
            <w:r>
              <w:rPr>
                <w:rFonts w:cs="Calibri"/>
                <w:sz w:val="22"/>
                <w:szCs w:val="22"/>
              </w:rPr>
              <w:t>Αποχρώσεις του μπεζ ή του καφέ</w:t>
            </w:r>
          </w:p>
        </w:tc>
        <w:tc>
          <w:tcPr>
            <w:tcW w:w="2629" w:type="dxa"/>
            <w:tcBorders>
              <w:top w:val="single" w:sz="4" w:space="0" w:color="000000"/>
              <w:left w:val="single" w:sz="4" w:space="0" w:color="000000"/>
              <w:bottom w:val="single" w:sz="4" w:space="0" w:color="000000"/>
              <w:right w:val="single" w:sz="4" w:space="0" w:color="000000"/>
            </w:tcBorders>
          </w:tcPr>
          <w:p>
            <w:pPr>
              <w:pStyle w:val="Style25"/>
              <w:widowControl w:val="false"/>
              <w:tabs>
                <w:tab w:val="clear" w:pos="720"/>
                <w:tab w:val="left" w:pos="-540" w:leader="none"/>
              </w:tabs>
              <w:snapToGrid w:val="false"/>
              <w:spacing w:before="0" w:after="240"/>
              <w:jc w:val="left"/>
              <w:rPr>
                <w:rFonts w:ascii="Calibri" w:hAnsi="Calibri" w:cs="Calibri"/>
                <w:sz w:val="22"/>
                <w:szCs w:val="22"/>
              </w:rPr>
            </w:pPr>
            <w:r>
              <w:rPr>
                <w:rFonts w:cs="Calibri"/>
                <w:sz w:val="22"/>
                <w:szCs w:val="22"/>
              </w:rPr>
            </w:r>
          </w:p>
        </w:tc>
      </w:tr>
    </w:tbl>
    <w:p>
      <w:pPr>
        <w:pStyle w:val="Normal"/>
        <w:tabs>
          <w:tab w:val="clear" w:pos="720"/>
          <w:tab w:val="left" w:pos="4095" w:leader="none"/>
        </w:tabs>
        <w:ind w:hanging="0"/>
        <w:rPr>
          <w:rFonts w:ascii="Calibri" w:hAnsi="Calibri" w:cs="Calibri"/>
          <w:sz w:val="22"/>
          <w:szCs w:val="22"/>
        </w:rPr>
      </w:pPr>
      <w:r>
        <w:rPr>
          <w:rFonts w:cs="Calibri"/>
          <w:sz w:val="22"/>
          <w:szCs w:val="22"/>
        </w:rPr>
      </w:r>
    </w:p>
    <w:p>
      <w:pPr>
        <w:pStyle w:val="Normal"/>
        <w:tabs>
          <w:tab w:val="clear" w:pos="720"/>
          <w:tab w:val="left" w:pos="4800" w:leader="none"/>
        </w:tabs>
        <w:ind w:left="1077" w:hanging="0"/>
        <w:rPr>
          <w:rFonts w:ascii="Calibri" w:hAnsi="Calibri" w:cs="Calibri"/>
          <w:b/>
          <w:b/>
          <w:bCs/>
          <w:sz w:val="22"/>
          <w:szCs w:val="22"/>
        </w:rPr>
      </w:pPr>
      <w:r>
        <w:rPr>
          <w:rFonts w:cs="Calibri"/>
          <w:b/>
          <w:bCs/>
          <w:sz w:val="22"/>
          <w:szCs w:val="22"/>
        </w:rPr>
        <w:t>22. Φωτιστικά οροφής μεγάλα</w:t>
      </w:r>
    </w:p>
    <w:tbl>
      <w:tblPr>
        <w:tblW w:w="9416" w:type="dxa"/>
        <w:jc w:val="left"/>
        <w:tblInd w:w="-65" w:type="dxa"/>
        <w:tblLayout w:type="fixed"/>
        <w:tblCellMar>
          <w:top w:w="0" w:type="dxa"/>
          <w:left w:w="108" w:type="dxa"/>
          <w:bottom w:w="0" w:type="dxa"/>
          <w:right w:w="108" w:type="dxa"/>
        </w:tblCellMar>
      </w:tblPr>
      <w:tblGrid>
        <w:gridCol w:w="2434"/>
        <w:gridCol w:w="4353"/>
        <w:gridCol w:w="2629"/>
      </w:tblGrid>
      <w:tr>
        <w:trPr/>
        <w:tc>
          <w:tcPr>
            <w:tcW w:w="2434" w:type="dxa"/>
            <w:tcBorders>
              <w:top w:val="single" w:sz="4" w:space="0" w:color="000000"/>
              <w:left w:val="single" w:sz="4" w:space="0" w:color="000000"/>
              <w:bottom w:val="single" w:sz="4" w:space="0" w:color="000000"/>
            </w:tcBorders>
            <w:shd w:fill="F2F2F2" w:val="clear"/>
          </w:tcPr>
          <w:p>
            <w:pPr>
              <w:pStyle w:val="Style25"/>
              <w:widowControl w:val="false"/>
              <w:tabs>
                <w:tab w:val="clear" w:pos="720"/>
                <w:tab w:val="left" w:pos="-540" w:leader="none"/>
              </w:tabs>
              <w:spacing w:before="0" w:after="240"/>
              <w:jc w:val="left"/>
              <w:rPr>
                <w:rFonts w:ascii="Calibri" w:hAnsi="Calibri" w:cs="Calibri"/>
                <w:b/>
                <w:b/>
                <w:sz w:val="22"/>
                <w:szCs w:val="22"/>
              </w:rPr>
            </w:pPr>
            <w:r>
              <w:rPr>
                <w:rFonts w:cs="Calibri"/>
                <w:b/>
                <w:sz w:val="22"/>
                <w:szCs w:val="22"/>
              </w:rPr>
              <w:t>Χαρακτηριστικό</w:t>
            </w:r>
          </w:p>
        </w:tc>
        <w:tc>
          <w:tcPr>
            <w:tcW w:w="4353" w:type="dxa"/>
            <w:tcBorders>
              <w:top w:val="single" w:sz="4" w:space="0" w:color="000000"/>
              <w:left w:val="single" w:sz="4" w:space="0" w:color="000000"/>
              <w:bottom w:val="single" w:sz="4" w:space="0" w:color="000000"/>
            </w:tcBorders>
            <w:shd w:fill="F2F2F2" w:val="clear"/>
          </w:tcPr>
          <w:p>
            <w:pPr>
              <w:pStyle w:val="Style25"/>
              <w:widowControl w:val="false"/>
              <w:tabs>
                <w:tab w:val="clear" w:pos="720"/>
                <w:tab w:val="left" w:pos="-540" w:leader="none"/>
              </w:tabs>
              <w:spacing w:before="0" w:after="240"/>
              <w:jc w:val="left"/>
              <w:rPr>
                <w:rFonts w:ascii="Calibri" w:hAnsi="Calibri" w:cs="Calibri"/>
                <w:b/>
                <w:b/>
                <w:sz w:val="22"/>
                <w:szCs w:val="22"/>
              </w:rPr>
            </w:pPr>
            <w:r>
              <w:rPr>
                <w:rFonts w:cs="Calibri"/>
                <w:b/>
                <w:sz w:val="22"/>
                <w:szCs w:val="22"/>
              </w:rPr>
              <w:t>Απαίτηση</w:t>
            </w:r>
          </w:p>
        </w:tc>
        <w:tc>
          <w:tcPr>
            <w:tcW w:w="2629" w:type="dxa"/>
            <w:tcBorders>
              <w:top w:val="single" w:sz="4" w:space="0" w:color="000000"/>
              <w:left w:val="single" w:sz="4" w:space="0" w:color="000000"/>
              <w:bottom w:val="single" w:sz="4" w:space="0" w:color="000000"/>
              <w:right w:val="single" w:sz="4" w:space="0" w:color="000000"/>
            </w:tcBorders>
            <w:shd w:fill="F2F2F2" w:val="clear"/>
          </w:tcPr>
          <w:p>
            <w:pPr>
              <w:pStyle w:val="Style25"/>
              <w:widowControl w:val="false"/>
              <w:tabs>
                <w:tab w:val="clear" w:pos="720"/>
                <w:tab w:val="left" w:pos="-540" w:leader="none"/>
              </w:tabs>
              <w:spacing w:before="0" w:after="240"/>
              <w:jc w:val="left"/>
              <w:rPr>
                <w:rFonts w:ascii="Calibri" w:hAnsi="Calibri" w:cs="Calibri"/>
                <w:b/>
                <w:b/>
                <w:sz w:val="22"/>
                <w:szCs w:val="22"/>
              </w:rPr>
            </w:pPr>
            <w:r>
              <w:rPr>
                <w:rFonts w:cs="Calibri"/>
                <w:b/>
                <w:sz w:val="22"/>
                <w:szCs w:val="22"/>
              </w:rPr>
              <w:t>Παρατηρήσεις</w:t>
            </w:r>
          </w:p>
        </w:tc>
      </w:tr>
      <w:tr>
        <w:trPr/>
        <w:tc>
          <w:tcPr>
            <w:tcW w:w="2434" w:type="dxa"/>
            <w:tcBorders>
              <w:top w:val="single" w:sz="4" w:space="0" w:color="000000"/>
              <w:left w:val="single" w:sz="4" w:space="0" w:color="000000"/>
              <w:bottom w:val="single" w:sz="4" w:space="0" w:color="000000"/>
            </w:tcBorders>
          </w:tcPr>
          <w:p>
            <w:pPr>
              <w:pStyle w:val="Normal"/>
              <w:widowControl w:val="false"/>
              <w:snapToGrid w:val="false"/>
              <w:spacing w:before="0" w:after="120"/>
              <w:rPr>
                <w:rFonts w:ascii="Calibri" w:hAnsi="Calibri" w:cs="Calibri"/>
                <w:sz w:val="22"/>
                <w:szCs w:val="22"/>
              </w:rPr>
            </w:pPr>
            <w:r>
              <w:rPr>
                <w:rFonts w:cs="Calibri"/>
                <w:sz w:val="22"/>
                <w:szCs w:val="22"/>
              </w:rPr>
              <w:t>Οροφής</w:t>
            </w:r>
          </w:p>
        </w:tc>
        <w:tc>
          <w:tcPr>
            <w:tcW w:w="4353" w:type="dxa"/>
            <w:tcBorders>
              <w:top w:val="single" w:sz="4" w:space="0" w:color="000000"/>
              <w:left w:val="single" w:sz="4" w:space="0" w:color="000000"/>
              <w:bottom w:val="single" w:sz="4" w:space="0" w:color="000000"/>
            </w:tcBorders>
          </w:tcPr>
          <w:p>
            <w:pPr>
              <w:pStyle w:val="Normal"/>
              <w:widowControl w:val="false"/>
              <w:snapToGrid w:val="false"/>
              <w:spacing w:before="0" w:after="120"/>
              <w:rPr>
                <w:rFonts w:ascii="Calibri" w:hAnsi="Calibri" w:cs="Calibri"/>
                <w:sz w:val="22"/>
                <w:szCs w:val="22"/>
              </w:rPr>
            </w:pPr>
            <w:r>
              <w:rPr>
                <w:rFonts w:cs="Calibri"/>
                <w:sz w:val="22"/>
                <w:szCs w:val="22"/>
              </w:rPr>
              <w:t>Κρεμαστό</w:t>
            </w:r>
          </w:p>
        </w:tc>
        <w:tc>
          <w:tcPr>
            <w:tcW w:w="2629" w:type="dxa"/>
            <w:tcBorders>
              <w:top w:val="single" w:sz="4" w:space="0" w:color="000000"/>
              <w:left w:val="single" w:sz="4" w:space="0" w:color="000000"/>
              <w:bottom w:val="single" w:sz="4" w:space="0" w:color="000000"/>
              <w:right w:val="single" w:sz="4" w:space="0" w:color="000000"/>
            </w:tcBorders>
          </w:tcPr>
          <w:p>
            <w:pPr>
              <w:pStyle w:val="Style25"/>
              <w:widowControl w:val="false"/>
              <w:tabs>
                <w:tab w:val="clear" w:pos="720"/>
                <w:tab w:val="left" w:pos="-540" w:leader="none"/>
              </w:tabs>
              <w:snapToGrid w:val="false"/>
              <w:spacing w:before="0" w:after="240"/>
              <w:jc w:val="left"/>
              <w:rPr>
                <w:rFonts w:ascii="Calibri" w:hAnsi="Calibri" w:cs="Calibri"/>
                <w:sz w:val="22"/>
                <w:szCs w:val="22"/>
              </w:rPr>
            </w:pPr>
            <w:r>
              <w:rPr>
                <w:rFonts w:cs="Calibri"/>
                <w:sz w:val="22"/>
                <w:szCs w:val="22"/>
              </w:rPr>
            </w:r>
          </w:p>
        </w:tc>
      </w:tr>
      <w:tr>
        <w:trPr/>
        <w:tc>
          <w:tcPr>
            <w:tcW w:w="2434" w:type="dxa"/>
            <w:tcBorders>
              <w:left w:val="single" w:sz="4" w:space="0" w:color="000000"/>
              <w:bottom w:val="single" w:sz="4" w:space="0" w:color="000000"/>
            </w:tcBorders>
          </w:tcPr>
          <w:p>
            <w:pPr>
              <w:pStyle w:val="Normal"/>
              <w:widowControl w:val="false"/>
              <w:snapToGrid w:val="false"/>
              <w:spacing w:before="0" w:after="120"/>
              <w:rPr>
                <w:rFonts w:ascii="Calibri" w:hAnsi="Calibri" w:cs="Calibri"/>
                <w:sz w:val="22"/>
                <w:szCs w:val="22"/>
              </w:rPr>
            </w:pPr>
            <w:r>
              <w:rPr>
                <w:rFonts w:cs="Calibri"/>
                <w:sz w:val="22"/>
                <w:szCs w:val="22"/>
              </w:rPr>
              <w:t>Αριθμός λαμπτήρων</w:t>
            </w:r>
          </w:p>
        </w:tc>
        <w:tc>
          <w:tcPr>
            <w:tcW w:w="4353" w:type="dxa"/>
            <w:tcBorders>
              <w:left w:val="single" w:sz="4" w:space="0" w:color="000000"/>
              <w:bottom w:val="single" w:sz="4" w:space="0" w:color="000000"/>
            </w:tcBorders>
          </w:tcPr>
          <w:p>
            <w:pPr>
              <w:pStyle w:val="Normal"/>
              <w:widowControl w:val="false"/>
              <w:snapToGrid w:val="false"/>
              <w:spacing w:before="0" w:after="120"/>
              <w:rPr>
                <w:rFonts w:ascii="Calibri" w:hAnsi="Calibri" w:cs="Calibri"/>
                <w:sz w:val="22"/>
                <w:szCs w:val="22"/>
              </w:rPr>
            </w:pPr>
            <w:r>
              <w:rPr>
                <w:rFonts w:cs="Calibri"/>
                <w:sz w:val="22"/>
                <w:szCs w:val="22"/>
              </w:rPr>
              <w:t>Μονόφωτο</w:t>
            </w:r>
          </w:p>
        </w:tc>
        <w:tc>
          <w:tcPr>
            <w:tcW w:w="2629" w:type="dxa"/>
            <w:tcBorders>
              <w:left w:val="single" w:sz="4" w:space="0" w:color="000000"/>
              <w:bottom w:val="single" w:sz="4" w:space="0" w:color="000000"/>
              <w:right w:val="single" w:sz="4" w:space="0" w:color="000000"/>
            </w:tcBorders>
          </w:tcPr>
          <w:p>
            <w:pPr>
              <w:pStyle w:val="Style25"/>
              <w:widowControl w:val="false"/>
              <w:tabs>
                <w:tab w:val="clear" w:pos="720"/>
                <w:tab w:val="left" w:pos="-540" w:leader="none"/>
              </w:tabs>
              <w:snapToGrid w:val="false"/>
              <w:spacing w:before="0" w:after="240"/>
              <w:jc w:val="left"/>
              <w:rPr>
                <w:rFonts w:ascii="Calibri" w:hAnsi="Calibri" w:cs="Calibri"/>
                <w:sz w:val="22"/>
                <w:szCs w:val="22"/>
              </w:rPr>
            </w:pPr>
            <w:r>
              <w:rPr>
                <w:rFonts w:cs="Calibri"/>
                <w:sz w:val="22"/>
                <w:szCs w:val="22"/>
              </w:rPr>
            </w:r>
          </w:p>
        </w:tc>
      </w:tr>
      <w:tr>
        <w:trPr/>
        <w:tc>
          <w:tcPr>
            <w:tcW w:w="2434" w:type="dxa"/>
            <w:tcBorders>
              <w:left w:val="single" w:sz="4" w:space="0" w:color="000000"/>
              <w:bottom w:val="single" w:sz="4" w:space="0" w:color="000000"/>
            </w:tcBorders>
          </w:tcPr>
          <w:p>
            <w:pPr>
              <w:pStyle w:val="Normal"/>
              <w:widowControl w:val="false"/>
              <w:snapToGrid w:val="false"/>
              <w:spacing w:before="0" w:after="120"/>
              <w:rPr>
                <w:rFonts w:ascii="Calibri" w:hAnsi="Calibri" w:cs="Calibri"/>
                <w:sz w:val="22"/>
                <w:szCs w:val="22"/>
              </w:rPr>
            </w:pPr>
            <w:r>
              <w:rPr>
                <w:rFonts w:cs="Calibri"/>
                <w:sz w:val="22"/>
                <w:szCs w:val="22"/>
              </w:rPr>
              <w:t>Χρώμα</w:t>
            </w:r>
          </w:p>
        </w:tc>
        <w:tc>
          <w:tcPr>
            <w:tcW w:w="4353" w:type="dxa"/>
            <w:tcBorders>
              <w:left w:val="single" w:sz="4" w:space="0" w:color="000000"/>
              <w:bottom w:val="single" w:sz="4" w:space="0" w:color="000000"/>
            </w:tcBorders>
          </w:tcPr>
          <w:p>
            <w:pPr>
              <w:pStyle w:val="Normal"/>
              <w:widowControl w:val="false"/>
              <w:snapToGrid w:val="false"/>
              <w:spacing w:before="0" w:after="120"/>
              <w:rPr>
                <w:rFonts w:ascii="Calibri" w:hAnsi="Calibri" w:cs="Calibri"/>
                <w:sz w:val="22"/>
                <w:szCs w:val="22"/>
              </w:rPr>
            </w:pPr>
            <w:r>
              <w:rPr>
                <w:rFonts w:cs="Calibri"/>
                <w:sz w:val="22"/>
                <w:szCs w:val="22"/>
              </w:rPr>
              <w:t>Λευκό</w:t>
            </w:r>
          </w:p>
        </w:tc>
        <w:tc>
          <w:tcPr>
            <w:tcW w:w="2629" w:type="dxa"/>
            <w:tcBorders>
              <w:left w:val="single" w:sz="4" w:space="0" w:color="000000"/>
              <w:bottom w:val="single" w:sz="4" w:space="0" w:color="000000"/>
              <w:right w:val="single" w:sz="4" w:space="0" w:color="000000"/>
            </w:tcBorders>
          </w:tcPr>
          <w:p>
            <w:pPr>
              <w:pStyle w:val="Style25"/>
              <w:widowControl w:val="false"/>
              <w:tabs>
                <w:tab w:val="clear" w:pos="720"/>
                <w:tab w:val="left" w:pos="-540" w:leader="none"/>
              </w:tabs>
              <w:snapToGrid w:val="false"/>
              <w:spacing w:before="0" w:after="240"/>
              <w:jc w:val="left"/>
              <w:rPr>
                <w:rFonts w:ascii="Calibri" w:hAnsi="Calibri" w:cs="Calibri"/>
                <w:sz w:val="22"/>
                <w:szCs w:val="22"/>
              </w:rPr>
            </w:pPr>
            <w:r>
              <w:rPr>
                <w:rFonts w:cs="Calibri"/>
                <w:sz w:val="22"/>
                <w:szCs w:val="22"/>
              </w:rPr>
            </w:r>
          </w:p>
        </w:tc>
      </w:tr>
      <w:tr>
        <w:trPr/>
        <w:tc>
          <w:tcPr>
            <w:tcW w:w="2434" w:type="dxa"/>
            <w:tcBorders>
              <w:left w:val="single" w:sz="4" w:space="0" w:color="000000"/>
              <w:bottom w:val="single" w:sz="4" w:space="0" w:color="000000"/>
            </w:tcBorders>
          </w:tcPr>
          <w:p>
            <w:pPr>
              <w:pStyle w:val="Normal"/>
              <w:widowControl w:val="false"/>
              <w:snapToGrid w:val="false"/>
              <w:spacing w:before="0" w:after="120"/>
              <w:rPr>
                <w:rFonts w:ascii="Calibri" w:hAnsi="Calibri" w:cs="Calibri"/>
                <w:sz w:val="22"/>
                <w:szCs w:val="22"/>
              </w:rPr>
            </w:pPr>
            <w:r>
              <w:rPr>
                <w:rFonts w:cs="Calibri"/>
                <w:sz w:val="22"/>
                <w:szCs w:val="22"/>
              </w:rPr>
              <w:t>Υλικό</w:t>
            </w:r>
          </w:p>
        </w:tc>
        <w:tc>
          <w:tcPr>
            <w:tcW w:w="4353" w:type="dxa"/>
            <w:tcBorders>
              <w:left w:val="single" w:sz="4" w:space="0" w:color="000000"/>
              <w:bottom w:val="single" w:sz="4" w:space="0" w:color="000000"/>
            </w:tcBorders>
          </w:tcPr>
          <w:p>
            <w:pPr>
              <w:pStyle w:val="Normal"/>
              <w:widowControl w:val="false"/>
              <w:snapToGrid w:val="false"/>
              <w:spacing w:before="0" w:after="120"/>
              <w:rPr>
                <w:rFonts w:ascii="Calibri" w:hAnsi="Calibri" w:cs="Calibri"/>
                <w:sz w:val="22"/>
                <w:szCs w:val="22"/>
              </w:rPr>
            </w:pPr>
            <w:r>
              <w:rPr>
                <w:rFonts w:cs="Calibri"/>
                <w:sz w:val="22"/>
                <w:szCs w:val="22"/>
              </w:rPr>
              <w:t>Γυαλί</w:t>
            </w:r>
          </w:p>
        </w:tc>
        <w:tc>
          <w:tcPr>
            <w:tcW w:w="2629" w:type="dxa"/>
            <w:tcBorders>
              <w:left w:val="single" w:sz="4" w:space="0" w:color="000000"/>
              <w:bottom w:val="single" w:sz="4" w:space="0" w:color="000000"/>
              <w:right w:val="single" w:sz="4" w:space="0" w:color="000000"/>
            </w:tcBorders>
          </w:tcPr>
          <w:p>
            <w:pPr>
              <w:pStyle w:val="Style25"/>
              <w:widowControl w:val="false"/>
              <w:tabs>
                <w:tab w:val="clear" w:pos="720"/>
                <w:tab w:val="left" w:pos="-540" w:leader="none"/>
              </w:tabs>
              <w:snapToGrid w:val="false"/>
              <w:spacing w:before="0" w:after="240"/>
              <w:jc w:val="left"/>
              <w:rPr>
                <w:rFonts w:ascii="Calibri" w:hAnsi="Calibri" w:cs="Calibri"/>
                <w:sz w:val="22"/>
                <w:szCs w:val="22"/>
              </w:rPr>
            </w:pPr>
            <w:r>
              <w:rPr>
                <w:rFonts w:cs="Calibri"/>
                <w:sz w:val="22"/>
                <w:szCs w:val="22"/>
              </w:rPr>
            </w:r>
          </w:p>
        </w:tc>
      </w:tr>
      <w:tr>
        <w:trPr/>
        <w:tc>
          <w:tcPr>
            <w:tcW w:w="2434" w:type="dxa"/>
            <w:tcBorders>
              <w:left w:val="single" w:sz="4" w:space="0" w:color="000000"/>
              <w:bottom w:val="single" w:sz="4" w:space="0" w:color="000000"/>
            </w:tcBorders>
          </w:tcPr>
          <w:p>
            <w:pPr>
              <w:pStyle w:val="Normal"/>
              <w:widowControl w:val="false"/>
              <w:snapToGrid w:val="false"/>
              <w:spacing w:before="0" w:after="120"/>
              <w:rPr>
                <w:rFonts w:ascii="Calibri" w:hAnsi="Calibri" w:cs="Calibri"/>
                <w:sz w:val="22"/>
                <w:szCs w:val="22"/>
              </w:rPr>
            </w:pPr>
            <w:r>
              <w:rPr>
                <w:rFonts w:cs="Calibri"/>
                <w:sz w:val="22"/>
                <w:szCs w:val="22"/>
              </w:rPr>
              <w:t>Φάρδος</w:t>
            </w:r>
          </w:p>
        </w:tc>
        <w:tc>
          <w:tcPr>
            <w:tcW w:w="4353" w:type="dxa"/>
            <w:tcBorders>
              <w:left w:val="single" w:sz="4" w:space="0" w:color="000000"/>
              <w:bottom w:val="single" w:sz="4" w:space="0" w:color="000000"/>
            </w:tcBorders>
          </w:tcPr>
          <w:p>
            <w:pPr>
              <w:pStyle w:val="Normal"/>
              <w:widowControl w:val="false"/>
              <w:snapToGrid w:val="false"/>
              <w:spacing w:before="0" w:after="120"/>
              <w:rPr/>
            </w:pPr>
            <w:r>
              <w:rPr>
                <w:rFonts w:cs="Calibri"/>
                <w:sz w:val="22"/>
                <w:szCs w:val="22"/>
              </w:rPr>
              <w:t xml:space="preserve">Από 40 έως </w:t>
            </w:r>
            <w:r>
              <w:rPr>
                <w:rFonts w:cs="Calibri"/>
                <w:sz w:val="22"/>
                <w:szCs w:val="22"/>
                <w:lang w:val="en-US"/>
              </w:rPr>
              <w:t xml:space="preserve">45cm </w:t>
            </w:r>
            <w:r>
              <w:rPr>
                <w:rFonts w:cs="Calibri"/>
                <w:sz w:val="22"/>
                <w:szCs w:val="22"/>
              </w:rPr>
              <w:t>περίπου</w:t>
            </w:r>
          </w:p>
        </w:tc>
        <w:tc>
          <w:tcPr>
            <w:tcW w:w="2629" w:type="dxa"/>
            <w:tcBorders>
              <w:left w:val="single" w:sz="4" w:space="0" w:color="000000"/>
              <w:bottom w:val="single" w:sz="4" w:space="0" w:color="000000"/>
              <w:right w:val="single" w:sz="4" w:space="0" w:color="000000"/>
            </w:tcBorders>
          </w:tcPr>
          <w:p>
            <w:pPr>
              <w:pStyle w:val="Style25"/>
              <w:widowControl w:val="false"/>
              <w:tabs>
                <w:tab w:val="clear" w:pos="720"/>
                <w:tab w:val="left" w:pos="-540" w:leader="none"/>
              </w:tabs>
              <w:snapToGrid w:val="false"/>
              <w:spacing w:before="0" w:after="240"/>
              <w:jc w:val="left"/>
              <w:rPr>
                <w:rFonts w:ascii="Calibri" w:hAnsi="Calibri" w:cs="Calibri"/>
                <w:sz w:val="22"/>
                <w:szCs w:val="22"/>
              </w:rPr>
            </w:pPr>
            <w:r>
              <w:rPr>
                <w:rFonts w:cs="Calibri"/>
                <w:sz w:val="22"/>
                <w:szCs w:val="22"/>
              </w:rPr>
            </w:r>
          </w:p>
        </w:tc>
      </w:tr>
      <w:tr>
        <w:trPr/>
        <w:tc>
          <w:tcPr>
            <w:tcW w:w="2434" w:type="dxa"/>
            <w:tcBorders>
              <w:left w:val="single" w:sz="4" w:space="0" w:color="000000"/>
              <w:bottom w:val="single" w:sz="4" w:space="0" w:color="000000"/>
            </w:tcBorders>
          </w:tcPr>
          <w:p>
            <w:pPr>
              <w:pStyle w:val="Normal"/>
              <w:widowControl w:val="false"/>
              <w:snapToGrid w:val="false"/>
              <w:spacing w:before="0" w:after="120"/>
              <w:rPr>
                <w:rFonts w:ascii="Calibri" w:hAnsi="Calibri" w:cs="Calibri"/>
                <w:sz w:val="22"/>
                <w:szCs w:val="22"/>
              </w:rPr>
            </w:pPr>
            <w:r>
              <w:rPr>
                <w:rFonts w:cs="Calibri"/>
                <w:sz w:val="22"/>
                <w:szCs w:val="22"/>
              </w:rPr>
              <w:t>Ύψος</w:t>
            </w:r>
          </w:p>
        </w:tc>
        <w:tc>
          <w:tcPr>
            <w:tcW w:w="4353" w:type="dxa"/>
            <w:tcBorders>
              <w:left w:val="single" w:sz="4" w:space="0" w:color="000000"/>
              <w:bottom w:val="single" w:sz="4" w:space="0" w:color="000000"/>
            </w:tcBorders>
          </w:tcPr>
          <w:p>
            <w:pPr>
              <w:pStyle w:val="Normal"/>
              <w:widowControl w:val="false"/>
              <w:snapToGrid w:val="false"/>
              <w:spacing w:before="0" w:after="120"/>
              <w:rPr/>
            </w:pPr>
            <w:r>
              <w:rPr>
                <w:rFonts w:cs="Calibri"/>
                <w:sz w:val="22"/>
                <w:szCs w:val="22"/>
              </w:rPr>
              <w:t>1,20</w:t>
            </w:r>
            <w:r>
              <w:rPr>
                <w:rFonts w:cs="Calibri"/>
                <w:sz w:val="22"/>
                <w:szCs w:val="22"/>
                <w:lang w:val="en-US"/>
              </w:rPr>
              <w:t xml:space="preserve">m </w:t>
            </w:r>
            <w:r>
              <w:rPr>
                <w:rFonts w:cs="Calibri"/>
                <w:sz w:val="22"/>
                <w:szCs w:val="22"/>
              </w:rPr>
              <w:t>περίπου</w:t>
            </w:r>
          </w:p>
        </w:tc>
        <w:tc>
          <w:tcPr>
            <w:tcW w:w="2629" w:type="dxa"/>
            <w:tcBorders>
              <w:left w:val="single" w:sz="4" w:space="0" w:color="000000"/>
              <w:bottom w:val="single" w:sz="4" w:space="0" w:color="000000"/>
              <w:right w:val="single" w:sz="4" w:space="0" w:color="000000"/>
            </w:tcBorders>
          </w:tcPr>
          <w:p>
            <w:pPr>
              <w:pStyle w:val="Style25"/>
              <w:widowControl w:val="false"/>
              <w:tabs>
                <w:tab w:val="clear" w:pos="720"/>
                <w:tab w:val="left" w:pos="-540" w:leader="none"/>
              </w:tabs>
              <w:snapToGrid w:val="false"/>
              <w:spacing w:before="0" w:after="240"/>
              <w:jc w:val="left"/>
              <w:rPr>
                <w:rFonts w:ascii="Calibri" w:hAnsi="Calibri" w:cs="Calibri"/>
                <w:sz w:val="22"/>
                <w:szCs w:val="22"/>
              </w:rPr>
            </w:pPr>
            <w:r>
              <w:rPr>
                <w:rFonts w:cs="Calibri"/>
                <w:sz w:val="22"/>
                <w:szCs w:val="22"/>
              </w:rPr>
            </w:r>
          </w:p>
        </w:tc>
      </w:tr>
      <w:tr>
        <w:trPr/>
        <w:tc>
          <w:tcPr>
            <w:tcW w:w="2434" w:type="dxa"/>
            <w:tcBorders>
              <w:left w:val="single" w:sz="4" w:space="0" w:color="000000"/>
              <w:bottom w:val="single" w:sz="4" w:space="0" w:color="000000"/>
            </w:tcBorders>
          </w:tcPr>
          <w:p>
            <w:pPr>
              <w:pStyle w:val="Normal"/>
              <w:widowControl w:val="false"/>
              <w:snapToGrid w:val="false"/>
              <w:spacing w:before="0" w:after="120"/>
              <w:rPr>
                <w:rFonts w:ascii="Calibri" w:hAnsi="Calibri" w:cs="Calibri"/>
                <w:sz w:val="22"/>
                <w:szCs w:val="22"/>
              </w:rPr>
            </w:pPr>
            <w:r>
              <w:rPr>
                <w:rFonts w:cs="Calibri"/>
                <w:sz w:val="22"/>
                <w:szCs w:val="22"/>
              </w:rPr>
              <w:t>Τύπος λάμπας</w:t>
            </w:r>
          </w:p>
        </w:tc>
        <w:tc>
          <w:tcPr>
            <w:tcW w:w="4353" w:type="dxa"/>
            <w:tcBorders>
              <w:left w:val="single" w:sz="4" w:space="0" w:color="000000"/>
              <w:bottom w:val="single" w:sz="4" w:space="0" w:color="000000"/>
            </w:tcBorders>
          </w:tcPr>
          <w:p>
            <w:pPr>
              <w:pStyle w:val="Normal"/>
              <w:widowControl w:val="false"/>
              <w:snapToGrid w:val="false"/>
              <w:spacing w:before="0" w:after="120"/>
              <w:rPr/>
            </w:pPr>
            <w:r>
              <w:rPr>
                <w:rFonts w:cs="Calibri"/>
                <w:sz w:val="22"/>
                <w:szCs w:val="22"/>
              </w:rPr>
              <w:t>40</w:t>
            </w:r>
            <w:r>
              <w:rPr>
                <w:rFonts w:cs="Calibri"/>
                <w:sz w:val="22"/>
                <w:szCs w:val="22"/>
                <w:lang w:val="en-US"/>
              </w:rPr>
              <w:t xml:space="preserve">Watt </w:t>
            </w:r>
            <w:r>
              <w:rPr>
                <w:rFonts w:cs="Calibri"/>
                <w:sz w:val="22"/>
                <w:szCs w:val="22"/>
              </w:rPr>
              <w:t>(Ε27)</w:t>
            </w:r>
          </w:p>
        </w:tc>
        <w:tc>
          <w:tcPr>
            <w:tcW w:w="2629" w:type="dxa"/>
            <w:tcBorders>
              <w:left w:val="single" w:sz="4" w:space="0" w:color="000000"/>
              <w:bottom w:val="single" w:sz="4" w:space="0" w:color="000000"/>
              <w:right w:val="single" w:sz="4" w:space="0" w:color="000000"/>
            </w:tcBorders>
          </w:tcPr>
          <w:p>
            <w:pPr>
              <w:pStyle w:val="Style25"/>
              <w:widowControl w:val="false"/>
              <w:tabs>
                <w:tab w:val="clear" w:pos="720"/>
                <w:tab w:val="left" w:pos="-540" w:leader="none"/>
              </w:tabs>
              <w:snapToGrid w:val="false"/>
              <w:spacing w:before="0" w:after="240"/>
              <w:jc w:val="left"/>
              <w:rPr>
                <w:rFonts w:ascii="Calibri" w:hAnsi="Calibri" w:cs="Calibri"/>
                <w:sz w:val="22"/>
                <w:szCs w:val="22"/>
                <w:lang w:val="en-US"/>
              </w:rPr>
            </w:pPr>
            <w:r>
              <w:rPr>
                <w:rFonts w:cs="Calibri"/>
                <w:sz w:val="22"/>
                <w:szCs w:val="22"/>
                <w:lang w:val="en-US"/>
              </w:rPr>
            </w:r>
          </w:p>
        </w:tc>
      </w:tr>
    </w:tbl>
    <w:p>
      <w:pPr>
        <w:pStyle w:val="Normal"/>
        <w:tabs>
          <w:tab w:val="clear" w:pos="720"/>
          <w:tab w:val="left" w:pos="4095" w:leader="none"/>
        </w:tabs>
        <w:ind w:firstLine="1134"/>
        <w:rPr>
          <w:rFonts w:ascii="Calibri" w:hAnsi="Calibri" w:cs="Calibri"/>
          <w:sz w:val="22"/>
          <w:szCs w:val="22"/>
        </w:rPr>
      </w:pPr>
      <w:r>
        <w:rPr>
          <w:rFonts w:cs="Calibri"/>
          <w:sz w:val="22"/>
          <w:szCs w:val="22"/>
        </w:rPr>
      </w:r>
    </w:p>
    <w:p>
      <w:pPr>
        <w:pStyle w:val="Normal"/>
        <w:tabs>
          <w:tab w:val="clear" w:pos="720"/>
          <w:tab w:val="left" w:pos="4800" w:leader="none"/>
        </w:tabs>
        <w:ind w:left="1077" w:hanging="0"/>
        <w:rPr>
          <w:rFonts w:ascii="Calibri" w:hAnsi="Calibri" w:cs="Calibri"/>
          <w:b/>
          <w:b/>
          <w:bCs/>
          <w:sz w:val="22"/>
          <w:szCs w:val="22"/>
        </w:rPr>
      </w:pPr>
      <w:r>
        <w:rPr>
          <w:rFonts w:cs="Calibri"/>
          <w:b/>
          <w:bCs/>
          <w:sz w:val="22"/>
          <w:szCs w:val="22"/>
        </w:rPr>
        <w:t>23. Φωτιστικά οροφής μικρά</w:t>
      </w:r>
    </w:p>
    <w:tbl>
      <w:tblPr>
        <w:tblW w:w="9416" w:type="dxa"/>
        <w:jc w:val="left"/>
        <w:tblInd w:w="-65" w:type="dxa"/>
        <w:tblLayout w:type="fixed"/>
        <w:tblCellMar>
          <w:top w:w="0" w:type="dxa"/>
          <w:left w:w="108" w:type="dxa"/>
          <w:bottom w:w="0" w:type="dxa"/>
          <w:right w:w="108" w:type="dxa"/>
        </w:tblCellMar>
      </w:tblPr>
      <w:tblGrid>
        <w:gridCol w:w="2434"/>
        <w:gridCol w:w="4353"/>
        <w:gridCol w:w="2629"/>
      </w:tblGrid>
      <w:tr>
        <w:trPr/>
        <w:tc>
          <w:tcPr>
            <w:tcW w:w="2434" w:type="dxa"/>
            <w:tcBorders>
              <w:top w:val="single" w:sz="4" w:space="0" w:color="000000"/>
              <w:left w:val="single" w:sz="4" w:space="0" w:color="000000"/>
              <w:bottom w:val="single" w:sz="4" w:space="0" w:color="000000"/>
            </w:tcBorders>
            <w:shd w:fill="F2F2F2" w:val="clear"/>
          </w:tcPr>
          <w:p>
            <w:pPr>
              <w:pStyle w:val="Style25"/>
              <w:widowControl w:val="false"/>
              <w:tabs>
                <w:tab w:val="clear" w:pos="720"/>
                <w:tab w:val="left" w:pos="-540" w:leader="none"/>
              </w:tabs>
              <w:spacing w:before="0" w:after="240"/>
              <w:jc w:val="left"/>
              <w:rPr>
                <w:rFonts w:ascii="Calibri" w:hAnsi="Calibri" w:cs="Calibri"/>
                <w:b/>
                <w:b/>
                <w:sz w:val="22"/>
                <w:szCs w:val="22"/>
              </w:rPr>
            </w:pPr>
            <w:r>
              <w:rPr>
                <w:rFonts w:cs="Calibri"/>
                <w:b/>
                <w:sz w:val="22"/>
                <w:szCs w:val="22"/>
              </w:rPr>
              <w:t>Χαρακτηριστικό</w:t>
            </w:r>
          </w:p>
        </w:tc>
        <w:tc>
          <w:tcPr>
            <w:tcW w:w="4353" w:type="dxa"/>
            <w:tcBorders>
              <w:top w:val="single" w:sz="4" w:space="0" w:color="000000"/>
              <w:left w:val="single" w:sz="4" w:space="0" w:color="000000"/>
              <w:bottom w:val="single" w:sz="4" w:space="0" w:color="000000"/>
            </w:tcBorders>
            <w:shd w:fill="F2F2F2" w:val="clear"/>
          </w:tcPr>
          <w:p>
            <w:pPr>
              <w:pStyle w:val="Style25"/>
              <w:widowControl w:val="false"/>
              <w:tabs>
                <w:tab w:val="clear" w:pos="720"/>
                <w:tab w:val="left" w:pos="-540" w:leader="none"/>
              </w:tabs>
              <w:spacing w:before="0" w:after="240"/>
              <w:jc w:val="left"/>
              <w:rPr>
                <w:rFonts w:ascii="Calibri" w:hAnsi="Calibri" w:cs="Calibri"/>
                <w:b/>
                <w:b/>
                <w:sz w:val="22"/>
                <w:szCs w:val="22"/>
              </w:rPr>
            </w:pPr>
            <w:r>
              <w:rPr>
                <w:rFonts w:cs="Calibri"/>
                <w:b/>
                <w:sz w:val="22"/>
                <w:szCs w:val="22"/>
              </w:rPr>
              <w:t>Απαίτηση</w:t>
            </w:r>
          </w:p>
        </w:tc>
        <w:tc>
          <w:tcPr>
            <w:tcW w:w="2629" w:type="dxa"/>
            <w:tcBorders>
              <w:top w:val="single" w:sz="4" w:space="0" w:color="000000"/>
              <w:left w:val="single" w:sz="4" w:space="0" w:color="000000"/>
              <w:bottom w:val="single" w:sz="4" w:space="0" w:color="000000"/>
              <w:right w:val="single" w:sz="4" w:space="0" w:color="000000"/>
            </w:tcBorders>
            <w:shd w:fill="F2F2F2" w:val="clear"/>
          </w:tcPr>
          <w:p>
            <w:pPr>
              <w:pStyle w:val="Style25"/>
              <w:widowControl w:val="false"/>
              <w:tabs>
                <w:tab w:val="clear" w:pos="720"/>
                <w:tab w:val="left" w:pos="-540" w:leader="none"/>
              </w:tabs>
              <w:spacing w:before="0" w:after="240"/>
              <w:jc w:val="left"/>
              <w:rPr>
                <w:rFonts w:ascii="Calibri" w:hAnsi="Calibri" w:cs="Calibri"/>
                <w:b/>
                <w:b/>
                <w:sz w:val="22"/>
                <w:szCs w:val="22"/>
              </w:rPr>
            </w:pPr>
            <w:r>
              <w:rPr>
                <w:rFonts w:cs="Calibri"/>
                <w:b/>
                <w:sz w:val="22"/>
                <w:szCs w:val="22"/>
              </w:rPr>
              <w:t>Παρατηρήσεις</w:t>
            </w:r>
          </w:p>
        </w:tc>
      </w:tr>
      <w:tr>
        <w:trPr/>
        <w:tc>
          <w:tcPr>
            <w:tcW w:w="2434" w:type="dxa"/>
            <w:tcBorders>
              <w:top w:val="single" w:sz="4" w:space="0" w:color="000000"/>
              <w:left w:val="single" w:sz="4" w:space="0" w:color="000000"/>
              <w:bottom w:val="single" w:sz="4" w:space="0" w:color="000000"/>
            </w:tcBorders>
          </w:tcPr>
          <w:p>
            <w:pPr>
              <w:pStyle w:val="Normal"/>
              <w:widowControl w:val="false"/>
              <w:snapToGrid w:val="false"/>
              <w:spacing w:before="0" w:after="120"/>
              <w:rPr>
                <w:rFonts w:ascii="Calibri" w:hAnsi="Calibri" w:cs="Calibri"/>
                <w:sz w:val="22"/>
                <w:szCs w:val="22"/>
              </w:rPr>
            </w:pPr>
            <w:r>
              <w:rPr>
                <w:rFonts w:cs="Calibri"/>
                <w:sz w:val="22"/>
                <w:szCs w:val="22"/>
              </w:rPr>
              <w:t>Οροφής</w:t>
            </w:r>
          </w:p>
        </w:tc>
        <w:tc>
          <w:tcPr>
            <w:tcW w:w="4353" w:type="dxa"/>
            <w:tcBorders>
              <w:top w:val="single" w:sz="4" w:space="0" w:color="000000"/>
              <w:left w:val="single" w:sz="4" w:space="0" w:color="000000"/>
              <w:bottom w:val="single" w:sz="4" w:space="0" w:color="000000"/>
            </w:tcBorders>
          </w:tcPr>
          <w:p>
            <w:pPr>
              <w:pStyle w:val="Normal"/>
              <w:widowControl w:val="false"/>
              <w:snapToGrid w:val="false"/>
              <w:spacing w:before="0" w:after="120"/>
              <w:rPr>
                <w:rFonts w:ascii="Calibri" w:hAnsi="Calibri" w:cs="Calibri"/>
                <w:sz w:val="22"/>
                <w:szCs w:val="22"/>
              </w:rPr>
            </w:pPr>
            <w:r>
              <w:rPr>
                <w:rFonts w:cs="Calibri"/>
                <w:sz w:val="22"/>
                <w:szCs w:val="22"/>
              </w:rPr>
              <w:t>Κρεμαστό</w:t>
            </w:r>
          </w:p>
        </w:tc>
        <w:tc>
          <w:tcPr>
            <w:tcW w:w="2629" w:type="dxa"/>
            <w:tcBorders>
              <w:top w:val="single" w:sz="4" w:space="0" w:color="000000"/>
              <w:left w:val="single" w:sz="4" w:space="0" w:color="000000"/>
              <w:bottom w:val="single" w:sz="4" w:space="0" w:color="000000"/>
              <w:right w:val="single" w:sz="4" w:space="0" w:color="000000"/>
            </w:tcBorders>
          </w:tcPr>
          <w:p>
            <w:pPr>
              <w:pStyle w:val="Style25"/>
              <w:widowControl w:val="false"/>
              <w:tabs>
                <w:tab w:val="clear" w:pos="720"/>
                <w:tab w:val="left" w:pos="-540" w:leader="none"/>
              </w:tabs>
              <w:snapToGrid w:val="false"/>
              <w:spacing w:before="0" w:after="240"/>
              <w:jc w:val="left"/>
              <w:rPr>
                <w:rFonts w:ascii="Calibri" w:hAnsi="Calibri" w:cs="Calibri"/>
                <w:sz w:val="22"/>
                <w:szCs w:val="22"/>
              </w:rPr>
            </w:pPr>
            <w:r>
              <w:rPr>
                <w:rFonts w:cs="Calibri"/>
                <w:sz w:val="22"/>
                <w:szCs w:val="22"/>
              </w:rPr>
            </w:r>
          </w:p>
        </w:tc>
      </w:tr>
      <w:tr>
        <w:trPr/>
        <w:tc>
          <w:tcPr>
            <w:tcW w:w="2434" w:type="dxa"/>
            <w:tcBorders>
              <w:left w:val="single" w:sz="4" w:space="0" w:color="000000"/>
              <w:bottom w:val="single" w:sz="4" w:space="0" w:color="000000"/>
            </w:tcBorders>
          </w:tcPr>
          <w:p>
            <w:pPr>
              <w:pStyle w:val="Normal"/>
              <w:widowControl w:val="false"/>
              <w:snapToGrid w:val="false"/>
              <w:spacing w:before="0" w:after="120"/>
              <w:rPr>
                <w:rFonts w:ascii="Calibri" w:hAnsi="Calibri" w:cs="Calibri"/>
                <w:sz w:val="22"/>
                <w:szCs w:val="22"/>
              </w:rPr>
            </w:pPr>
            <w:r>
              <w:rPr>
                <w:rFonts w:cs="Calibri"/>
                <w:sz w:val="22"/>
                <w:szCs w:val="22"/>
              </w:rPr>
              <w:t>Αριθμός λαμπτήρων</w:t>
            </w:r>
          </w:p>
        </w:tc>
        <w:tc>
          <w:tcPr>
            <w:tcW w:w="4353" w:type="dxa"/>
            <w:tcBorders>
              <w:left w:val="single" w:sz="4" w:space="0" w:color="000000"/>
              <w:bottom w:val="single" w:sz="4" w:space="0" w:color="000000"/>
            </w:tcBorders>
          </w:tcPr>
          <w:p>
            <w:pPr>
              <w:pStyle w:val="Normal"/>
              <w:widowControl w:val="false"/>
              <w:snapToGrid w:val="false"/>
              <w:spacing w:before="0" w:after="120"/>
              <w:rPr>
                <w:rFonts w:ascii="Calibri" w:hAnsi="Calibri" w:cs="Calibri"/>
                <w:sz w:val="22"/>
                <w:szCs w:val="22"/>
              </w:rPr>
            </w:pPr>
            <w:r>
              <w:rPr>
                <w:rFonts w:cs="Calibri"/>
                <w:sz w:val="22"/>
                <w:szCs w:val="22"/>
              </w:rPr>
              <w:t>Μονόφωτο</w:t>
            </w:r>
          </w:p>
        </w:tc>
        <w:tc>
          <w:tcPr>
            <w:tcW w:w="2629" w:type="dxa"/>
            <w:tcBorders>
              <w:left w:val="single" w:sz="4" w:space="0" w:color="000000"/>
              <w:bottom w:val="single" w:sz="4" w:space="0" w:color="000000"/>
              <w:right w:val="single" w:sz="4" w:space="0" w:color="000000"/>
            </w:tcBorders>
          </w:tcPr>
          <w:p>
            <w:pPr>
              <w:pStyle w:val="Style25"/>
              <w:widowControl w:val="false"/>
              <w:tabs>
                <w:tab w:val="clear" w:pos="720"/>
                <w:tab w:val="left" w:pos="-540" w:leader="none"/>
              </w:tabs>
              <w:snapToGrid w:val="false"/>
              <w:spacing w:before="0" w:after="240"/>
              <w:jc w:val="left"/>
              <w:rPr>
                <w:rFonts w:ascii="Calibri" w:hAnsi="Calibri" w:cs="Calibri"/>
                <w:sz w:val="22"/>
                <w:szCs w:val="22"/>
              </w:rPr>
            </w:pPr>
            <w:r>
              <w:rPr>
                <w:rFonts w:cs="Calibri"/>
                <w:sz w:val="22"/>
                <w:szCs w:val="22"/>
              </w:rPr>
            </w:r>
          </w:p>
        </w:tc>
      </w:tr>
      <w:tr>
        <w:trPr/>
        <w:tc>
          <w:tcPr>
            <w:tcW w:w="2434" w:type="dxa"/>
            <w:tcBorders>
              <w:left w:val="single" w:sz="4" w:space="0" w:color="000000"/>
              <w:bottom w:val="single" w:sz="4" w:space="0" w:color="000000"/>
            </w:tcBorders>
          </w:tcPr>
          <w:p>
            <w:pPr>
              <w:pStyle w:val="Normal"/>
              <w:widowControl w:val="false"/>
              <w:snapToGrid w:val="false"/>
              <w:spacing w:before="0" w:after="120"/>
              <w:rPr>
                <w:rFonts w:ascii="Calibri" w:hAnsi="Calibri" w:cs="Calibri"/>
                <w:sz w:val="22"/>
                <w:szCs w:val="22"/>
              </w:rPr>
            </w:pPr>
            <w:r>
              <w:rPr>
                <w:rFonts w:cs="Calibri"/>
                <w:sz w:val="22"/>
                <w:szCs w:val="22"/>
              </w:rPr>
              <w:t>Χρώμα</w:t>
            </w:r>
          </w:p>
        </w:tc>
        <w:tc>
          <w:tcPr>
            <w:tcW w:w="4353" w:type="dxa"/>
            <w:tcBorders>
              <w:left w:val="single" w:sz="4" w:space="0" w:color="000000"/>
              <w:bottom w:val="single" w:sz="4" w:space="0" w:color="000000"/>
            </w:tcBorders>
          </w:tcPr>
          <w:p>
            <w:pPr>
              <w:pStyle w:val="Normal"/>
              <w:widowControl w:val="false"/>
              <w:snapToGrid w:val="false"/>
              <w:spacing w:before="0" w:after="120"/>
              <w:rPr>
                <w:rFonts w:ascii="Calibri" w:hAnsi="Calibri" w:cs="Calibri"/>
                <w:sz w:val="22"/>
                <w:szCs w:val="22"/>
              </w:rPr>
            </w:pPr>
            <w:r>
              <w:rPr>
                <w:rFonts w:cs="Calibri"/>
                <w:sz w:val="22"/>
                <w:szCs w:val="22"/>
              </w:rPr>
              <w:t>Λευκό</w:t>
            </w:r>
          </w:p>
        </w:tc>
        <w:tc>
          <w:tcPr>
            <w:tcW w:w="2629" w:type="dxa"/>
            <w:tcBorders>
              <w:left w:val="single" w:sz="4" w:space="0" w:color="000000"/>
              <w:bottom w:val="single" w:sz="4" w:space="0" w:color="000000"/>
              <w:right w:val="single" w:sz="4" w:space="0" w:color="000000"/>
            </w:tcBorders>
          </w:tcPr>
          <w:p>
            <w:pPr>
              <w:pStyle w:val="Style25"/>
              <w:widowControl w:val="false"/>
              <w:tabs>
                <w:tab w:val="clear" w:pos="720"/>
                <w:tab w:val="left" w:pos="-540" w:leader="none"/>
              </w:tabs>
              <w:snapToGrid w:val="false"/>
              <w:spacing w:before="0" w:after="240"/>
              <w:jc w:val="left"/>
              <w:rPr>
                <w:rFonts w:ascii="Calibri" w:hAnsi="Calibri" w:cs="Calibri"/>
                <w:sz w:val="22"/>
                <w:szCs w:val="22"/>
              </w:rPr>
            </w:pPr>
            <w:r>
              <w:rPr>
                <w:rFonts w:cs="Calibri"/>
                <w:sz w:val="22"/>
                <w:szCs w:val="22"/>
              </w:rPr>
            </w:r>
          </w:p>
        </w:tc>
      </w:tr>
      <w:tr>
        <w:trPr/>
        <w:tc>
          <w:tcPr>
            <w:tcW w:w="2434" w:type="dxa"/>
            <w:tcBorders>
              <w:left w:val="single" w:sz="4" w:space="0" w:color="000000"/>
              <w:bottom w:val="single" w:sz="4" w:space="0" w:color="000000"/>
            </w:tcBorders>
          </w:tcPr>
          <w:p>
            <w:pPr>
              <w:pStyle w:val="Normal"/>
              <w:widowControl w:val="false"/>
              <w:snapToGrid w:val="false"/>
              <w:spacing w:before="0" w:after="120"/>
              <w:rPr>
                <w:rFonts w:ascii="Calibri" w:hAnsi="Calibri" w:cs="Calibri"/>
                <w:sz w:val="22"/>
                <w:szCs w:val="22"/>
              </w:rPr>
            </w:pPr>
            <w:r>
              <w:rPr>
                <w:rFonts w:cs="Calibri"/>
                <w:sz w:val="22"/>
                <w:szCs w:val="22"/>
              </w:rPr>
              <w:t>Υλικό</w:t>
            </w:r>
          </w:p>
        </w:tc>
        <w:tc>
          <w:tcPr>
            <w:tcW w:w="4353" w:type="dxa"/>
            <w:tcBorders>
              <w:left w:val="single" w:sz="4" w:space="0" w:color="000000"/>
              <w:bottom w:val="single" w:sz="4" w:space="0" w:color="000000"/>
            </w:tcBorders>
          </w:tcPr>
          <w:p>
            <w:pPr>
              <w:pStyle w:val="Normal"/>
              <w:widowControl w:val="false"/>
              <w:snapToGrid w:val="false"/>
              <w:spacing w:before="0" w:after="120"/>
              <w:rPr>
                <w:rFonts w:ascii="Calibri" w:hAnsi="Calibri" w:cs="Calibri"/>
                <w:sz w:val="22"/>
                <w:szCs w:val="22"/>
              </w:rPr>
            </w:pPr>
            <w:r>
              <w:rPr>
                <w:rFonts w:cs="Calibri"/>
                <w:sz w:val="22"/>
                <w:szCs w:val="22"/>
              </w:rPr>
              <w:t>Γυαλί</w:t>
            </w:r>
          </w:p>
        </w:tc>
        <w:tc>
          <w:tcPr>
            <w:tcW w:w="2629" w:type="dxa"/>
            <w:tcBorders>
              <w:left w:val="single" w:sz="4" w:space="0" w:color="000000"/>
              <w:bottom w:val="single" w:sz="4" w:space="0" w:color="000000"/>
              <w:right w:val="single" w:sz="4" w:space="0" w:color="000000"/>
            </w:tcBorders>
          </w:tcPr>
          <w:p>
            <w:pPr>
              <w:pStyle w:val="Style25"/>
              <w:widowControl w:val="false"/>
              <w:tabs>
                <w:tab w:val="clear" w:pos="720"/>
                <w:tab w:val="left" w:pos="-540" w:leader="none"/>
              </w:tabs>
              <w:snapToGrid w:val="false"/>
              <w:spacing w:before="0" w:after="240"/>
              <w:jc w:val="left"/>
              <w:rPr>
                <w:rFonts w:ascii="Calibri" w:hAnsi="Calibri" w:cs="Calibri"/>
                <w:sz w:val="22"/>
                <w:szCs w:val="22"/>
              </w:rPr>
            </w:pPr>
            <w:r>
              <w:rPr>
                <w:rFonts w:cs="Calibri"/>
                <w:sz w:val="22"/>
                <w:szCs w:val="22"/>
              </w:rPr>
            </w:r>
          </w:p>
        </w:tc>
      </w:tr>
      <w:tr>
        <w:trPr/>
        <w:tc>
          <w:tcPr>
            <w:tcW w:w="2434" w:type="dxa"/>
            <w:tcBorders>
              <w:left w:val="single" w:sz="4" w:space="0" w:color="000000"/>
              <w:bottom w:val="single" w:sz="4" w:space="0" w:color="000000"/>
            </w:tcBorders>
          </w:tcPr>
          <w:p>
            <w:pPr>
              <w:pStyle w:val="Normal"/>
              <w:widowControl w:val="false"/>
              <w:snapToGrid w:val="false"/>
              <w:spacing w:before="0" w:after="120"/>
              <w:rPr>
                <w:rFonts w:ascii="Calibri" w:hAnsi="Calibri" w:cs="Calibri"/>
                <w:sz w:val="22"/>
                <w:szCs w:val="22"/>
              </w:rPr>
            </w:pPr>
            <w:r>
              <w:rPr>
                <w:rFonts w:cs="Calibri"/>
                <w:sz w:val="22"/>
                <w:szCs w:val="22"/>
              </w:rPr>
              <w:t>Φάρδος</w:t>
            </w:r>
          </w:p>
        </w:tc>
        <w:tc>
          <w:tcPr>
            <w:tcW w:w="4353" w:type="dxa"/>
            <w:tcBorders>
              <w:left w:val="single" w:sz="4" w:space="0" w:color="000000"/>
              <w:bottom w:val="single" w:sz="4" w:space="0" w:color="000000"/>
            </w:tcBorders>
          </w:tcPr>
          <w:p>
            <w:pPr>
              <w:pStyle w:val="Normal"/>
              <w:widowControl w:val="false"/>
              <w:snapToGrid w:val="false"/>
              <w:spacing w:before="0" w:after="120"/>
              <w:rPr/>
            </w:pPr>
            <w:r>
              <w:rPr>
                <w:rFonts w:cs="Calibri"/>
                <w:sz w:val="22"/>
                <w:szCs w:val="22"/>
              </w:rPr>
              <w:t xml:space="preserve">Έως </w:t>
            </w:r>
            <w:r>
              <w:rPr>
                <w:rFonts w:cs="Calibri"/>
                <w:sz w:val="22"/>
                <w:szCs w:val="22"/>
                <w:lang w:val="en-US"/>
              </w:rPr>
              <w:t>25cm</w:t>
            </w:r>
          </w:p>
        </w:tc>
        <w:tc>
          <w:tcPr>
            <w:tcW w:w="2629" w:type="dxa"/>
            <w:tcBorders>
              <w:left w:val="single" w:sz="4" w:space="0" w:color="000000"/>
              <w:bottom w:val="single" w:sz="4" w:space="0" w:color="000000"/>
              <w:right w:val="single" w:sz="4" w:space="0" w:color="000000"/>
            </w:tcBorders>
          </w:tcPr>
          <w:p>
            <w:pPr>
              <w:pStyle w:val="Style25"/>
              <w:widowControl w:val="false"/>
              <w:tabs>
                <w:tab w:val="clear" w:pos="720"/>
                <w:tab w:val="left" w:pos="-540" w:leader="none"/>
              </w:tabs>
              <w:snapToGrid w:val="false"/>
              <w:spacing w:before="0" w:after="240"/>
              <w:jc w:val="left"/>
              <w:rPr>
                <w:rFonts w:ascii="Calibri" w:hAnsi="Calibri" w:cs="Calibri"/>
                <w:sz w:val="22"/>
                <w:szCs w:val="22"/>
              </w:rPr>
            </w:pPr>
            <w:r>
              <w:rPr>
                <w:rFonts w:cs="Calibri"/>
                <w:sz w:val="22"/>
                <w:szCs w:val="22"/>
              </w:rPr>
            </w:r>
          </w:p>
        </w:tc>
      </w:tr>
      <w:tr>
        <w:trPr/>
        <w:tc>
          <w:tcPr>
            <w:tcW w:w="2434" w:type="dxa"/>
            <w:tcBorders>
              <w:left w:val="single" w:sz="4" w:space="0" w:color="000000"/>
              <w:bottom w:val="single" w:sz="4" w:space="0" w:color="000000"/>
            </w:tcBorders>
          </w:tcPr>
          <w:p>
            <w:pPr>
              <w:pStyle w:val="Normal"/>
              <w:widowControl w:val="false"/>
              <w:snapToGrid w:val="false"/>
              <w:spacing w:before="0" w:after="120"/>
              <w:rPr>
                <w:rFonts w:ascii="Calibri" w:hAnsi="Calibri" w:cs="Calibri"/>
                <w:sz w:val="22"/>
                <w:szCs w:val="22"/>
              </w:rPr>
            </w:pPr>
            <w:r>
              <w:rPr>
                <w:rFonts w:cs="Calibri"/>
                <w:sz w:val="22"/>
                <w:szCs w:val="22"/>
              </w:rPr>
              <w:t>Ύψος</w:t>
            </w:r>
          </w:p>
        </w:tc>
        <w:tc>
          <w:tcPr>
            <w:tcW w:w="4353" w:type="dxa"/>
            <w:tcBorders>
              <w:left w:val="single" w:sz="4" w:space="0" w:color="000000"/>
              <w:bottom w:val="single" w:sz="4" w:space="0" w:color="000000"/>
            </w:tcBorders>
          </w:tcPr>
          <w:p>
            <w:pPr>
              <w:pStyle w:val="Normal"/>
              <w:widowControl w:val="false"/>
              <w:snapToGrid w:val="false"/>
              <w:spacing w:before="0" w:after="120"/>
              <w:rPr/>
            </w:pPr>
            <w:r>
              <w:rPr>
                <w:rFonts w:cs="Calibri"/>
                <w:sz w:val="22"/>
                <w:szCs w:val="22"/>
              </w:rPr>
              <w:t>1,20</w:t>
            </w:r>
            <w:r>
              <w:rPr>
                <w:rFonts w:cs="Calibri"/>
                <w:sz w:val="22"/>
                <w:szCs w:val="22"/>
                <w:lang w:val="en-US"/>
              </w:rPr>
              <w:t>m</w:t>
            </w:r>
            <w:r>
              <w:rPr>
                <w:rFonts w:cs="Calibri"/>
                <w:sz w:val="22"/>
                <w:szCs w:val="22"/>
              </w:rPr>
              <w:t xml:space="preserve"> περίπου</w:t>
            </w:r>
          </w:p>
        </w:tc>
        <w:tc>
          <w:tcPr>
            <w:tcW w:w="2629" w:type="dxa"/>
            <w:tcBorders>
              <w:left w:val="single" w:sz="4" w:space="0" w:color="000000"/>
              <w:bottom w:val="single" w:sz="4" w:space="0" w:color="000000"/>
              <w:right w:val="single" w:sz="4" w:space="0" w:color="000000"/>
            </w:tcBorders>
          </w:tcPr>
          <w:p>
            <w:pPr>
              <w:pStyle w:val="Style25"/>
              <w:widowControl w:val="false"/>
              <w:tabs>
                <w:tab w:val="clear" w:pos="720"/>
                <w:tab w:val="left" w:pos="-540" w:leader="none"/>
              </w:tabs>
              <w:snapToGrid w:val="false"/>
              <w:spacing w:before="0" w:after="240"/>
              <w:jc w:val="left"/>
              <w:rPr>
                <w:rFonts w:ascii="Calibri" w:hAnsi="Calibri" w:cs="Calibri"/>
                <w:sz w:val="22"/>
                <w:szCs w:val="22"/>
              </w:rPr>
            </w:pPr>
            <w:r>
              <w:rPr>
                <w:rFonts w:cs="Calibri"/>
                <w:sz w:val="22"/>
                <w:szCs w:val="22"/>
              </w:rPr>
            </w:r>
          </w:p>
        </w:tc>
      </w:tr>
      <w:tr>
        <w:trPr/>
        <w:tc>
          <w:tcPr>
            <w:tcW w:w="2434" w:type="dxa"/>
            <w:tcBorders>
              <w:left w:val="single" w:sz="4" w:space="0" w:color="000000"/>
              <w:bottom w:val="single" w:sz="4" w:space="0" w:color="000000"/>
            </w:tcBorders>
          </w:tcPr>
          <w:p>
            <w:pPr>
              <w:pStyle w:val="Normal"/>
              <w:widowControl w:val="false"/>
              <w:snapToGrid w:val="false"/>
              <w:spacing w:before="0" w:after="120"/>
              <w:rPr>
                <w:rFonts w:ascii="Calibri" w:hAnsi="Calibri" w:cs="Calibri"/>
                <w:sz w:val="22"/>
                <w:szCs w:val="22"/>
              </w:rPr>
            </w:pPr>
            <w:r>
              <w:rPr>
                <w:rFonts w:cs="Calibri"/>
                <w:sz w:val="22"/>
                <w:szCs w:val="22"/>
              </w:rPr>
              <w:t>Τύπος λάμπας</w:t>
            </w:r>
          </w:p>
        </w:tc>
        <w:tc>
          <w:tcPr>
            <w:tcW w:w="4353" w:type="dxa"/>
            <w:tcBorders>
              <w:left w:val="single" w:sz="4" w:space="0" w:color="000000"/>
              <w:bottom w:val="single" w:sz="4" w:space="0" w:color="000000"/>
            </w:tcBorders>
          </w:tcPr>
          <w:p>
            <w:pPr>
              <w:pStyle w:val="Normal"/>
              <w:widowControl w:val="false"/>
              <w:snapToGrid w:val="false"/>
              <w:spacing w:before="0" w:after="120"/>
              <w:rPr/>
            </w:pPr>
            <w:r>
              <w:rPr>
                <w:rFonts w:cs="Calibri"/>
                <w:sz w:val="22"/>
                <w:szCs w:val="22"/>
              </w:rPr>
              <w:t>40</w:t>
            </w:r>
            <w:r>
              <w:rPr>
                <w:rFonts w:cs="Calibri"/>
                <w:sz w:val="22"/>
                <w:szCs w:val="22"/>
                <w:lang w:val="en-US"/>
              </w:rPr>
              <w:t xml:space="preserve">Watt </w:t>
            </w:r>
            <w:r>
              <w:rPr>
                <w:rFonts w:cs="Calibri"/>
                <w:sz w:val="22"/>
                <w:szCs w:val="22"/>
              </w:rPr>
              <w:t>(Ε27)</w:t>
            </w:r>
          </w:p>
        </w:tc>
        <w:tc>
          <w:tcPr>
            <w:tcW w:w="2629" w:type="dxa"/>
            <w:tcBorders>
              <w:left w:val="single" w:sz="4" w:space="0" w:color="000000"/>
              <w:bottom w:val="single" w:sz="4" w:space="0" w:color="000000"/>
              <w:right w:val="single" w:sz="4" w:space="0" w:color="000000"/>
            </w:tcBorders>
          </w:tcPr>
          <w:p>
            <w:pPr>
              <w:pStyle w:val="Style25"/>
              <w:widowControl w:val="false"/>
              <w:tabs>
                <w:tab w:val="clear" w:pos="720"/>
                <w:tab w:val="left" w:pos="-540" w:leader="none"/>
              </w:tabs>
              <w:snapToGrid w:val="false"/>
              <w:spacing w:before="0" w:after="240"/>
              <w:jc w:val="left"/>
              <w:rPr>
                <w:rFonts w:ascii="Calibri" w:hAnsi="Calibri" w:cs="Calibri"/>
                <w:sz w:val="22"/>
                <w:szCs w:val="22"/>
                <w:lang w:val="en-US"/>
              </w:rPr>
            </w:pPr>
            <w:r>
              <w:rPr>
                <w:rFonts w:cs="Calibri"/>
                <w:sz w:val="22"/>
                <w:szCs w:val="22"/>
                <w:lang w:val="en-US"/>
              </w:rPr>
            </w:r>
          </w:p>
        </w:tc>
      </w:tr>
    </w:tbl>
    <w:p>
      <w:pPr>
        <w:pStyle w:val="Normal"/>
        <w:tabs>
          <w:tab w:val="clear" w:pos="720"/>
          <w:tab w:val="left" w:pos="4095" w:leader="none"/>
        </w:tabs>
        <w:ind w:firstLine="1134"/>
        <w:rPr>
          <w:rFonts w:ascii="Calibri" w:hAnsi="Calibri" w:cs="Calibri"/>
          <w:sz w:val="22"/>
          <w:szCs w:val="22"/>
        </w:rPr>
      </w:pPr>
      <w:r>
        <w:rPr>
          <w:rFonts w:cs="Calibri"/>
          <w:sz w:val="22"/>
          <w:szCs w:val="22"/>
        </w:rPr>
      </w:r>
    </w:p>
    <w:p>
      <w:pPr>
        <w:pStyle w:val="Normal"/>
        <w:tabs>
          <w:tab w:val="clear" w:pos="720"/>
          <w:tab w:val="left" w:pos="2126" w:leader="none"/>
          <w:tab w:val="left" w:pos="4800" w:leader="none"/>
        </w:tabs>
        <w:ind w:left="1077" w:hanging="0"/>
        <w:rPr>
          <w:rFonts w:ascii="Calibri" w:hAnsi="Calibri" w:cs="Calibri"/>
          <w:b/>
          <w:b/>
          <w:bCs/>
          <w:sz w:val="22"/>
          <w:szCs w:val="22"/>
        </w:rPr>
      </w:pPr>
      <w:r>
        <w:rPr>
          <w:rFonts w:cs="Calibri"/>
          <w:b/>
          <w:bCs/>
          <w:sz w:val="22"/>
          <w:szCs w:val="22"/>
        </w:rPr>
        <w:t>24. Πορτατίφ κομοδίνου</w:t>
      </w:r>
    </w:p>
    <w:tbl>
      <w:tblPr>
        <w:tblW w:w="9416" w:type="dxa"/>
        <w:jc w:val="left"/>
        <w:tblInd w:w="-65" w:type="dxa"/>
        <w:tblLayout w:type="fixed"/>
        <w:tblCellMar>
          <w:top w:w="0" w:type="dxa"/>
          <w:left w:w="108" w:type="dxa"/>
          <w:bottom w:w="0" w:type="dxa"/>
          <w:right w:w="108" w:type="dxa"/>
        </w:tblCellMar>
      </w:tblPr>
      <w:tblGrid>
        <w:gridCol w:w="2434"/>
        <w:gridCol w:w="4353"/>
        <w:gridCol w:w="2629"/>
      </w:tblGrid>
      <w:tr>
        <w:trPr/>
        <w:tc>
          <w:tcPr>
            <w:tcW w:w="2434" w:type="dxa"/>
            <w:tcBorders>
              <w:top w:val="single" w:sz="4" w:space="0" w:color="000000"/>
              <w:left w:val="single" w:sz="4" w:space="0" w:color="000000"/>
              <w:bottom w:val="single" w:sz="4" w:space="0" w:color="000000"/>
            </w:tcBorders>
            <w:shd w:fill="F2F2F2" w:val="clear"/>
          </w:tcPr>
          <w:p>
            <w:pPr>
              <w:pStyle w:val="Style25"/>
              <w:widowControl w:val="false"/>
              <w:tabs>
                <w:tab w:val="clear" w:pos="720"/>
                <w:tab w:val="left" w:pos="-540" w:leader="none"/>
              </w:tabs>
              <w:spacing w:before="0" w:after="240"/>
              <w:jc w:val="left"/>
              <w:rPr>
                <w:rFonts w:ascii="Calibri" w:hAnsi="Calibri" w:cs="Calibri"/>
                <w:b/>
                <w:b/>
                <w:sz w:val="22"/>
                <w:szCs w:val="22"/>
              </w:rPr>
            </w:pPr>
            <w:r>
              <w:rPr>
                <w:rFonts w:cs="Calibri"/>
                <w:b/>
                <w:sz w:val="22"/>
                <w:szCs w:val="22"/>
              </w:rPr>
              <w:t>Χαρακτηριστικό</w:t>
            </w:r>
          </w:p>
        </w:tc>
        <w:tc>
          <w:tcPr>
            <w:tcW w:w="4353" w:type="dxa"/>
            <w:tcBorders>
              <w:top w:val="single" w:sz="4" w:space="0" w:color="000000"/>
              <w:left w:val="single" w:sz="4" w:space="0" w:color="000000"/>
              <w:bottom w:val="single" w:sz="4" w:space="0" w:color="000000"/>
            </w:tcBorders>
            <w:shd w:fill="F2F2F2" w:val="clear"/>
          </w:tcPr>
          <w:p>
            <w:pPr>
              <w:pStyle w:val="Style25"/>
              <w:widowControl w:val="false"/>
              <w:tabs>
                <w:tab w:val="clear" w:pos="720"/>
                <w:tab w:val="left" w:pos="-540" w:leader="none"/>
              </w:tabs>
              <w:spacing w:before="0" w:after="240"/>
              <w:jc w:val="left"/>
              <w:rPr>
                <w:rFonts w:ascii="Calibri" w:hAnsi="Calibri" w:cs="Calibri"/>
                <w:b/>
                <w:b/>
                <w:sz w:val="22"/>
                <w:szCs w:val="22"/>
              </w:rPr>
            </w:pPr>
            <w:r>
              <w:rPr>
                <w:rFonts w:cs="Calibri"/>
                <w:b/>
                <w:sz w:val="22"/>
                <w:szCs w:val="22"/>
              </w:rPr>
              <w:t>Απαίτηση</w:t>
            </w:r>
          </w:p>
        </w:tc>
        <w:tc>
          <w:tcPr>
            <w:tcW w:w="2629" w:type="dxa"/>
            <w:tcBorders>
              <w:top w:val="single" w:sz="4" w:space="0" w:color="000000"/>
              <w:left w:val="single" w:sz="4" w:space="0" w:color="000000"/>
              <w:bottom w:val="single" w:sz="4" w:space="0" w:color="000000"/>
              <w:right w:val="single" w:sz="4" w:space="0" w:color="000000"/>
            </w:tcBorders>
            <w:shd w:fill="F2F2F2" w:val="clear"/>
          </w:tcPr>
          <w:p>
            <w:pPr>
              <w:pStyle w:val="Style25"/>
              <w:widowControl w:val="false"/>
              <w:tabs>
                <w:tab w:val="clear" w:pos="720"/>
                <w:tab w:val="left" w:pos="-540" w:leader="none"/>
              </w:tabs>
              <w:spacing w:before="0" w:after="240"/>
              <w:jc w:val="left"/>
              <w:rPr>
                <w:rFonts w:ascii="Calibri" w:hAnsi="Calibri" w:cs="Calibri"/>
                <w:b/>
                <w:b/>
                <w:sz w:val="22"/>
                <w:szCs w:val="22"/>
              </w:rPr>
            </w:pPr>
            <w:r>
              <w:rPr>
                <w:rFonts w:cs="Calibri"/>
                <w:b/>
                <w:sz w:val="22"/>
                <w:szCs w:val="22"/>
              </w:rPr>
              <w:t>Παρατηρήσεις</w:t>
            </w:r>
          </w:p>
        </w:tc>
      </w:tr>
      <w:tr>
        <w:trPr/>
        <w:tc>
          <w:tcPr>
            <w:tcW w:w="2434" w:type="dxa"/>
            <w:tcBorders>
              <w:top w:val="single" w:sz="4" w:space="0" w:color="000000"/>
              <w:left w:val="single" w:sz="4" w:space="0" w:color="000000"/>
              <w:bottom w:val="single" w:sz="4" w:space="0" w:color="000000"/>
            </w:tcBorders>
          </w:tcPr>
          <w:p>
            <w:pPr>
              <w:pStyle w:val="Normal"/>
              <w:widowControl w:val="false"/>
              <w:snapToGrid w:val="false"/>
              <w:spacing w:before="0" w:after="120"/>
              <w:rPr>
                <w:rFonts w:ascii="Calibri" w:hAnsi="Calibri" w:cs="Calibri"/>
                <w:sz w:val="22"/>
                <w:szCs w:val="22"/>
              </w:rPr>
            </w:pPr>
            <w:r>
              <w:rPr>
                <w:rFonts w:cs="Calibri"/>
                <w:sz w:val="22"/>
                <w:szCs w:val="22"/>
              </w:rPr>
              <w:t>Αριθμός λαμπτήρων</w:t>
            </w:r>
          </w:p>
        </w:tc>
        <w:tc>
          <w:tcPr>
            <w:tcW w:w="4353" w:type="dxa"/>
            <w:tcBorders>
              <w:top w:val="single" w:sz="4" w:space="0" w:color="000000"/>
              <w:left w:val="single" w:sz="4" w:space="0" w:color="000000"/>
              <w:bottom w:val="single" w:sz="4" w:space="0" w:color="000000"/>
            </w:tcBorders>
          </w:tcPr>
          <w:p>
            <w:pPr>
              <w:pStyle w:val="Normal"/>
              <w:widowControl w:val="false"/>
              <w:snapToGrid w:val="false"/>
              <w:spacing w:before="0" w:after="120"/>
              <w:rPr>
                <w:rFonts w:ascii="Calibri" w:hAnsi="Calibri" w:cs="Calibri"/>
                <w:sz w:val="22"/>
                <w:szCs w:val="22"/>
              </w:rPr>
            </w:pPr>
            <w:r>
              <w:rPr>
                <w:rFonts w:cs="Calibri"/>
                <w:sz w:val="22"/>
                <w:szCs w:val="22"/>
              </w:rPr>
              <w:t>1</w:t>
            </w:r>
          </w:p>
        </w:tc>
        <w:tc>
          <w:tcPr>
            <w:tcW w:w="2629" w:type="dxa"/>
            <w:tcBorders>
              <w:top w:val="single" w:sz="4" w:space="0" w:color="000000"/>
              <w:left w:val="single" w:sz="4" w:space="0" w:color="000000"/>
              <w:bottom w:val="single" w:sz="4" w:space="0" w:color="000000"/>
              <w:right w:val="single" w:sz="4" w:space="0" w:color="000000"/>
            </w:tcBorders>
          </w:tcPr>
          <w:p>
            <w:pPr>
              <w:pStyle w:val="Style25"/>
              <w:widowControl w:val="false"/>
              <w:tabs>
                <w:tab w:val="clear" w:pos="720"/>
                <w:tab w:val="left" w:pos="-540" w:leader="none"/>
              </w:tabs>
              <w:snapToGrid w:val="false"/>
              <w:spacing w:before="0" w:after="240"/>
              <w:jc w:val="left"/>
              <w:rPr>
                <w:rFonts w:ascii="Calibri" w:hAnsi="Calibri" w:cs="Calibri"/>
                <w:sz w:val="22"/>
                <w:szCs w:val="22"/>
              </w:rPr>
            </w:pPr>
            <w:r>
              <w:rPr>
                <w:rFonts w:cs="Calibri"/>
                <w:sz w:val="22"/>
                <w:szCs w:val="22"/>
              </w:rPr>
            </w:r>
          </w:p>
        </w:tc>
      </w:tr>
      <w:tr>
        <w:trPr/>
        <w:tc>
          <w:tcPr>
            <w:tcW w:w="2434" w:type="dxa"/>
            <w:tcBorders>
              <w:left w:val="single" w:sz="4" w:space="0" w:color="000000"/>
              <w:bottom w:val="single" w:sz="4" w:space="0" w:color="000000"/>
            </w:tcBorders>
          </w:tcPr>
          <w:p>
            <w:pPr>
              <w:pStyle w:val="Normal"/>
              <w:widowControl w:val="false"/>
              <w:snapToGrid w:val="false"/>
              <w:spacing w:before="0" w:after="120"/>
              <w:rPr>
                <w:rFonts w:ascii="Calibri" w:hAnsi="Calibri" w:cs="Calibri"/>
                <w:sz w:val="22"/>
                <w:szCs w:val="22"/>
              </w:rPr>
            </w:pPr>
            <w:r>
              <w:rPr>
                <w:rFonts w:cs="Calibri"/>
                <w:sz w:val="22"/>
                <w:szCs w:val="22"/>
              </w:rPr>
              <w:t>Χρώμα</w:t>
            </w:r>
          </w:p>
        </w:tc>
        <w:tc>
          <w:tcPr>
            <w:tcW w:w="4353" w:type="dxa"/>
            <w:tcBorders>
              <w:left w:val="single" w:sz="4" w:space="0" w:color="000000"/>
              <w:bottom w:val="single" w:sz="4" w:space="0" w:color="000000"/>
            </w:tcBorders>
          </w:tcPr>
          <w:p>
            <w:pPr>
              <w:pStyle w:val="Normal"/>
              <w:widowControl w:val="false"/>
              <w:snapToGrid w:val="false"/>
              <w:spacing w:before="0" w:after="120"/>
              <w:rPr>
                <w:rFonts w:ascii="Calibri" w:hAnsi="Calibri" w:cs="Calibri"/>
                <w:sz w:val="22"/>
                <w:szCs w:val="22"/>
              </w:rPr>
            </w:pPr>
            <w:r>
              <w:rPr>
                <w:rFonts w:cs="Calibri"/>
                <w:sz w:val="22"/>
                <w:szCs w:val="22"/>
              </w:rPr>
              <w:t>Λευκό</w:t>
            </w:r>
          </w:p>
        </w:tc>
        <w:tc>
          <w:tcPr>
            <w:tcW w:w="2629" w:type="dxa"/>
            <w:tcBorders>
              <w:left w:val="single" w:sz="4" w:space="0" w:color="000000"/>
              <w:bottom w:val="single" w:sz="4" w:space="0" w:color="000000"/>
              <w:right w:val="single" w:sz="4" w:space="0" w:color="000000"/>
            </w:tcBorders>
          </w:tcPr>
          <w:p>
            <w:pPr>
              <w:pStyle w:val="Style25"/>
              <w:widowControl w:val="false"/>
              <w:tabs>
                <w:tab w:val="clear" w:pos="720"/>
                <w:tab w:val="left" w:pos="-540" w:leader="none"/>
              </w:tabs>
              <w:snapToGrid w:val="false"/>
              <w:spacing w:before="0" w:after="240"/>
              <w:jc w:val="left"/>
              <w:rPr>
                <w:rFonts w:ascii="Calibri" w:hAnsi="Calibri" w:cs="Calibri"/>
                <w:sz w:val="22"/>
                <w:szCs w:val="22"/>
              </w:rPr>
            </w:pPr>
            <w:r>
              <w:rPr>
                <w:rFonts w:cs="Calibri"/>
                <w:sz w:val="22"/>
                <w:szCs w:val="22"/>
              </w:rPr>
            </w:r>
          </w:p>
        </w:tc>
      </w:tr>
      <w:tr>
        <w:trPr/>
        <w:tc>
          <w:tcPr>
            <w:tcW w:w="2434" w:type="dxa"/>
            <w:tcBorders>
              <w:left w:val="single" w:sz="4" w:space="0" w:color="000000"/>
              <w:bottom w:val="single" w:sz="4" w:space="0" w:color="000000"/>
            </w:tcBorders>
          </w:tcPr>
          <w:p>
            <w:pPr>
              <w:pStyle w:val="Normal"/>
              <w:widowControl w:val="false"/>
              <w:snapToGrid w:val="false"/>
              <w:spacing w:before="0" w:after="120"/>
              <w:rPr>
                <w:rFonts w:ascii="Calibri" w:hAnsi="Calibri" w:cs="Calibri"/>
                <w:sz w:val="22"/>
                <w:szCs w:val="22"/>
              </w:rPr>
            </w:pPr>
            <w:r>
              <w:rPr>
                <w:rFonts w:cs="Calibri"/>
                <w:sz w:val="22"/>
                <w:szCs w:val="22"/>
              </w:rPr>
              <w:t>Υλικό</w:t>
            </w:r>
          </w:p>
        </w:tc>
        <w:tc>
          <w:tcPr>
            <w:tcW w:w="4353" w:type="dxa"/>
            <w:tcBorders>
              <w:left w:val="single" w:sz="4" w:space="0" w:color="000000"/>
              <w:bottom w:val="single" w:sz="4" w:space="0" w:color="000000"/>
            </w:tcBorders>
          </w:tcPr>
          <w:p>
            <w:pPr>
              <w:pStyle w:val="Normal"/>
              <w:widowControl w:val="false"/>
              <w:snapToGrid w:val="false"/>
              <w:spacing w:before="0" w:after="120"/>
              <w:rPr>
                <w:rFonts w:ascii="Calibri" w:hAnsi="Calibri" w:cs="Calibri"/>
                <w:sz w:val="22"/>
                <w:szCs w:val="22"/>
              </w:rPr>
            </w:pPr>
            <w:r>
              <w:rPr>
                <w:rFonts w:cs="Calibri"/>
                <w:sz w:val="22"/>
                <w:szCs w:val="22"/>
              </w:rPr>
              <w:t>Γυαλί ή κεραμικό</w:t>
            </w:r>
          </w:p>
        </w:tc>
        <w:tc>
          <w:tcPr>
            <w:tcW w:w="2629" w:type="dxa"/>
            <w:tcBorders>
              <w:left w:val="single" w:sz="4" w:space="0" w:color="000000"/>
              <w:bottom w:val="single" w:sz="4" w:space="0" w:color="000000"/>
              <w:right w:val="single" w:sz="4" w:space="0" w:color="000000"/>
            </w:tcBorders>
          </w:tcPr>
          <w:p>
            <w:pPr>
              <w:pStyle w:val="Style25"/>
              <w:widowControl w:val="false"/>
              <w:tabs>
                <w:tab w:val="clear" w:pos="720"/>
                <w:tab w:val="left" w:pos="-540" w:leader="none"/>
              </w:tabs>
              <w:snapToGrid w:val="false"/>
              <w:spacing w:before="0" w:after="240"/>
              <w:jc w:val="left"/>
              <w:rPr>
                <w:rFonts w:ascii="Calibri" w:hAnsi="Calibri" w:cs="Calibri"/>
                <w:sz w:val="22"/>
                <w:szCs w:val="22"/>
              </w:rPr>
            </w:pPr>
            <w:r>
              <w:rPr>
                <w:rFonts w:cs="Calibri"/>
                <w:sz w:val="22"/>
                <w:szCs w:val="22"/>
              </w:rPr>
            </w:r>
          </w:p>
        </w:tc>
      </w:tr>
      <w:tr>
        <w:trPr/>
        <w:tc>
          <w:tcPr>
            <w:tcW w:w="2434" w:type="dxa"/>
            <w:tcBorders>
              <w:left w:val="single" w:sz="4" w:space="0" w:color="000000"/>
              <w:bottom w:val="single" w:sz="4" w:space="0" w:color="000000"/>
            </w:tcBorders>
          </w:tcPr>
          <w:p>
            <w:pPr>
              <w:pStyle w:val="Normal"/>
              <w:widowControl w:val="false"/>
              <w:snapToGrid w:val="false"/>
              <w:spacing w:before="0" w:after="120"/>
              <w:rPr>
                <w:rFonts w:ascii="Calibri" w:hAnsi="Calibri" w:cs="Calibri"/>
                <w:sz w:val="22"/>
                <w:szCs w:val="22"/>
              </w:rPr>
            </w:pPr>
            <w:r>
              <w:rPr>
                <w:rFonts w:cs="Calibri"/>
                <w:sz w:val="22"/>
                <w:szCs w:val="22"/>
              </w:rPr>
              <w:t>Διαστάσεις</w:t>
            </w:r>
          </w:p>
        </w:tc>
        <w:tc>
          <w:tcPr>
            <w:tcW w:w="4353" w:type="dxa"/>
            <w:tcBorders>
              <w:left w:val="single" w:sz="4" w:space="0" w:color="000000"/>
              <w:bottom w:val="single" w:sz="4" w:space="0" w:color="000000"/>
            </w:tcBorders>
          </w:tcPr>
          <w:p>
            <w:pPr>
              <w:pStyle w:val="Normal"/>
              <w:widowControl w:val="false"/>
              <w:snapToGrid w:val="false"/>
              <w:spacing w:before="0" w:after="120"/>
              <w:rPr>
                <w:rFonts w:ascii="Calibri" w:hAnsi="Calibri" w:cs="Calibri"/>
                <w:sz w:val="22"/>
                <w:szCs w:val="22"/>
              </w:rPr>
            </w:pPr>
            <w:r>
              <w:rPr>
                <w:rFonts w:cs="Calibri"/>
                <w:sz w:val="22"/>
                <w:szCs w:val="22"/>
              </w:rPr>
              <w:t>Κατάλληλο για κομοδίνο</w:t>
            </w:r>
          </w:p>
        </w:tc>
        <w:tc>
          <w:tcPr>
            <w:tcW w:w="2629" w:type="dxa"/>
            <w:tcBorders>
              <w:left w:val="single" w:sz="4" w:space="0" w:color="000000"/>
              <w:bottom w:val="single" w:sz="4" w:space="0" w:color="000000"/>
              <w:right w:val="single" w:sz="4" w:space="0" w:color="000000"/>
            </w:tcBorders>
          </w:tcPr>
          <w:p>
            <w:pPr>
              <w:pStyle w:val="Style25"/>
              <w:widowControl w:val="false"/>
              <w:tabs>
                <w:tab w:val="clear" w:pos="720"/>
                <w:tab w:val="left" w:pos="-540" w:leader="none"/>
              </w:tabs>
              <w:snapToGrid w:val="false"/>
              <w:spacing w:before="0" w:after="240"/>
              <w:jc w:val="left"/>
              <w:rPr>
                <w:rFonts w:ascii="Calibri" w:hAnsi="Calibri" w:cs="Calibri"/>
                <w:sz w:val="22"/>
                <w:szCs w:val="22"/>
              </w:rPr>
            </w:pPr>
            <w:r>
              <w:rPr>
                <w:rFonts w:cs="Calibri"/>
                <w:sz w:val="22"/>
                <w:szCs w:val="22"/>
              </w:rPr>
            </w:r>
          </w:p>
        </w:tc>
      </w:tr>
      <w:tr>
        <w:trPr/>
        <w:tc>
          <w:tcPr>
            <w:tcW w:w="2434" w:type="dxa"/>
            <w:tcBorders>
              <w:left w:val="single" w:sz="4" w:space="0" w:color="000000"/>
              <w:bottom w:val="single" w:sz="4" w:space="0" w:color="000000"/>
            </w:tcBorders>
          </w:tcPr>
          <w:p>
            <w:pPr>
              <w:pStyle w:val="Normal"/>
              <w:widowControl w:val="false"/>
              <w:snapToGrid w:val="false"/>
              <w:spacing w:before="0" w:after="120"/>
              <w:rPr>
                <w:rFonts w:ascii="Calibri" w:hAnsi="Calibri" w:cs="Calibri"/>
                <w:sz w:val="22"/>
                <w:szCs w:val="22"/>
              </w:rPr>
            </w:pPr>
            <w:r>
              <w:rPr>
                <w:rFonts w:cs="Calibri"/>
                <w:sz w:val="22"/>
                <w:szCs w:val="22"/>
              </w:rPr>
              <w:t>Τύπος λάμπας</w:t>
            </w:r>
          </w:p>
        </w:tc>
        <w:tc>
          <w:tcPr>
            <w:tcW w:w="4353" w:type="dxa"/>
            <w:tcBorders>
              <w:left w:val="single" w:sz="4" w:space="0" w:color="000000"/>
              <w:bottom w:val="single" w:sz="4" w:space="0" w:color="000000"/>
            </w:tcBorders>
          </w:tcPr>
          <w:p>
            <w:pPr>
              <w:pStyle w:val="Normal"/>
              <w:widowControl w:val="false"/>
              <w:snapToGrid w:val="false"/>
              <w:spacing w:before="0" w:after="120"/>
              <w:rPr>
                <w:rFonts w:ascii="Calibri" w:hAnsi="Calibri" w:cs="Calibri"/>
                <w:sz w:val="22"/>
                <w:szCs w:val="22"/>
              </w:rPr>
            </w:pPr>
            <w:r>
              <w:rPr>
                <w:rFonts w:cs="Calibri"/>
                <w:sz w:val="22"/>
                <w:szCs w:val="22"/>
              </w:rPr>
              <w:t>Ε14</w:t>
            </w:r>
          </w:p>
        </w:tc>
        <w:tc>
          <w:tcPr>
            <w:tcW w:w="2629" w:type="dxa"/>
            <w:tcBorders>
              <w:left w:val="single" w:sz="4" w:space="0" w:color="000000"/>
              <w:bottom w:val="single" w:sz="4" w:space="0" w:color="000000"/>
              <w:right w:val="single" w:sz="4" w:space="0" w:color="000000"/>
            </w:tcBorders>
          </w:tcPr>
          <w:p>
            <w:pPr>
              <w:pStyle w:val="Style25"/>
              <w:widowControl w:val="false"/>
              <w:tabs>
                <w:tab w:val="clear" w:pos="720"/>
                <w:tab w:val="left" w:pos="-540" w:leader="none"/>
              </w:tabs>
              <w:snapToGrid w:val="false"/>
              <w:spacing w:before="0" w:after="240"/>
              <w:jc w:val="left"/>
              <w:rPr>
                <w:rFonts w:ascii="Calibri" w:hAnsi="Calibri" w:cs="Calibri"/>
                <w:sz w:val="22"/>
                <w:szCs w:val="22"/>
              </w:rPr>
            </w:pPr>
            <w:r>
              <w:rPr>
                <w:rFonts w:cs="Calibri"/>
                <w:sz w:val="22"/>
                <w:szCs w:val="22"/>
              </w:rPr>
            </w:r>
          </w:p>
        </w:tc>
      </w:tr>
    </w:tbl>
    <w:p>
      <w:pPr>
        <w:pStyle w:val="Normal"/>
        <w:tabs>
          <w:tab w:val="clear" w:pos="720"/>
          <w:tab w:val="left" w:pos="4095" w:leader="none"/>
        </w:tabs>
        <w:ind w:firstLine="1134"/>
        <w:rPr>
          <w:rFonts w:ascii="Calibri" w:hAnsi="Calibri" w:cs="Calibri"/>
          <w:sz w:val="22"/>
          <w:szCs w:val="22"/>
        </w:rPr>
      </w:pPr>
      <w:r>
        <w:rPr>
          <w:rFonts w:cs="Calibri"/>
          <w:sz w:val="22"/>
          <w:szCs w:val="22"/>
        </w:rPr>
      </w:r>
    </w:p>
    <w:p>
      <w:pPr>
        <w:pStyle w:val="Style41"/>
        <w:jc w:val="left"/>
        <w:rPr>
          <w:rFonts w:ascii="Calibri" w:hAnsi="Calibri" w:eastAsia="Times New Roman" w:cs="Calibri"/>
          <w:b/>
          <w:b/>
          <w:bCs/>
          <w:color w:val="auto"/>
          <w:kern w:val="0"/>
          <w:sz w:val="22"/>
          <w:szCs w:val="22"/>
          <w:lang w:val="en-GB" w:eastAsia="ar-SA" w:bidi="ar-SA"/>
        </w:rPr>
      </w:pPr>
      <w:r>
        <w:rPr>
          <w:rFonts w:eastAsia="Times New Roman" w:cs="Calibri" w:ascii="Calibri" w:hAnsi="Calibri"/>
          <w:b/>
          <w:bCs/>
          <w:color w:val="auto"/>
          <w:kern w:val="0"/>
          <w:sz w:val="22"/>
          <w:szCs w:val="22"/>
          <w:lang w:val="en-GB" w:eastAsia="ar-SA" w:bidi="ar-SA"/>
        </w:rPr>
        <w:t xml:space="preserve">                    </w:t>
      </w:r>
      <w:r>
        <w:rPr>
          <w:rFonts w:eastAsia="Times New Roman" w:cs="Calibri" w:ascii="Calibri" w:hAnsi="Calibri"/>
          <w:b/>
          <w:bCs/>
          <w:color w:val="auto"/>
          <w:kern w:val="0"/>
          <w:sz w:val="22"/>
          <w:szCs w:val="22"/>
          <w:lang w:val="en-GB" w:eastAsia="ar-SA" w:bidi="ar-SA"/>
        </w:rPr>
        <w:t>25. Σεντόνια υπέρδιπλα</w:t>
      </w:r>
    </w:p>
    <w:tbl>
      <w:tblPr>
        <w:tblW w:w="9416" w:type="dxa"/>
        <w:jc w:val="left"/>
        <w:tblInd w:w="-65" w:type="dxa"/>
        <w:tblLayout w:type="fixed"/>
        <w:tblCellMar>
          <w:top w:w="0" w:type="dxa"/>
          <w:left w:w="108" w:type="dxa"/>
          <w:bottom w:w="0" w:type="dxa"/>
          <w:right w:w="108" w:type="dxa"/>
        </w:tblCellMar>
      </w:tblPr>
      <w:tblGrid>
        <w:gridCol w:w="3352"/>
        <w:gridCol w:w="3322"/>
        <w:gridCol w:w="2742"/>
      </w:tblGrid>
      <w:tr>
        <w:trPr/>
        <w:tc>
          <w:tcPr>
            <w:tcW w:w="3352" w:type="dxa"/>
            <w:tcBorders>
              <w:top w:val="single" w:sz="4" w:space="0" w:color="000000"/>
              <w:left w:val="single" w:sz="4" w:space="0" w:color="000000"/>
              <w:bottom w:val="single" w:sz="4" w:space="0" w:color="000000"/>
            </w:tcBorders>
            <w:shd w:fill="F2F2F2" w:val="clear"/>
          </w:tcPr>
          <w:p>
            <w:pPr>
              <w:pStyle w:val="Style25"/>
              <w:widowControl w:val="false"/>
              <w:tabs>
                <w:tab w:val="clear" w:pos="720"/>
                <w:tab w:val="left" w:pos="-540" w:leader="none"/>
              </w:tabs>
              <w:spacing w:before="0" w:after="240"/>
              <w:jc w:val="left"/>
              <w:rPr>
                <w:rFonts w:ascii="Calibri" w:hAnsi="Calibri" w:eastAsia="Calibri" w:cs="Calibri"/>
                <w:b/>
                <w:b/>
                <w:sz w:val="22"/>
                <w:szCs w:val="22"/>
              </w:rPr>
            </w:pPr>
            <w:r>
              <w:rPr>
                <w:rFonts w:eastAsia="Calibri" w:cs="Calibri"/>
                <w:b/>
                <w:sz w:val="22"/>
                <w:szCs w:val="22"/>
              </w:rPr>
              <w:t>Χαρακτηριστικό</w:t>
            </w:r>
          </w:p>
        </w:tc>
        <w:tc>
          <w:tcPr>
            <w:tcW w:w="3322" w:type="dxa"/>
            <w:tcBorders>
              <w:top w:val="single" w:sz="4" w:space="0" w:color="000000"/>
              <w:left w:val="single" w:sz="4" w:space="0" w:color="000000"/>
              <w:bottom w:val="single" w:sz="4" w:space="0" w:color="000000"/>
            </w:tcBorders>
            <w:shd w:fill="F2F2F2" w:val="clear"/>
          </w:tcPr>
          <w:p>
            <w:pPr>
              <w:pStyle w:val="Style25"/>
              <w:widowControl w:val="false"/>
              <w:tabs>
                <w:tab w:val="clear" w:pos="720"/>
                <w:tab w:val="left" w:pos="-540" w:leader="none"/>
              </w:tabs>
              <w:spacing w:before="0" w:after="240"/>
              <w:jc w:val="left"/>
              <w:rPr>
                <w:rFonts w:ascii="Calibri" w:hAnsi="Calibri" w:eastAsia="Calibri" w:cs="Calibri"/>
                <w:b/>
                <w:b/>
                <w:sz w:val="22"/>
                <w:szCs w:val="22"/>
              </w:rPr>
            </w:pPr>
            <w:r>
              <w:rPr>
                <w:rFonts w:eastAsia="Calibri" w:cs="Calibri"/>
                <w:b/>
                <w:sz w:val="22"/>
                <w:szCs w:val="22"/>
              </w:rPr>
              <w:t>Απαίτηση</w:t>
            </w:r>
          </w:p>
        </w:tc>
        <w:tc>
          <w:tcPr>
            <w:tcW w:w="2742" w:type="dxa"/>
            <w:tcBorders>
              <w:top w:val="single" w:sz="4" w:space="0" w:color="000000"/>
              <w:left w:val="single" w:sz="4" w:space="0" w:color="000000"/>
              <w:bottom w:val="single" w:sz="4" w:space="0" w:color="000000"/>
              <w:right w:val="single" w:sz="4" w:space="0" w:color="000000"/>
            </w:tcBorders>
            <w:shd w:fill="F2F2F2" w:val="clear"/>
          </w:tcPr>
          <w:p>
            <w:pPr>
              <w:pStyle w:val="Style25"/>
              <w:widowControl w:val="false"/>
              <w:tabs>
                <w:tab w:val="clear" w:pos="720"/>
                <w:tab w:val="left" w:pos="-540" w:leader="none"/>
              </w:tabs>
              <w:spacing w:before="0" w:after="240"/>
              <w:jc w:val="left"/>
              <w:rPr>
                <w:rFonts w:ascii="Calibri" w:hAnsi="Calibri" w:eastAsia="Calibri" w:cs="Calibri"/>
                <w:b/>
                <w:b/>
                <w:sz w:val="22"/>
                <w:szCs w:val="22"/>
              </w:rPr>
            </w:pPr>
            <w:r>
              <w:rPr>
                <w:rFonts w:eastAsia="Calibri" w:cs="Calibri"/>
                <w:b/>
                <w:sz w:val="22"/>
                <w:szCs w:val="22"/>
              </w:rPr>
              <w:t>Παρατηρήσεις</w:t>
            </w:r>
          </w:p>
        </w:tc>
      </w:tr>
      <w:tr>
        <w:trPr/>
        <w:tc>
          <w:tcPr>
            <w:tcW w:w="3352" w:type="dxa"/>
            <w:tcBorders>
              <w:top w:val="single" w:sz="4" w:space="0" w:color="000000"/>
              <w:left w:val="single" w:sz="4" w:space="0" w:color="000000"/>
              <w:bottom w:val="single" w:sz="4" w:space="0" w:color="000000"/>
            </w:tcBorders>
          </w:tcPr>
          <w:p>
            <w:pPr>
              <w:pStyle w:val="Style25"/>
              <w:widowControl w:val="false"/>
              <w:tabs>
                <w:tab w:val="clear" w:pos="720"/>
                <w:tab w:val="left" w:pos="-540" w:leader="none"/>
              </w:tabs>
              <w:spacing w:before="0" w:after="240"/>
              <w:jc w:val="left"/>
              <w:rPr>
                <w:rFonts w:ascii="Calibri" w:hAnsi="Calibri" w:cs="Calibri"/>
                <w:sz w:val="22"/>
                <w:szCs w:val="22"/>
              </w:rPr>
            </w:pPr>
            <w:r>
              <w:rPr>
                <w:rFonts w:cs="Calibri"/>
                <w:sz w:val="22"/>
                <w:szCs w:val="22"/>
              </w:rPr>
              <w:t>Διαστάσεις</w:t>
            </w:r>
          </w:p>
        </w:tc>
        <w:tc>
          <w:tcPr>
            <w:tcW w:w="3322" w:type="dxa"/>
            <w:tcBorders>
              <w:top w:val="single" w:sz="4" w:space="0" w:color="000000"/>
              <w:left w:val="single" w:sz="4" w:space="0" w:color="000000"/>
              <w:bottom w:val="single" w:sz="4" w:space="0" w:color="000000"/>
            </w:tcBorders>
          </w:tcPr>
          <w:p>
            <w:pPr>
              <w:pStyle w:val="Style25"/>
              <w:widowControl w:val="false"/>
              <w:tabs>
                <w:tab w:val="clear" w:pos="720"/>
                <w:tab w:val="left" w:pos="-540" w:leader="none"/>
              </w:tabs>
              <w:spacing w:before="0" w:after="240"/>
              <w:jc w:val="left"/>
              <w:rPr>
                <w:rFonts w:ascii="Calibri" w:hAnsi="Calibri" w:cs="Calibri"/>
                <w:sz w:val="22"/>
                <w:szCs w:val="22"/>
              </w:rPr>
            </w:pPr>
            <w:r>
              <w:rPr>
                <w:rFonts w:cs="Calibri"/>
                <w:sz w:val="22"/>
                <w:szCs w:val="22"/>
              </w:rPr>
              <w:t>2.40x2.70m</w:t>
            </w:r>
          </w:p>
        </w:tc>
        <w:tc>
          <w:tcPr>
            <w:tcW w:w="2742" w:type="dxa"/>
            <w:tcBorders>
              <w:top w:val="single" w:sz="4" w:space="0" w:color="000000"/>
              <w:left w:val="single" w:sz="4" w:space="0" w:color="000000"/>
              <w:bottom w:val="single" w:sz="4" w:space="0" w:color="000000"/>
              <w:right w:val="single" w:sz="4" w:space="0" w:color="000000"/>
            </w:tcBorders>
          </w:tcPr>
          <w:p>
            <w:pPr>
              <w:pStyle w:val="Style25"/>
              <w:widowControl w:val="false"/>
              <w:tabs>
                <w:tab w:val="clear" w:pos="720"/>
                <w:tab w:val="left" w:pos="-540" w:leader="none"/>
              </w:tabs>
              <w:snapToGrid w:val="false"/>
              <w:spacing w:before="0" w:after="240"/>
              <w:jc w:val="left"/>
              <w:rPr>
                <w:rFonts w:ascii="Calibri" w:hAnsi="Calibri" w:cs="Calibri"/>
                <w:sz w:val="22"/>
                <w:szCs w:val="22"/>
              </w:rPr>
            </w:pPr>
            <w:r>
              <w:rPr>
                <w:rFonts w:cs="Calibri"/>
                <w:sz w:val="22"/>
                <w:szCs w:val="22"/>
              </w:rPr>
            </w:r>
          </w:p>
        </w:tc>
      </w:tr>
      <w:tr>
        <w:trPr/>
        <w:tc>
          <w:tcPr>
            <w:tcW w:w="3352" w:type="dxa"/>
            <w:tcBorders>
              <w:top w:val="single" w:sz="4" w:space="0" w:color="000000"/>
              <w:left w:val="single" w:sz="4" w:space="0" w:color="000000"/>
              <w:bottom w:val="single" w:sz="4" w:space="0" w:color="000000"/>
            </w:tcBorders>
          </w:tcPr>
          <w:p>
            <w:pPr>
              <w:pStyle w:val="Style25"/>
              <w:widowControl w:val="false"/>
              <w:tabs>
                <w:tab w:val="clear" w:pos="720"/>
                <w:tab w:val="left" w:pos="-540" w:leader="none"/>
              </w:tabs>
              <w:spacing w:before="0" w:after="240"/>
              <w:jc w:val="left"/>
              <w:rPr>
                <w:rFonts w:ascii="Calibri" w:hAnsi="Calibri" w:cs="Calibri"/>
                <w:sz w:val="22"/>
                <w:szCs w:val="22"/>
              </w:rPr>
            </w:pPr>
            <w:r>
              <w:rPr>
                <w:rFonts w:cs="Calibri"/>
                <w:sz w:val="22"/>
                <w:szCs w:val="22"/>
              </w:rPr>
              <w:t>Σετ</w:t>
            </w:r>
          </w:p>
        </w:tc>
        <w:tc>
          <w:tcPr>
            <w:tcW w:w="3322" w:type="dxa"/>
            <w:tcBorders>
              <w:top w:val="single" w:sz="4" w:space="0" w:color="000000"/>
              <w:left w:val="single" w:sz="4" w:space="0" w:color="000000"/>
              <w:bottom w:val="single" w:sz="4" w:space="0" w:color="000000"/>
            </w:tcBorders>
          </w:tcPr>
          <w:p>
            <w:pPr>
              <w:pStyle w:val="Style25"/>
              <w:widowControl w:val="false"/>
              <w:tabs>
                <w:tab w:val="clear" w:pos="720"/>
                <w:tab w:val="left" w:pos="-540" w:leader="none"/>
              </w:tabs>
              <w:spacing w:before="0" w:after="240"/>
              <w:jc w:val="left"/>
              <w:rPr>
                <w:rFonts w:ascii="Calibri" w:hAnsi="Calibri" w:cs="Calibri"/>
                <w:sz w:val="22"/>
                <w:szCs w:val="22"/>
              </w:rPr>
            </w:pPr>
            <w:r>
              <w:rPr>
                <w:rFonts w:cs="Calibri"/>
                <w:sz w:val="22"/>
                <w:szCs w:val="22"/>
              </w:rPr>
              <w:t>Πανω- &amp; κατωσέντονο</w:t>
            </w:r>
          </w:p>
        </w:tc>
        <w:tc>
          <w:tcPr>
            <w:tcW w:w="2742" w:type="dxa"/>
            <w:tcBorders>
              <w:top w:val="single" w:sz="4" w:space="0" w:color="000000"/>
              <w:left w:val="single" w:sz="4" w:space="0" w:color="000000"/>
              <w:bottom w:val="single" w:sz="4" w:space="0" w:color="000000"/>
              <w:right w:val="single" w:sz="4" w:space="0" w:color="000000"/>
            </w:tcBorders>
          </w:tcPr>
          <w:p>
            <w:pPr>
              <w:pStyle w:val="Style25"/>
              <w:widowControl w:val="false"/>
              <w:tabs>
                <w:tab w:val="clear" w:pos="720"/>
                <w:tab w:val="left" w:pos="-540" w:leader="none"/>
              </w:tabs>
              <w:snapToGrid w:val="false"/>
              <w:spacing w:before="0" w:after="240"/>
              <w:jc w:val="left"/>
              <w:rPr>
                <w:rFonts w:ascii="Calibri" w:hAnsi="Calibri" w:cs="Calibri"/>
                <w:sz w:val="22"/>
                <w:szCs w:val="22"/>
              </w:rPr>
            </w:pPr>
            <w:r>
              <w:rPr>
                <w:rFonts w:cs="Calibri"/>
                <w:sz w:val="22"/>
                <w:szCs w:val="22"/>
              </w:rPr>
              <w:t>Χωρίς λάστιχο</w:t>
            </w:r>
          </w:p>
        </w:tc>
      </w:tr>
      <w:tr>
        <w:trPr/>
        <w:tc>
          <w:tcPr>
            <w:tcW w:w="3352" w:type="dxa"/>
            <w:tcBorders>
              <w:top w:val="single" w:sz="4" w:space="0" w:color="000000"/>
              <w:left w:val="single" w:sz="4" w:space="0" w:color="000000"/>
              <w:bottom w:val="single" w:sz="4" w:space="0" w:color="000000"/>
            </w:tcBorders>
          </w:tcPr>
          <w:p>
            <w:pPr>
              <w:pStyle w:val="Style25"/>
              <w:widowControl w:val="false"/>
              <w:tabs>
                <w:tab w:val="clear" w:pos="720"/>
                <w:tab w:val="left" w:pos="-540" w:leader="none"/>
              </w:tabs>
              <w:spacing w:before="0" w:after="240"/>
              <w:jc w:val="left"/>
              <w:rPr>
                <w:rFonts w:ascii="Calibri" w:hAnsi="Calibri" w:cs="Calibri"/>
                <w:sz w:val="22"/>
                <w:szCs w:val="22"/>
              </w:rPr>
            </w:pPr>
            <w:r>
              <w:rPr>
                <w:rFonts w:cs="Calibri"/>
                <w:sz w:val="22"/>
                <w:szCs w:val="22"/>
              </w:rPr>
              <w:t>Μαξιλαροθήκες</w:t>
            </w:r>
          </w:p>
        </w:tc>
        <w:tc>
          <w:tcPr>
            <w:tcW w:w="3322" w:type="dxa"/>
            <w:tcBorders>
              <w:top w:val="single" w:sz="4" w:space="0" w:color="000000"/>
              <w:left w:val="single" w:sz="4" w:space="0" w:color="000000"/>
              <w:bottom w:val="single" w:sz="4" w:space="0" w:color="000000"/>
            </w:tcBorders>
          </w:tcPr>
          <w:p>
            <w:pPr>
              <w:pStyle w:val="Style25"/>
              <w:widowControl w:val="false"/>
              <w:tabs>
                <w:tab w:val="clear" w:pos="720"/>
                <w:tab w:val="left" w:pos="-540" w:leader="none"/>
              </w:tabs>
              <w:spacing w:before="0" w:after="240"/>
              <w:jc w:val="left"/>
              <w:rPr>
                <w:rFonts w:ascii="Calibri" w:hAnsi="Calibri" w:cs="Calibri"/>
                <w:sz w:val="22"/>
                <w:szCs w:val="22"/>
              </w:rPr>
            </w:pPr>
            <w:r>
              <w:rPr>
                <w:rFonts w:cs="Calibri"/>
                <w:sz w:val="22"/>
                <w:szCs w:val="22"/>
              </w:rPr>
              <w:t>2</w:t>
            </w:r>
          </w:p>
        </w:tc>
        <w:tc>
          <w:tcPr>
            <w:tcW w:w="2742" w:type="dxa"/>
            <w:tcBorders>
              <w:top w:val="single" w:sz="4" w:space="0" w:color="000000"/>
              <w:left w:val="single" w:sz="4" w:space="0" w:color="000000"/>
              <w:bottom w:val="single" w:sz="4" w:space="0" w:color="000000"/>
              <w:right w:val="single" w:sz="4" w:space="0" w:color="000000"/>
            </w:tcBorders>
          </w:tcPr>
          <w:p>
            <w:pPr>
              <w:pStyle w:val="Style25"/>
              <w:widowControl w:val="false"/>
              <w:tabs>
                <w:tab w:val="clear" w:pos="720"/>
                <w:tab w:val="left" w:pos="-540" w:leader="none"/>
              </w:tabs>
              <w:snapToGrid w:val="false"/>
              <w:spacing w:before="0" w:after="240"/>
              <w:jc w:val="left"/>
              <w:rPr>
                <w:rFonts w:ascii="Calibri" w:hAnsi="Calibri" w:cs="Calibri"/>
                <w:sz w:val="22"/>
                <w:szCs w:val="22"/>
              </w:rPr>
            </w:pPr>
            <w:r>
              <w:rPr>
                <w:rFonts w:cs="Calibri"/>
                <w:sz w:val="22"/>
                <w:szCs w:val="22"/>
              </w:rPr>
            </w:r>
          </w:p>
        </w:tc>
      </w:tr>
      <w:tr>
        <w:trPr/>
        <w:tc>
          <w:tcPr>
            <w:tcW w:w="3352" w:type="dxa"/>
            <w:tcBorders>
              <w:top w:val="single" w:sz="4" w:space="0" w:color="000000"/>
              <w:left w:val="single" w:sz="4" w:space="0" w:color="000000"/>
              <w:bottom w:val="single" w:sz="4" w:space="0" w:color="000000"/>
            </w:tcBorders>
          </w:tcPr>
          <w:p>
            <w:pPr>
              <w:pStyle w:val="Style25"/>
              <w:widowControl w:val="false"/>
              <w:tabs>
                <w:tab w:val="clear" w:pos="720"/>
                <w:tab w:val="left" w:pos="-540" w:leader="none"/>
              </w:tabs>
              <w:spacing w:before="0" w:after="240"/>
              <w:jc w:val="left"/>
              <w:rPr>
                <w:rFonts w:ascii="Calibri" w:hAnsi="Calibri" w:cs="Calibri"/>
                <w:sz w:val="22"/>
                <w:szCs w:val="22"/>
              </w:rPr>
            </w:pPr>
            <w:r>
              <w:rPr>
                <w:rFonts w:cs="Calibri"/>
                <w:sz w:val="22"/>
                <w:szCs w:val="22"/>
              </w:rPr>
              <w:t>Διαστάσεις μαξιλαροθηκών</w:t>
            </w:r>
          </w:p>
        </w:tc>
        <w:tc>
          <w:tcPr>
            <w:tcW w:w="3322" w:type="dxa"/>
            <w:tcBorders>
              <w:top w:val="single" w:sz="4" w:space="0" w:color="000000"/>
              <w:left w:val="single" w:sz="4" w:space="0" w:color="000000"/>
              <w:bottom w:val="single" w:sz="4" w:space="0" w:color="000000"/>
            </w:tcBorders>
          </w:tcPr>
          <w:p>
            <w:pPr>
              <w:pStyle w:val="Style25"/>
              <w:widowControl w:val="false"/>
              <w:tabs>
                <w:tab w:val="clear" w:pos="720"/>
                <w:tab w:val="left" w:pos="-540" w:leader="none"/>
              </w:tabs>
              <w:spacing w:before="0" w:after="240"/>
              <w:jc w:val="left"/>
              <w:rPr/>
            </w:pPr>
            <w:r>
              <w:rPr>
                <w:rFonts w:cs="Calibri"/>
                <w:sz w:val="22"/>
                <w:szCs w:val="22"/>
              </w:rPr>
              <w:t>50</w:t>
            </w:r>
            <w:r>
              <w:rPr>
                <w:rFonts w:cs="Calibri"/>
                <w:sz w:val="22"/>
                <w:szCs w:val="22"/>
                <w:lang w:val="en-US"/>
              </w:rPr>
              <w:t>x70cm</w:t>
            </w:r>
          </w:p>
        </w:tc>
        <w:tc>
          <w:tcPr>
            <w:tcW w:w="2742" w:type="dxa"/>
            <w:tcBorders>
              <w:top w:val="single" w:sz="4" w:space="0" w:color="000000"/>
              <w:left w:val="single" w:sz="4" w:space="0" w:color="000000"/>
              <w:bottom w:val="single" w:sz="4" w:space="0" w:color="000000"/>
              <w:right w:val="single" w:sz="4" w:space="0" w:color="000000"/>
            </w:tcBorders>
          </w:tcPr>
          <w:p>
            <w:pPr>
              <w:pStyle w:val="Style25"/>
              <w:widowControl w:val="false"/>
              <w:tabs>
                <w:tab w:val="clear" w:pos="720"/>
                <w:tab w:val="left" w:pos="-540" w:leader="none"/>
              </w:tabs>
              <w:snapToGrid w:val="false"/>
              <w:spacing w:before="0" w:after="240"/>
              <w:jc w:val="left"/>
              <w:rPr>
                <w:rFonts w:ascii="Calibri" w:hAnsi="Calibri" w:cs="Calibri"/>
                <w:sz w:val="22"/>
                <w:szCs w:val="22"/>
              </w:rPr>
            </w:pPr>
            <w:r>
              <w:rPr>
                <w:rFonts w:cs="Calibri"/>
                <w:sz w:val="22"/>
                <w:szCs w:val="22"/>
              </w:rPr>
            </w:r>
          </w:p>
        </w:tc>
      </w:tr>
      <w:tr>
        <w:trPr/>
        <w:tc>
          <w:tcPr>
            <w:tcW w:w="3352" w:type="dxa"/>
            <w:tcBorders>
              <w:top w:val="single" w:sz="4" w:space="0" w:color="000000"/>
              <w:left w:val="single" w:sz="4" w:space="0" w:color="000000"/>
              <w:bottom w:val="single" w:sz="4" w:space="0" w:color="000000"/>
            </w:tcBorders>
          </w:tcPr>
          <w:p>
            <w:pPr>
              <w:pStyle w:val="Style25"/>
              <w:widowControl w:val="false"/>
              <w:tabs>
                <w:tab w:val="clear" w:pos="720"/>
                <w:tab w:val="left" w:pos="-540" w:leader="none"/>
              </w:tabs>
              <w:spacing w:before="0" w:after="240"/>
              <w:jc w:val="left"/>
              <w:rPr>
                <w:rFonts w:ascii="Calibri" w:hAnsi="Calibri" w:cs="Calibri"/>
                <w:sz w:val="22"/>
                <w:szCs w:val="22"/>
              </w:rPr>
            </w:pPr>
            <w:r>
              <w:rPr>
                <w:rFonts w:cs="Calibri"/>
                <w:sz w:val="22"/>
                <w:szCs w:val="22"/>
              </w:rPr>
              <w:t>Ποιότητα</w:t>
            </w:r>
          </w:p>
        </w:tc>
        <w:tc>
          <w:tcPr>
            <w:tcW w:w="3322" w:type="dxa"/>
            <w:tcBorders>
              <w:top w:val="single" w:sz="4" w:space="0" w:color="000000"/>
              <w:left w:val="single" w:sz="4" w:space="0" w:color="000000"/>
              <w:bottom w:val="single" w:sz="4" w:space="0" w:color="000000"/>
            </w:tcBorders>
          </w:tcPr>
          <w:p>
            <w:pPr>
              <w:pStyle w:val="Style25"/>
              <w:widowControl w:val="false"/>
              <w:tabs>
                <w:tab w:val="clear" w:pos="720"/>
                <w:tab w:val="left" w:pos="-540" w:leader="none"/>
              </w:tabs>
              <w:snapToGrid w:val="false"/>
              <w:spacing w:before="0" w:after="240"/>
              <w:jc w:val="left"/>
              <w:rPr>
                <w:rFonts w:ascii="Calibri" w:hAnsi="Calibri" w:cs="Calibri"/>
                <w:sz w:val="22"/>
                <w:szCs w:val="22"/>
              </w:rPr>
            </w:pPr>
            <w:r>
              <w:rPr>
                <w:rFonts w:cs="Calibri"/>
                <w:sz w:val="22"/>
                <w:szCs w:val="22"/>
              </w:rPr>
              <w:t>100% Βαμβάκι ή βαμβακοσατέν</w:t>
            </w:r>
          </w:p>
        </w:tc>
        <w:tc>
          <w:tcPr>
            <w:tcW w:w="2742" w:type="dxa"/>
            <w:tcBorders>
              <w:top w:val="single" w:sz="4" w:space="0" w:color="000000"/>
              <w:left w:val="single" w:sz="4" w:space="0" w:color="000000"/>
              <w:bottom w:val="single" w:sz="4" w:space="0" w:color="000000"/>
              <w:right w:val="single" w:sz="4" w:space="0" w:color="000000"/>
            </w:tcBorders>
          </w:tcPr>
          <w:p>
            <w:pPr>
              <w:pStyle w:val="Style25"/>
              <w:widowControl w:val="false"/>
              <w:tabs>
                <w:tab w:val="clear" w:pos="720"/>
                <w:tab w:val="left" w:pos="-540" w:leader="none"/>
              </w:tabs>
              <w:snapToGrid w:val="false"/>
              <w:spacing w:before="0" w:after="240"/>
              <w:jc w:val="left"/>
              <w:rPr>
                <w:rFonts w:ascii="Calibri" w:hAnsi="Calibri" w:cs="Calibri"/>
                <w:sz w:val="22"/>
                <w:szCs w:val="22"/>
              </w:rPr>
            </w:pPr>
            <w:r>
              <w:rPr>
                <w:rFonts w:cs="Calibri"/>
                <w:sz w:val="22"/>
                <w:szCs w:val="22"/>
              </w:rPr>
            </w:r>
          </w:p>
        </w:tc>
      </w:tr>
    </w:tbl>
    <w:p>
      <w:pPr>
        <w:pStyle w:val="Style41"/>
        <w:jc w:val="left"/>
        <w:rPr>
          <w:rFonts w:ascii="Calibri" w:hAnsi="Calibri" w:eastAsia="Times New Roman" w:cs="Calibri"/>
          <w:b/>
          <w:b/>
          <w:color w:val="auto"/>
          <w:kern w:val="0"/>
          <w:sz w:val="22"/>
          <w:szCs w:val="24"/>
          <w:lang w:val="en-GB" w:eastAsia="ar-SA" w:bidi="ar-SA"/>
        </w:rPr>
      </w:pPr>
      <w:r>
        <w:rPr>
          <w:rFonts w:eastAsia="Times New Roman" w:cs="Calibri" w:ascii="Calibri" w:hAnsi="Calibri"/>
          <w:b/>
          <w:color w:val="auto"/>
          <w:kern w:val="0"/>
          <w:sz w:val="22"/>
          <w:szCs w:val="24"/>
          <w:lang w:val="en-GB" w:eastAsia="ar-SA" w:bidi="ar-SA"/>
        </w:rPr>
        <w:t xml:space="preserve">                    </w:t>
      </w:r>
      <w:r>
        <w:rPr>
          <w:rFonts w:eastAsia="Times New Roman" w:cs="Calibri" w:ascii="Calibri" w:hAnsi="Calibri"/>
          <w:b/>
          <w:color w:val="auto"/>
          <w:kern w:val="0"/>
          <w:sz w:val="22"/>
          <w:szCs w:val="24"/>
          <w:lang w:val="en-GB" w:eastAsia="ar-SA" w:bidi="ar-SA"/>
        </w:rPr>
        <w:t>26. Σεντόνια διπλά</w:t>
      </w:r>
    </w:p>
    <w:tbl>
      <w:tblPr>
        <w:tblW w:w="9416" w:type="dxa"/>
        <w:jc w:val="left"/>
        <w:tblInd w:w="-65" w:type="dxa"/>
        <w:tblLayout w:type="fixed"/>
        <w:tblCellMar>
          <w:top w:w="0" w:type="dxa"/>
          <w:left w:w="108" w:type="dxa"/>
          <w:bottom w:w="0" w:type="dxa"/>
          <w:right w:w="108" w:type="dxa"/>
        </w:tblCellMar>
      </w:tblPr>
      <w:tblGrid>
        <w:gridCol w:w="3352"/>
        <w:gridCol w:w="3322"/>
        <w:gridCol w:w="2742"/>
      </w:tblGrid>
      <w:tr>
        <w:trPr/>
        <w:tc>
          <w:tcPr>
            <w:tcW w:w="3352" w:type="dxa"/>
            <w:tcBorders>
              <w:top w:val="single" w:sz="4" w:space="0" w:color="000000"/>
              <w:left w:val="single" w:sz="4" w:space="0" w:color="000000"/>
              <w:bottom w:val="single" w:sz="4" w:space="0" w:color="000000"/>
            </w:tcBorders>
            <w:shd w:fill="F2F2F2" w:val="clear"/>
          </w:tcPr>
          <w:p>
            <w:pPr>
              <w:pStyle w:val="Style25"/>
              <w:widowControl w:val="false"/>
              <w:tabs>
                <w:tab w:val="clear" w:pos="720"/>
                <w:tab w:val="left" w:pos="-540" w:leader="none"/>
              </w:tabs>
              <w:spacing w:before="0" w:after="240"/>
              <w:jc w:val="left"/>
              <w:rPr>
                <w:rFonts w:ascii="Calibri" w:hAnsi="Calibri" w:eastAsia="Calibri" w:cs="Calibri"/>
                <w:b/>
                <w:b/>
                <w:sz w:val="22"/>
                <w:szCs w:val="22"/>
              </w:rPr>
            </w:pPr>
            <w:r>
              <w:rPr>
                <w:rFonts w:eastAsia="Calibri" w:cs="Calibri"/>
                <w:b/>
                <w:sz w:val="22"/>
                <w:szCs w:val="22"/>
              </w:rPr>
              <w:t>Χαρακτηριστικό</w:t>
            </w:r>
          </w:p>
        </w:tc>
        <w:tc>
          <w:tcPr>
            <w:tcW w:w="3322" w:type="dxa"/>
            <w:tcBorders>
              <w:top w:val="single" w:sz="4" w:space="0" w:color="000000"/>
              <w:left w:val="single" w:sz="4" w:space="0" w:color="000000"/>
              <w:bottom w:val="single" w:sz="4" w:space="0" w:color="000000"/>
            </w:tcBorders>
            <w:shd w:fill="F2F2F2" w:val="clear"/>
          </w:tcPr>
          <w:p>
            <w:pPr>
              <w:pStyle w:val="Style25"/>
              <w:widowControl w:val="false"/>
              <w:tabs>
                <w:tab w:val="clear" w:pos="720"/>
                <w:tab w:val="left" w:pos="-540" w:leader="none"/>
              </w:tabs>
              <w:spacing w:before="0" w:after="240"/>
              <w:jc w:val="left"/>
              <w:rPr>
                <w:rFonts w:ascii="Calibri" w:hAnsi="Calibri" w:eastAsia="Calibri" w:cs="Calibri"/>
                <w:b/>
                <w:b/>
                <w:sz w:val="22"/>
                <w:szCs w:val="22"/>
              </w:rPr>
            </w:pPr>
            <w:r>
              <w:rPr>
                <w:rFonts w:eastAsia="Calibri" w:cs="Calibri"/>
                <w:b/>
                <w:sz w:val="22"/>
                <w:szCs w:val="22"/>
              </w:rPr>
              <w:t>Απαίτηση</w:t>
            </w:r>
          </w:p>
        </w:tc>
        <w:tc>
          <w:tcPr>
            <w:tcW w:w="2742" w:type="dxa"/>
            <w:tcBorders>
              <w:top w:val="single" w:sz="4" w:space="0" w:color="000000"/>
              <w:left w:val="single" w:sz="4" w:space="0" w:color="000000"/>
              <w:bottom w:val="single" w:sz="4" w:space="0" w:color="000000"/>
              <w:right w:val="single" w:sz="4" w:space="0" w:color="000000"/>
            </w:tcBorders>
            <w:shd w:fill="F2F2F2" w:val="clear"/>
          </w:tcPr>
          <w:p>
            <w:pPr>
              <w:pStyle w:val="Style25"/>
              <w:widowControl w:val="false"/>
              <w:tabs>
                <w:tab w:val="clear" w:pos="720"/>
                <w:tab w:val="left" w:pos="-540" w:leader="none"/>
              </w:tabs>
              <w:spacing w:before="0" w:after="240"/>
              <w:jc w:val="left"/>
              <w:rPr>
                <w:rFonts w:ascii="Calibri" w:hAnsi="Calibri" w:eastAsia="Calibri" w:cs="Calibri"/>
                <w:b/>
                <w:b/>
                <w:sz w:val="22"/>
                <w:szCs w:val="22"/>
              </w:rPr>
            </w:pPr>
            <w:r>
              <w:rPr>
                <w:rFonts w:eastAsia="Calibri" w:cs="Calibri"/>
                <w:b/>
                <w:sz w:val="22"/>
                <w:szCs w:val="22"/>
              </w:rPr>
              <w:t>Παρατηρήσεις</w:t>
            </w:r>
          </w:p>
        </w:tc>
      </w:tr>
      <w:tr>
        <w:trPr/>
        <w:tc>
          <w:tcPr>
            <w:tcW w:w="3352" w:type="dxa"/>
            <w:tcBorders>
              <w:top w:val="single" w:sz="4" w:space="0" w:color="000000"/>
              <w:left w:val="single" w:sz="4" w:space="0" w:color="000000"/>
              <w:bottom w:val="single" w:sz="4" w:space="0" w:color="000000"/>
            </w:tcBorders>
          </w:tcPr>
          <w:p>
            <w:pPr>
              <w:pStyle w:val="Style25"/>
              <w:widowControl w:val="false"/>
              <w:tabs>
                <w:tab w:val="clear" w:pos="720"/>
                <w:tab w:val="left" w:pos="-540" w:leader="none"/>
              </w:tabs>
              <w:spacing w:before="0" w:after="240"/>
              <w:jc w:val="left"/>
              <w:rPr>
                <w:rFonts w:ascii="Calibri" w:hAnsi="Calibri" w:cs="Calibri"/>
                <w:sz w:val="22"/>
                <w:szCs w:val="22"/>
              </w:rPr>
            </w:pPr>
            <w:r>
              <w:rPr>
                <w:rFonts w:cs="Calibri"/>
                <w:sz w:val="22"/>
                <w:szCs w:val="22"/>
              </w:rPr>
              <w:t>Διαστάσεις</w:t>
            </w:r>
          </w:p>
        </w:tc>
        <w:tc>
          <w:tcPr>
            <w:tcW w:w="3322" w:type="dxa"/>
            <w:tcBorders>
              <w:top w:val="single" w:sz="4" w:space="0" w:color="000000"/>
              <w:left w:val="single" w:sz="4" w:space="0" w:color="000000"/>
              <w:bottom w:val="single" w:sz="4" w:space="0" w:color="000000"/>
            </w:tcBorders>
          </w:tcPr>
          <w:p>
            <w:pPr>
              <w:pStyle w:val="Style25"/>
              <w:widowControl w:val="false"/>
              <w:tabs>
                <w:tab w:val="clear" w:pos="720"/>
                <w:tab w:val="left" w:pos="-540" w:leader="none"/>
              </w:tabs>
              <w:spacing w:before="0" w:after="240"/>
              <w:jc w:val="left"/>
              <w:rPr>
                <w:rFonts w:ascii="Calibri" w:hAnsi="Calibri" w:cs="Calibri"/>
                <w:sz w:val="22"/>
                <w:szCs w:val="22"/>
              </w:rPr>
            </w:pPr>
            <w:r>
              <w:rPr>
                <w:rFonts w:cs="Calibri"/>
                <w:sz w:val="22"/>
                <w:szCs w:val="22"/>
              </w:rPr>
              <w:t>2.00x2.60m</w:t>
            </w:r>
          </w:p>
        </w:tc>
        <w:tc>
          <w:tcPr>
            <w:tcW w:w="2742" w:type="dxa"/>
            <w:tcBorders>
              <w:top w:val="single" w:sz="4" w:space="0" w:color="000000"/>
              <w:left w:val="single" w:sz="4" w:space="0" w:color="000000"/>
              <w:bottom w:val="single" w:sz="4" w:space="0" w:color="000000"/>
              <w:right w:val="single" w:sz="4" w:space="0" w:color="000000"/>
            </w:tcBorders>
          </w:tcPr>
          <w:p>
            <w:pPr>
              <w:pStyle w:val="Style25"/>
              <w:widowControl w:val="false"/>
              <w:tabs>
                <w:tab w:val="clear" w:pos="720"/>
                <w:tab w:val="left" w:pos="-540" w:leader="none"/>
              </w:tabs>
              <w:snapToGrid w:val="false"/>
              <w:spacing w:before="0" w:after="240"/>
              <w:jc w:val="left"/>
              <w:rPr>
                <w:rFonts w:ascii="Calibri" w:hAnsi="Calibri" w:cs="Calibri"/>
                <w:sz w:val="22"/>
                <w:szCs w:val="22"/>
              </w:rPr>
            </w:pPr>
            <w:r>
              <w:rPr>
                <w:rFonts w:cs="Calibri"/>
                <w:sz w:val="22"/>
                <w:szCs w:val="22"/>
              </w:rPr>
            </w:r>
          </w:p>
        </w:tc>
      </w:tr>
      <w:tr>
        <w:trPr/>
        <w:tc>
          <w:tcPr>
            <w:tcW w:w="3352" w:type="dxa"/>
            <w:tcBorders>
              <w:top w:val="single" w:sz="4" w:space="0" w:color="000000"/>
              <w:left w:val="single" w:sz="4" w:space="0" w:color="000000"/>
              <w:bottom w:val="single" w:sz="4" w:space="0" w:color="000000"/>
            </w:tcBorders>
          </w:tcPr>
          <w:p>
            <w:pPr>
              <w:pStyle w:val="Style25"/>
              <w:widowControl w:val="false"/>
              <w:tabs>
                <w:tab w:val="clear" w:pos="720"/>
                <w:tab w:val="left" w:pos="-540" w:leader="none"/>
              </w:tabs>
              <w:spacing w:before="0" w:after="240"/>
              <w:jc w:val="left"/>
              <w:rPr>
                <w:rFonts w:ascii="Calibri" w:hAnsi="Calibri" w:cs="Calibri"/>
                <w:sz w:val="22"/>
                <w:szCs w:val="22"/>
              </w:rPr>
            </w:pPr>
            <w:r>
              <w:rPr>
                <w:rFonts w:cs="Calibri"/>
                <w:sz w:val="22"/>
                <w:szCs w:val="22"/>
              </w:rPr>
              <w:t>Σετ</w:t>
            </w:r>
          </w:p>
        </w:tc>
        <w:tc>
          <w:tcPr>
            <w:tcW w:w="3322" w:type="dxa"/>
            <w:tcBorders>
              <w:top w:val="single" w:sz="4" w:space="0" w:color="000000"/>
              <w:left w:val="single" w:sz="4" w:space="0" w:color="000000"/>
              <w:bottom w:val="single" w:sz="4" w:space="0" w:color="000000"/>
            </w:tcBorders>
          </w:tcPr>
          <w:p>
            <w:pPr>
              <w:pStyle w:val="Style25"/>
              <w:widowControl w:val="false"/>
              <w:tabs>
                <w:tab w:val="clear" w:pos="720"/>
                <w:tab w:val="left" w:pos="-540" w:leader="none"/>
              </w:tabs>
              <w:spacing w:before="0" w:after="240"/>
              <w:jc w:val="left"/>
              <w:rPr>
                <w:rFonts w:ascii="Calibri" w:hAnsi="Calibri" w:cs="Calibri"/>
                <w:sz w:val="22"/>
                <w:szCs w:val="22"/>
              </w:rPr>
            </w:pPr>
            <w:r>
              <w:rPr>
                <w:rFonts w:cs="Calibri"/>
                <w:sz w:val="22"/>
                <w:szCs w:val="22"/>
              </w:rPr>
              <w:t>Πανω- &amp; κατωσέντονο</w:t>
            </w:r>
          </w:p>
        </w:tc>
        <w:tc>
          <w:tcPr>
            <w:tcW w:w="2742" w:type="dxa"/>
            <w:tcBorders>
              <w:top w:val="single" w:sz="4" w:space="0" w:color="000000"/>
              <w:left w:val="single" w:sz="4" w:space="0" w:color="000000"/>
              <w:bottom w:val="single" w:sz="4" w:space="0" w:color="000000"/>
              <w:right w:val="single" w:sz="4" w:space="0" w:color="000000"/>
            </w:tcBorders>
          </w:tcPr>
          <w:p>
            <w:pPr>
              <w:pStyle w:val="Style25"/>
              <w:widowControl w:val="false"/>
              <w:tabs>
                <w:tab w:val="clear" w:pos="720"/>
                <w:tab w:val="left" w:pos="-540" w:leader="none"/>
              </w:tabs>
              <w:snapToGrid w:val="false"/>
              <w:spacing w:before="0" w:after="240"/>
              <w:jc w:val="left"/>
              <w:rPr>
                <w:rFonts w:ascii="Calibri" w:hAnsi="Calibri" w:cs="Calibri"/>
                <w:sz w:val="22"/>
                <w:szCs w:val="22"/>
              </w:rPr>
            </w:pPr>
            <w:r>
              <w:rPr>
                <w:rFonts w:cs="Calibri"/>
                <w:sz w:val="22"/>
                <w:szCs w:val="22"/>
              </w:rPr>
              <w:t>Χωρίς λάστιχο</w:t>
            </w:r>
          </w:p>
        </w:tc>
      </w:tr>
      <w:tr>
        <w:trPr/>
        <w:tc>
          <w:tcPr>
            <w:tcW w:w="3352" w:type="dxa"/>
            <w:tcBorders>
              <w:top w:val="single" w:sz="4" w:space="0" w:color="000000"/>
              <w:left w:val="single" w:sz="4" w:space="0" w:color="000000"/>
              <w:bottom w:val="single" w:sz="4" w:space="0" w:color="000000"/>
            </w:tcBorders>
          </w:tcPr>
          <w:p>
            <w:pPr>
              <w:pStyle w:val="Style25"/>
              <w:widowControl w:val="false"/>
              <w:tabs>
                <w:tab w:val="clear" w:pos="720"/>
                <w:tab w:val="left" w:pos="-540" w:leader="none"/>
              </w:tabs>
              <w:spacing w:before="0" w:after="240"/>
              <w:jc w:val="left"/>
              <w:rPr>
                <w:rFonts w:ascii="Calibri" w:hAnsi="Calibri" w:cs="Calibri"/>
                <w:sz w:val="22"/>
                <w:szCs w:val="22"/>
              </w:rPr>
            </w:pPr>
            <w:r>
              <w:rPr>
                <w:rFonts w:cs="Calibri"/>
                <w:sz w:val="22"/>
                <w:szCs w:val="22"/>
              </w:rPr>
              <w:t>Μαξιλαροθήκες</w:t>
            </w:r>
          </w:p>
        </w:tc>
        <w:tc>
          <w:tcPr>
            <w:tcW w:w="3322" w:type="dxa"/>
            <w:tcBorders>
              <w:top w:val="single" w:sz="4" w:space="0" w:color="000000"/>
              <w:left w:val="single" w:sz="4" w:space="0" w:color="000000"/>
              <w:bottom w:val="single" w:sz="4" w:space="0" w:color="000000"/>
            </w:tcBorders>
          </w:tcPr>
          <w:p>
            <w:pPr>
              <w:pStyle w:val="Style25"/>
              <w:widowControl w:val="false"/>
              <w:tabs>
                <w:tab w:val="clear" w:pos="720"/>
                <w:tab w:val="left" w:pos="-540" w:leader="none"/>
              </w:tabs>
              <w:spacing w:before="0" w:after="240"/>
              <w:jc w:val="left"/>
              <w:rPr>
                <w:rFonts w:ascii="Calibri" w:hAnsi="Calibri" w:cs="Calibri"/>
                <w:sz w:val="22"/>
                <w:szCs w:val="22"/>
              </w:rPr>
            </w:pPr>
            <w:r>
              <w:rPr>
                <w:rFonts w:cs="Calibri"/>
                <w:sz w:val="22"/>
                <w:szCs w:val="22"/>
              </w:rPr>
              <w:t>2</w:t>
            </w:r>
          </w:p>
        </w:tc>
        <w:tc>
          <w:tcPr>
            <w:tcW w:w="2742" w:type="dxa"/>
            <w:tcBorders>
              <w:top w:val="single" w:sz="4" w:space="0" w:color="000000"/>
              <w:left w:val="single" w:sz="4" w:space="0" w:color="000000"/>
              <w:bottom w:val="single" w:sz="4" w:space="0" w:color="000000"/>
              <w:right w:val="single" w:sz="4" w:space="0" w:color="000000"/>
            </w:tcBorders>
          </w:tcPr>
          <w:p>
            <w:pPr>
              <w:pStyle w:val="Style25"/>
              <w:widowControl w:val="false"/>
              <w:tabs>
                <w:tab w:val="clear" w:pos="720"/>
                <w:tab w:val="left" w:pos="-540" w:leader="none"/>
              </w:tabs>
              <w:snapToGrid w:val="false"/>
              <w:spacing w:before="0" w:after="240"/>
              <w:jc w:val="left"/>
              <w:rPr>
                <w:rFonts w:ascii="Calibri" w:hAnsi="Calibri" w:cs="Calibri"/>
                <w:sz w:val="22"/>
                <w:szCs w:val="22"/>
              </w:rPr>
            </w:pPr>
            <w:r>
              <w:rPr>
                <w:rFonts w:cs="Calibri"/>
                <w:sz w:val="22"/>
                <w:szCs w:val="22"/>
              </w:rPr>
            </w:r>
          </w:p>
        </w:tc>
      </w:tr>
      <w:tr>
        <w:trPr/>
        <w:tc>
          <w:tcPr>
            <w:tcW w:w="3352" w:type="dxa"/>
            <w:tcBorders>
              <w:top w:val="single" w:sz="4" w:space="0" w:color="000000"/>
              <w:left w:val="single" w:sz="4" w:space="0" w:color="000000"/>
              <w:bottom w:val="single" w:sz="4" w:space="0" w:color="000000"/>
            </w:tcBorders>
          </w:tcPr>
          <w:p>
            <w:pPr>
              <w:pStyle w:val="Style25"/>
              <w:widowControl w:val="false"/>
              <w:tabs>
                <w:tab w:val="clear" w:pos="720"/>
                <w:tab w:val="left" w:pos="-540" w:leader="none"/>
              </w:tabs>
              <w:spacing w:before="0" w:after="240"/>
              <w:jc w:val="left"/>
              <w:rPr>
                <w:rFonts w:ascii="Calibri" w:hAnsi="Calibri" w:cs="Calibri"/>
                <w:sz w:val="22"/>
                <w:szCs w:val="22"/>
              </w:rPr>
            </w:pPr>
            <w:r>
              <w:rPr>
                <w:rFonts w:cs="Calibri"/>
                <w:sz w:val="22"/>
                <w:szCs w:val="22"/>
              </w:rPr>
              <w:t>Διαστάσεις μαξιλαροθηκών</w:t>
            </w:r>
          </w:p>
        </w:tc>
        <w:tc>
          <w:tcPr>
            <w:tcW w:w="3322" w:type="dxa"/>
            <w:tcBorders>
              <w:top w:val="single" w:sz="4" w:space="0" w:color="000000"/>
              <w:left w:val="single" w:sz="4" w:space="0" w:color="000000"/>
              <w:bottom w:val="single" w:sz="4" w:space="0" w:color="000000"/>
            </w:tcBorders>
          </w:tcPr>
          <w:p>
            <w:pPr>
              <w:pStyle w:val="Style25"/>
              <w:widowControl w:val="false"/>
              <w:tabs>
                <w:tab w:val="clear" w:pos="720"/>
                <w:tab w:val="left" w:pos="-540" w:leader="none"/>
              </w:tabs>
              <w:spacing w:before="0" w:after="240"/>
              <w:jc w:val="left"/>
              <w:rPr/>
            </w:pPr>
            <w:r>
              <w:rPr>
                <w:rFonts w:cs="Calibri"/>
                <w:sz w:val="22"/>
                <w:szCs w:val="22"/>
              </w:rPr>
              <w:t>50</w:t>
            </w:r>
            <w:r>
              <w:rPr>
                <w:rFonts w:cs="Calibri"/>
                <w:sz w:val="22"/>
                <w:szCs w:val="22"/>
                <w:lang w:val="en-US"/>
              </w:rPr>
              <w:t>x70cm</w:t>
            </w:r>
          </w:p>
        </w:tc>
        <w:tc>
          <w:tcPr>
            <w:tcW w:w="2742" w:type="dxa"/>
            <w:tcBorders>
              <w:top w:val="single" w:sz="4" w:space="0" w:color="000000"/>
              <w:left w:val="single" w:sz="4" w:space="0" w:color="000000"/>
              <w:bottom w:val="single" w:sz="4" w:space="0" w:color="000000"/>
              <w:right w:val="single" w:sz="4" w:space="0" w:color="000000"/>
            </w:tcBorders>
          </w:tcPr>
          <w:p>
            <w:pPr>
              <w:pStyle w:val="Style25"/>
              <w:widowControl w:val="false"/>
              <w:tabs>
                <w:tab w:val="clear" w:pos="720"/>
                <w:tab w:val="left" w:pos="-540" w:leader="none"/>
              </w:tabs>
              <w:snapToGrid w:val="false"/>
              <w:spacing w:before="0" w:after="240"/>
              <w:jc w:val="left"/>
              <w:rPr>
                <w:rFonts w:ascii="Calibri" w:hAnsi="Calibri" w:cs="Calibri"/>
                <w:sz w:val="22"/>
                <w:szCs w:val="22"/>
              </w:rPr>
            </w:pPr>
            <w:r>
              <w:rPr>
                <w:rFonts w:cs="Calibri"/>
                <w:sz w:val="22"/>
                <w:szCs w:val="22"/>
              </w:rPr>
            </w:r>
          </w:p>
        </w:tc>
      </w:tr>
      <w:tr>
        <w:trPr/>
        <w:tc>
          <w:tcPr>
            <w:tcW w:w="3352" w:type="dxa"/>
            <w:tcBorders>
              <w:top w:val="single" w:sz="4" w:space="0" w:color="000000"/>
              <w:left w:val="single" w:sz="4" w:space="0" w:color="000000"/>
              <w:bottom w:val="single" w:sz="4" w:space="0" w:color="000000"/>
            </w:tcBorders>
          </w:tcPr>
          <w:p>
            <w:pPr>
              <w:pStyle w:val="Style25"/>
              <w:widowControl w:val="false"/>
              <w:tabs>
                <w:tab w:val="clear" w:pos="720"/>
                <w:tab w:val="left" w:pos="-540" w:leader="none"/>
              </w:tabs>
              <w:spacing w:before="0" w:after="240"/>
              <w:jc w:val="left"/>
              <w:rPr>
                <w:rFonts w:ascii="Calibri" w:hAnsi="Calibri" w:cs="Calibri"/>
                <w:sz w:val="22"/>
                <w:szCs w:val="22"/>
              </w:rPr>
            </w:pPr>
            <w:r>
              <w:rPr>
                <w:rFonts w:cs="Calibri"/>
                <w:sz w:val="22"/>
                <w:szCs w:val="22"/>
              </w:rPr>
              <w:t>Ποιότητα</w:t>
            </w:r>
          </w:p>
        </w:tc>
        <w:tc>
          <w:tcPr>
            <w:tcW w:w="3322" w:type="dxa"/>
            <w:tcBorders>
              <w:top w:val="single" w:sz="4" w:space="0" w:color="000000"/>
              <w:left w:val="single" w:sz="4" w:space="0" w:color="000000"/>
              <w:bottom w:val="single" w:sz="4" w:space="0" w:color="000000"/>
            </w:tcBorders>
          </w:tcPr>
          <w:p>
            <w:pPr>
              <w:pStyle w:val="Style25"/>
              <w:widowControl w:val="false"/>
              <w:tabs>
                <w:tab w:val="clear" w:pos="720"/>
                <w:tab w:val="left" w:pos="-540" w:leader="none"/>
              </w:tabs>
              <w:snapToGrid w:val="false"/>
              <w:spacing w:before="0" w:after="240"/>
              <w:jc w:val="left"/>
              <w:rPr>
                <w:rFonts w:ascii="Calibri" w:hAnsi="Calibri" w:cs="Calibri"/>
                <w:sz w:val="22"/>
                <w:szCs w:val="22"/>
              </w:rPr>
            </w:pPr>
            <w:r>
              <w:rPr>
                <w:rFonts w:cs="Calibri"/>
                <w:sz w:val="22"/>
                <w:szCs w:val="22"/>
              </w:rPr>
              <w:t>Βαμβάκι 100%</w:t>
            </w:r>
          </w:p>
        </w:tc>
        <w:tc>
          <w:tcPr>
            <w:tcW w:w="2742" w:type="dxa"/>
            <w:tcBorders>
              <w:top w:val="single" w:sz="4" w:space="0" w:color="000000"/>
              <w:left w:val="single" w:sz="4" w:space="0" w:color="000000"/>
              <w:bottom w:val="single" w:sz="4" w:space="0" w:color="000000"/>
              <w:right w:val="single" w:sz="4" w:space="0" w:color="000000"/>
            </w:tcBorders>
          </w:tcPr>
          <w:p>
            <w:pPr>
              <w:pStyle w:val="Style25"/>
              <w:widowControl w:val="false"/>
              <w:tabs>
                <w:tab w:val="clear" w:pos="720"/>
                <w:tab w:val="left" w:pos="-540" w:leader="none"/>
              </w:tabs>
              <w:snapToGrid w:val="false"/>
              <w:spacing w:before="0" w:after="240"/>
              <w:jc w:val="left"/>
              <w:rPr>
                <w:rFonts w:ascii="Calibri" w:hAnsi="Calibri" w:cs="Calibri"/>
                <w:sz w:val="22"/>
                <w:szCs w:val="22"/>
              </w:rPr>
            </w:pPr>
            <w:r>
              <w:rPr>
                <w:rFonts w:cs="Calibri"/>
                <w:sz w:val="22"/>
                <w:szCs w:val="22"/>
              </w:rPr>
            </w:r>
          </w:p>
        </w:tc>
      </w:tr>
    </w:tbl>
    <w:p>
      <w:pPr>
        <w:pStyle w:val="Style41"/>
        <w:jc w:val="left"/>
        <w:rPr>
          <w:rFonts w:ascii="Calibri" w:hAnsi="Calibri" w:eastAsia="Times New Roman" w:cs="Calibri"/>
          <w:b/>
          <w:b/>
          <w:color w:val="auto"/>
          <w:kern w:val="0"/>
          <w:sz w:val="22"/>
          <w:szCs w:val="24"/>
          <w:lang w:val="en-GB" w:eastAsia="ar-SA" w:bidi="ar-SA"/>
        </w:rPr>
      </w:pPr>
      <w:r>
        <w:rPr>
          <w:rFonts w:eastAsia="Times New Roman" w:cs="Calibri" w:ascii="Calibri" w:hAnsi="Calibri"/>
          <w:b/>
          <w:color w:val="auto"/>
          <w:kern w:val="0"/>
          <w:sz w:val="22"/>
          <w:szCs w:val="24"/>
          <w:lang w:val="en-GB" w:eastAsia="ar-SA" w:bidi="ar-SA"/>
        </w:rPr>
        <w:t xml:space="preserve">                     </w:t>
      </w:r>
      <w:r>
        <w:rPr>
          <w:rFonts w:eastAsia="Times New Roman" w:cs="Calibri" w:ascii="Calibri" w:hAnsi="Calibri"/>
          <w:b/>
          <w:color w:val="auto"/>
          <w:kern w:val="0"/>
          <w:sz w:val="22"/>
          <w:szCs w:val="24"/>
          <w:lang w:val="en-GB" w:eastAsia="ar-SA" w:bidi="ar-SA"/>
        </w:rPr>
        <w:t>27. Σεντόνια μονά</w:t>
      </w:r>
    </w:p>
    <w:tbl>
      <w:tblPr>
        <w:tblW w:w="9416" w:type="dxa"/>
        <w:jc w:val="left"/>
        <w:tblInd w:w="-65" w:type="dxa"/>
        <w:tblLayout w:type="fixed"/>
        <w:tblCellMar>
          <w:top w:w="0" w:type="dxa"/>
          <w:left w:w="108" w:type="dxa"/>
          <w:bottom w:w="0" w:type="dxa"/>
          <w:right w:w="108" w:type="dxa"/>
        </w:tblCellMar>
      </w:tblPr>
      <w:tblGrid>
        <w:gridCol w:w="2751"/>
        <w:gridCol w:w="3924"/>
        <w:gridCol w:w="2741"/>
      </w:tblGrid>
      <w:tr>
        <w:trPr/>
        <w:tc>
          <w:tcPr>
            <w:tcW w:w="2751" w:type="dxa"/>
            <w:tcBorders>
              <w:top w:val="single" w:sz="4" w:space="0" w:color="000000"/>
              <w:left w:val="single" w:sz="4" w:space="0" w:color="000000"/>
              <w:bottom w:val="single" w:sz="4" w:space="0" w:color="000000"/>
            </w:tcBorders>
            <w:shd w:fill="F2F2F2" w:val="clear"/>
          </w:tcPr>
          <w:p>
            <w:pPr>
              <w:pStyle w:val="Style25"/>
              <w:widowControl w:val="false"/>
              <w:tabs>
                <w:tab w:val="clear" w:pos="720"/>
                <w:tab w:val="left" w:pos="-540" w:leader="none"/>
              </w:tabs>
              <w:spacing w:before="0" w:after="240"/>
              <w:jc w:val="left"/>
              <w:rPr>
                <w:rFonts w:ascii="Calibri" w:hAnsi="Calibri" w:eastAsia="Calibri" w:cs="Calibri"/>
                <w:b/>
                <w:b/>
                <w:sz w:val="22"/>
                <w:szCs w:val="22"/>
              </w:rPr>
            </w:pPr>
            <w:r>
              <w:rPr>
                <w:rFonts w:eastAsia="Calibri" w:cs="Calibri"/>
                <w:b/>
                <w:sz w:val="22"/>
                <w:szCs w:val="22"/>
              </w:rPr>
              <w:t>Χαρακτηριστικό</w:t>
            </w:r>
          </w:p>
        </w:tc>
        <w:tc>
          <w:tcPr>
            <w:tcW w:w="3924" w:type="dxa"/>
            <w:tcBorders>
              <w:top w:val="single" w:sz="4" w:space="0" w:color="000000"/>
              <w:left w:val="single" w:sz="4" w:space="0" w:color="000000"/>
              <w:bottom w:val="single" w:sz="4" w:space="0" w:color="000000"/>
            </w:tcBorders>
            <w:shd w:fill="F2F2F2" w:val="clear"/>
          </w:tcPr>
          <w:p>
            <w:pPr>
              <w:pStyle w:val="Style25"/>
              <w:widowControl w:val="false"/>
              <w:tabs>
                <w:tab w:val="clear" w:pos="720"/>
                <w:tab w:val="left" w:pos="-540" w:leader="none"/>
              </w:tabs>
              <w:spacing w:before="0" w:after="240"/>
              <w:jc w:val="left"/>
              <w:rPr>
                <w:rFonts w:ascii="Calibri" w:hAnsi="Calibri" w:eastAsia="Calibri" w:cs="Calibri"/>
                <w:b/>
                <w:b/>
                <w:sz w:val="22"/>
                <w:szCs w:val="22"/>
              </w:rPr>
            </w:pPr>
            <w:r>
              <w:rPr>
                <w:rFonts w:eastAsia="Calibri" w:cs="Calibri"/>
                <w:b/>
                <w:sz w:val="22"/>
                <w:szCs w:val="22"/>
              </w:rPr>
              <w:t>Απαίτηση</w:t>
            </w:r>
          </w:p>
        </w:tc>
        <w:tc>
          <w:tcPr>
            <w:tcW w:w="2741" w:type="dxa"/>
            <w:tcBorders>
              <w:top w:val="single" w:sz="4" w:space="0" w:color="000000"/>
              <w:left w:val="single" w:sz="4" w:space="0" w:color="000000"/>
              <w:bottom w:val="single" w:sz="4" w:space="0" w:color="000000"/>
              <w:right w:val="single" w:sz="4" w:space="0" w:color="000000"/>
            </w:tcBorders>
            <w:shd w:fill="F2F2F2" w:val="clear"/>
          </w:tcPr>
          <w:p>
            <w:pPr>
              <w:pStyle w:val="Style25"/>
              <w:widowControl w:val="false"/>
              <w:tabs>
                <w:tab w:val="clear" w:pos="720"/>
                <w:tab w:val="left" w:pos="-540" w:leader="none"/>
              </w:tabs>
              <w:spacing w:before="0" w:after="240"/>
              <w:jc w:val="left"/>
              <w:rPr>
                <w:rFonts w:ascii="Calibri" w:hAnsi="Calibri" w:eastAsia="Calibri" w:cs="Calibri"/>
                <w:b/>
                <w:b/>
                <w:sz w:val="22"/>
                <w:szCs w:val="22"/>
              </w:rPr>
            </w:pPr>
            <w:r>
              <w:rPr>
                <w:rFonts w:eastAsia="Calibri" w:cs="Calibri"/>
                <w:b/>
                <w:sz w:val="22"/>
                <w:szCs w:val="22"/>
              </w:rPr>
              <w:t>Παρατηρήσεις</w:t>
            </w:r>
          </w:p>
        </w:tc>
      </w:tr>
      <w:tr>
        <w:trPr/>
        <w:tc>
          <w:tcPr>
            <w:tcW w:w="2751" w:type="dxa"/>
            <w:tcBorders>
              <w:top w:val="single" w:sz="4" w:space="0" w:color="000000"/>
              <w:left w:val="single" w:sz="4" w:space="0" w:color="000000"/>
              <w:bottom w:val="single" w:sz="4" w:space="0" w:color="000000"/>
            </w:tcBorders>
          </w:tcPr>
          <w:p>
            <w:pPr>
              <w:pStyle w:val="Style25"/>
              <w:widowControl w:val="false"/>
              <w:tabs>
                <w:tab w:val="clear" w:pos="720"/>
                <w:tab w:val="left" w:pos="-540" w:leader="none"/>
              </w:tabs>
              <w:spacing w:before="0" w:after="240"/>
              <w:jc w:val="left"/>
              <w:rPr>
                <w:rFonts w:ascii="Calibri" w:hAnsi="Calibri" w:cs="Calibri"/>
                <w:sz w:val="22"/>
                <w:szCs w:val="22"/>
              </w:rPr>
            </w:pPr>
            <w:r>
              <w:rPr>
                <w:rFonts w:cs="Calibri"/>
                <w:sz w:val="22"/>
                <w:szCs w:val="22"/>
              </w:rPr>
              <w:t>Διαστάσεις</w:t>
            </w:r>
          </w:p>
        </w:tc>
        <w:tc>
          <w:tcPr>
            <w:tcW w:w="3924" w:type="dxa"/>
            <w:tcBorders>
              <w:top w:val="single" w:sz="4" w:space="0" w:color="000000"/>
              <w:left w:val="single" w:sz="4" w:space="0" w:color="000000"/>
              <w:bottom w:val="single" w:sz="4" w:space="0" w:color="000000"/>
            </w:tcBorders>
          </w:tcPr>
          <w:p>
            <w:pPr>
              <w:pStyle w:val="Style25"/>
              <w:widowControl w:val="false"/>
              <w:tabs>
                <w:tab w:val="clear" w:pos="720"/>
                <w:tab w:val="left" w:pos="-540" w:leader="none"/>
              </w:tabs>
              <w:spacing w:before="0" w:after="240"/>
              <w:jc w:val="left"/>
              <w:rPr/>
            </w:pPr>
            <w:r>
              <w:rPr>
                <w:rFonts w:cs="Calibri"/>
                <w:sz w:val="22"/>
                <w:szCs w:val="22"/>
              </w:rPr>
              <w:t>1.60</w:t>
            </w:r>
            <w:r>
              <w:rPr>
                <w:rFonts w:cs="Calibri"/>
                <w:sz w:val="22"/>
                <w:szCs w:val="22"/>
                <w:lang w:val="en-US"/>
              </w:rPr>
              <w:t>x2.40m</w:t>
            </w:r>
          </w:p>
        </w:tc>
        <w:tc>
          <w:tcPr>
            <w:tcW w:w="2741" w:type="dxa"/>
            <w:tcBorders>
              <w:top w:val="single" w:sz="4" w:space="0" w:color="000000"/>
              <w:left w:val="single" w:sz="4" w:space="0" w:color="000000"/>
              <w:bottom w:val="single" w:sz="4" w:space="0" w:color="000000"/>
              <w:right w:val="single" w:sz="4" w:space="0" w:color="000000"/>
            </w:tcBorders>
          </w:tcPr>
          <w:p>
            <w:pPr>
              <w:pStyle w:val="Style25"/>
              <w:widowControl w:val="false"/>
              <w:tabs>
                <w:tab w:val="clear" w:pos="720"/>
                <w:tab w:val="left" w:pos="-540" w:leader="none"/>
              </w:tabs>
              <w:snapToGrid w:val="false"/>
              <w:spacing w:before="0" w:after="240"/>
              <w:jc w:val="left"/>
              <w:rPr>
                <w:rFonts w:ascii="Calibri" w:hAnsi="Calibri" w:cs="Calibri"/>
                <w:sz w:val="22"/>
                <w:szCs w:val="22"/>
                <w:lang w:val="en-US"/>
              </w:rPr>
            </w:pPr>
            <w:r>
              <w:rPr>
                <w:rFonts w:cs="Calibri"/>
                <w:sz w:val="22"/>
                <w:szCs w:val="22"/>
                <w:lang w:val="en-US"/>
              </w:rPr>
            </w:r>
          </w:p>
        </w:tc>
      </w:tr>
      <w:tr>
        <w:trPr/>
        <w:tc>
          <w:tcPr>
            <w:tcW w:w="2751" w:type="dxa"/>
            <w:tcBorders>
              <w:top w:val="single" w:sz="4" w:space="0" w:color="000000"/>
              <w:left w:val="single" w:sz="4" w:space="0" w:color="000000"/>
              <w:bottom w:val="single" w:sz="4" w:space="0" w:color="000000"/>
            </w:tcBorders>
          </w:tcPr>
          <w:p>
            <w:pPr>
              <w:pStyle w:val="Style25"/>
              <w:widowControl w:val="false"/>
              <w:tabs>
                <w:tab w:val="clear" w:pos="720"/>
                <w:tab w:val="left" w:pos="-540" w:leader="none"/>
              </w:tabs>
              <w:spacing w:before="0" w:after="240"/>
              <w:jc w:val="left"/>
              <w:rPr>
                <w:rFonts w:ascii="Calibri" w:hAnsi="Calibri" w:cs="Calibri"/>
                <w:sz w:val="22"/>
                <w:szCs w:val="22"/>
              </w:rPr>
            </w:pPr>
            <w:r>
              <w:rPr>
                <w:rFonts w:cs="Calibri"/>
                <w:sz w:val="22"/>
                <w:szCs w:val="22"/>
              </w:rPr>
              <w:t>Σετ</w:t>
            </w:r>
          </w:p>
        </w:tc>
        <w:tc>
          <w:tcPr>
            <w:tcW w:w="3924" w:type="dxa"/>
            <w:tcBorders>
              <w:top w:val="single" w:sz="4" w:space="0" w:color="000000"/>
              <w:left w:val="single" w:sz="4" w:space="0" w:color="000000"/>
              <w:bottom w:val="single" w:sz="4" w:space="0" w:color="000000"/>
            </w:tcBorders>
          </w:tcPr>
          <w:p>
            <w:pPr>
              <w:pStyle w:val="Style25"/>
              <w:widowControl w:val="false"/>
              <w:tabs>
                <w:tab w:val="clear" w:pos="720"/>
                <w:tab w:val="left" w:pos="-540" w:leader="none"/>
              </w:tabs>
              <w:spacing w:before="0" w:after="240"/>
              <w:jc w:val="left"/>
              <w:rPr>
                <w:rFonts w:ascii="Calibri" w:hAnsi="Calibri" w:cs="Calibri"/>
                <w:sz w:val="22"/>
                <w:szCs w:val="22"/>
              </w:rPr>
            </w:pPr>
            <w:r>
              <w:rPr>
                <w:rFonts w:cs="Calibri"/>
                <w:sz w:val="22"/>
                <w:szCs w:val="22"/>
              </w:rPr>
              <w:t>Πάνω- &amp; κατωσέντονο</w:t>
            </w:r>
          </w:p>
        </w:tc>
        <w:tc>
          <w:tcPr>
            <w:tcW w:w="2741" w:type="dxa"/>
            <w:tcBorders>
              <w:top w:val="single" w:sz="4" w:space="0" w:color="000000"/>
              <w:left w:val="single" w:sz="4" w:space="0" w:color="000000"/>
              <w:bottom w:val="single" w:sz="4" w:space="0" w:color="000000"/>
              <w:right w:val="single" w:sz="4" w:space="0" w:color="000000"/>
            </w:tcBorders>
          </w:tcPr>
          <w:p>
            <w:pPr>
              <w:pStyle w:val="Style25"/>
              <w:widowControl w:val="false"/>
              <w:tabs>
                <w:tab w:val="clear" w:pos="720"/>
                <w:tab w:val="left" w:pos="-540" w:leader="none"/>
              </w:tabs>
              <w:snapToGrid w:val="false"/>
              <w:spacing w:before="0" w:after="240"/>
              <w:jc w:val="left"/>
              <w:rPr>
                <w:rFonts w:ascii="Calibri" w:hAnsi="Calibri" w:cs="Calibri"/>
                <w:sz w:val="22"/>
                <w:szCs w:val="22"/>
              </w:rPr>
            </w:pPr>
            <w:r>
              <w:rPr>
                <w:rFonts w:cs="Calibri"/>
                <w:sz w:val="22"/>
                <w:szCs w:val="22"/>
              </w:rPr>
              <w:t>Χωρίς λάστιχο</w:t>
            </w:r>
          </w:p>
        </w:tc>
      </w:tr>
      <w:tr>
        <w:trPr/>
        <w:tc>
          <w:tcPr>
            <w:tcW w:w="2751" w:type="dxa"/>
            <w:tcBorders>
              <w:top w:val="single" w:sz="4" w:space="0" w:color="000000"/>
              <w:left w:val="single" w:sz="4" w:space="0" w:color="000000"/>
              <w:bottom w:val="single" w:sz="4" w:space="0" w:color="000000"/>
            </w:tcBorders>
          </w:tcPr>
          <w:p>
            <w:pPr>
              <w:pStyle w:val="Style25"/>
              <w:widowControl w:val="false"/>
              <w:tabs>
                <w:tab w:val="clear" w:pos="720"/>
                <w:tab w:val="left" w:pos="-540" w:leader="none"/>
              </w:tabs>
              <w:spacing w:before="0" w:after="240"/>
              <w:jc w:val="left"/>
              <w:rPr>
                <w:rFonts w:ascii="Calibri" w:hAnsi="Calibri" w:cs="Calibri"/>
                <w:sz w:val="22"/>
                <w:szCs w:val="22"/>
              </w:rPr>
            </w:pPr>
            <w:r>
              <w:rPr>
                <w:rFonts w:cs="Calibri"/>
                <w:sz w:val="22"/>
                <w:szCs w:val="22"/>
              </w:rPr>
              <w:t>Μαξιλαροθήκες</w:t>
            </w:r>
          </w:p>
        </w:tc>
        <w:tc>
          <w:tcPr>
            <w:tcW w:w="3924" w:type="dxa"/>
            <w:tcBorders>
              <w:top w:val="single" w:sz="4" w:space="0" w:color="000000"/>
              <w:left w:val="single" w:sz="4" w:space="0" w:color="000000"/>
              <w:bottom w:val="single" w:sz="4" w:space="0" w:color="000000"/>
            </w:tcBorders>
          </w:tcPr>
          <w:p>
            <w:pPr>
              <w:pStyle w:val="Style25"/>
              <w:widowControl w:val="false"/>
              <w:tabs>
                <w:tab w:val="clear" w:pos="720"/>
                <w:tab w:val="left" w:pos="-540" w:leader="none"/>
              </w:tabs>
              <w:spacing w:before="0" w:after="240"/>
              <w:jc w:val="left"/>
              <w:rPr>
                <w:rFonts w:ascii="Calibri" w:hAnsi="Calibri" w:cs="Calibri"/>
                <w:sz w:val="22"/>
                <w:szCs w:val="22"/>
              </w:rPr>
            </w:pPr>
            <w:r>
              <w:rPr>
                <w:rFonts w:cs="Calibri"/>
                <w:sz w:val="22"/>
                <w:szCs w:val="22"/>
              </w:rPr>
              <w:t>1</w:t>
            </w:r>
          </w:p>
        </w:tc>
        <w:tc>
          <w:tcPr>
            <w:tcW w:w="2741" w:type="dxa"/>
            <w:tcBorders>
              <w:top w:val="single" w:sz="4" w:space="0" w:color="000000"/>
              <w:left w:val="single" w:sz="4" w:space="0" w:color="000000"/>
              <w:bottom w:val="single" w:sz="4" w:space="0" w:color="000000"/>
              <w:right w:val="single" w:sz="4" w:space="0" w:color="000000"/>
            </w:tcBorders>
          </w:tcPr>
          <w:p>
            <w:pPr>
              <w:pStyle w:val="Style25"/>
              <w:widowControl w:val="false"/>
              <w:tabs>
                <w:tab w:val="clear" w:pos="720"/>
                <w:tab w:val="left" w:pos="-540" w:leader="none"/>
              </w:tabs>
              <w:snapToGrid w:val="false"/>
              <w:spacing w:before="0" w:after="240"/>
              <w:jc w:val="left"/>
              <w:rPr>
                <w:rFonts w:ascii="Calibri" w:hAnsi="Calibri" w:cs="Calibri"/>
                <w:sz w:val="22"/>
                <w:szCs w:val="22"/>
              </w:rPr>
            </w:pPr>
            <w:r>
              <w:rPr>
                <w:rFonts w:cs="Calibri"/>
                <w:sz w:val="22"/>
                <w:szCs w:val="22"/>
              </w:rPr>
            </w:r>
          </w:p>
        </w:tc>
      </w:tr>
      <w:tr>
        <w:trPr/>
        <w:tc>
          <w:tcPr>
            <w:tcW w:w="2751" w:type="dxa"/>
            <w:tcBorders>
              <w:top w:val="single" w:sz="4" w:space="0" w:color="000000"/>
              <w:left w:val="single" w:sz="4" w:space="0" w:color="000000"/>
              <w:bottom w:val="single" w:sz="4" w:space="0" w:color="000000"/>
            </w:tcBorders>
          </w:tcPr>
          <w:p>
            <w:pPr>
              <w:pStyle w:val="Style25"/>
              <w:widowControl w:val="false"/>
              <w:tabs>
                <w:tab w:val="clear" w:pos="720"/>
                <w:tab w:val="left" w:pos="-540" w:leader="none"/>
              </w:tabs>
              <w:spacing w:before="0" w:after="240"/>
              <w:jc w:val="left"/>
              <w:rPr>
                <w:rFonts w:ascii="Calibri" w:hAnsi="Calibri" w:cs="Calibri"/>
                <w:sz w:val="22"/>
                <w:szCs w:val="22"/>
              </w:rPr>
            </w:pPr>
            <w:r>
              <w:rPr>
                <w:rFonts w:cs="Calibri"/>
                <w:sz w:val="22"/>
                <w:szCs w:val="22"/>
              </w:rPr>
              <w:t>Διαστάσεις μαξιλαροθηκών</w:t>
            </w:r>
          </w:p>
        </w:tc>
        <w:tc>
          <w:tcPr>
            <w:tcW w:w="3924" w:type="dxa"/>
            <w:tcBorders>
              <w:top w:val="single" w:sz="4" w:space="0" w:color="000000"/>
              <w:left w:val="single" w:sz="4" w:space="0" w:color="000000"/>
              <w:bottom w:val="single" w:sz="4" w:space="0" w:color="000000"/>
            </w:tcBorders>
          </w:tcPr>
          <w:p>
            <w:pPr>
              <w:pStyle w:val="Style25"/>
              <w:widowControl w:val="false"/>
              <w:tabs>
                <w:tab w:val="clear" w:pos="720"/>
                <w:tab w:val="left" w:pos="-540" w:leader="none"/>
              </w:tabs>
              <w:spacing w:before="0" w:after="240"/>
              <w:jc w:val="left"/>
              <w:rPr>
                <w:rFonts w:ascii="Calibri" w:hAnsi="Calibri" w:cs="Calibri"/>
                <w:sz w:val="22"/>
                <w:szCs w:val="22"/>
                <w:lang w:val="en-US"/>
              </w:rPr>
            </w:pPr>
            <w:r>
              <w:rPr>
                <w:rFonts w:cs="Calibri"/>
                <w:sz w:val="22"/>
                <w:szCs w:val="22"/>
                <w:lang w:val="en-US"/>
              </w:rPr>
              <w:t>50x70cm</w:t>
            </w:r>
          </w:p>
        </w:tc>
        <w:tc>
          <w:tcPr>
            <w:tcW w:w="2741" w:type="dxa"/>
            <w:tcBorders>
              <w:top w:val="single" w:sz="4" w:space="0" w:color="000000"/>
              <w:left w:val="single" w:sz="4" w:space="0" w:color="000000"/>
              <w:bottom w:val="single" w:sz="4" w:space="0" w:color="000000"/>
              <w:right w:val="single" w:sz="4" w:space="0" w:color="000000"/>
            </w:tcBorders>
          </w:tcPr>
          <w:p>
            <w:pPr>
              <w:pStyle w:val="Style25"/>
              <w:widowControl w:val="false"/>
              <w:tabs>
                <w:tab w:val="clear" w:pos="720"/>
                <w:tab w:val="left" w:pos="-540" w:leader="none"/>
              </w:tabs>
              <w:snapToGrid w:val="false"/>
              <w:spacing w:before="0" w:after="240"/>
              <w:jc w:val="left"/>
              <w:rPr>
                <w:rFonts w:ascii="Calibri" w:hAnsi="Calibri" w:cs="Calibri"/>
                <w:sz w:val="22"/>
                <w:szCs w:val="22"/>
                <w:lang w:val="en-US"/>
              </w:rPr>
            </w:pPr>
            <w:r>
              <w:rPr>
                <w:rFonts w:cs="Calibri"/>
                <w:sz w:val="22"/>
                <w:szCs w:val="22"/>
                <w:lang w:val="en-US"/>
              </w:rPr>
            </w:r>
          </w:p>
        </w:tc>
      </w:tr>
      <w:tr>
        <w:trPr/>
        <w:tc>
          <w:tcPr>
            <w:tcW w:w="2751" w:type="dxa"/>
            <w:tcBorders>
              <w:top w:val="single" w:sz="4" w:space="0" w:color="000000"/>
              <w:left w:val="single" w:sz="4" w:space="0" w:color="000000"/>
              <w:bottom w:val="single" w:sz="4" w:space="0" w:color="000000"/>
            </w:tcBorders>
          </w:tcPr>
          <w:p>
            <w:pPr>
              <w:pStyle w:val="Style25"/>
              <w:widowControl w:val="false"/>
              <w:tabs>
                <w:tab w:val="clear" w:pos="720"/>
                <w:tab w:val="left" w:pos="-540" w:leader="none"/>
              </w:tabs>
              <w:spacing w:before="0" w:after="240"/>
              <w:jc w:val="left"/>
              <w:rPr>
                <w:rFonts w:ascii="Calibri" w:hAnsi="Calibri" w:cs="Calibri"/>
                <w:sz w:val="22"/>
                <w:szCs w:val="22"/>
              </w:rPr>
            </w:pPr>
            <w:r>
              <w:rPr>
                <w:rFonts w:cs="Calibri"/>
                <w:sz w:val="22"/>
                <w:szCs w:val="22"/>
              </w:rPr>
              <w:t>Ποιότητα</w:t>
            </w:r>
          </w:p>
        </w:tc>
        <w:tc>
          <w:tcPr>
            <w:tcW w:w="3924" w:type="dxa"/>
            <w:tcBorders>
              <w:top w:val="single" w:sz="4" w:space="0" w:color="000000"/>
              <w:left w:val="single" w:sz="4" w:space="0" w:color="000000"/>
              <w:bottom w:val="single" w:sz="4" w:space="0" w:color="000000"/>
            </w:tcBorders>
          </w:tcPr>
          <w:p>
            <w:pPr>
              <w:pStyle w:val="Style25"/>
              <w:widowControl w:val="false"/>
              <w:tabs>
                <w:tab w:val="clear" w:pos="720"/>
                <w:tab w:val="left" w:pos="-540" w:leader="none"/>
              </w:tabs>
              <w:snapToGrid w:val="false"/>
              <w:spacing w:before="0" w:after="240"/>
              <w:jc w:val="left"/>
              <w:rPr/>
            </w:pPr>
            <w:r>
              <w:rPr>
                <w:rFonts w:cs="Calibri"/>
                <w:sz w:val="22"/>
                <w:szCs w:val="22"/>
              </w:rPr>
              <w:t>Β</w:t>
            </w:r>
            <w:r>
              <w:rPr>
                <w:rFonts w:cs="Calibri"/>
                <w:sz w:val="22"/>
                <w:szCs w:val="22"/>
                <w:lang w:val="en-US"/>
              </w:rPr>
              <w:t xml:space="preserve">αμβάκι </w:t>
            </w:r>
            <w:r>
              <w:rPr>
                <w:rFonts w:cs="Calibri"/>
                <w:sz w:val="22"/>
                <w:szCs w:val="22"/>
              </w:rPr>
              <w:t>100%</w:t>
            </w:r>
          </w:p>
        </w:tc>
        <w:tc>
          <w:tcPr>
            <w:tcW w:w="2741" w:type="dxa"/>
            <w:tcBorders>
              <w:top w:val="single" w:sz="4" w:space="0" w:color="000000"/>
              <w:left w:val="single" w:sz="4" w:space="0" w:color="000000"/>
              <w:bottom w:val="single" w:sz="4" w:space="0" w:color="000000"/>
              <w:right w:val="single" w:sz="4" w:space="0" w:color="000000"/>
            </w:tcBorders>
          </w:tcPr>
          <w:p>
            <w:pPr>
              <w:pStyle w:val="Style25"/>
              <w:widowControl w:val="false"/>
              <w:tabs>
                <w:tab w:val="clear" w:pos="720"/>
                <w:tab w:val="left" w:pos="-540" w:leader="none"/>
              </w:tabs>
              <w:snapToGrid w:val="false"/>
              <w:spacing w:before="0" w:after="240"/>
              <w:jc w:val="left"/>
              <w:rPr>
                <w:rFonts w:ascii="Calibri" w:hAnsi="Calibri" w:cs="Calibri"/>
                <w:sz w:val="22"/>
                <w:szCs w:val="22"/>
                <w:lang w:val="en-US"/>
              </w:rPr>
            </w:pPr>
            <w:r>
              <w:rPr>
                <w:rFonts w:cs="Calibri"/>
                <w:sz w:val="22"/>
                <w:szCs w:val="22"/>
                <w:lang w:val="en-US"/>
              </w:rPr>
            </w:r>
          </w:p>
        </w:tc>
      </w:tr>
    </w:tbl>
    <w:p>
      <w:pPr>
        <w:pStyle w:val="Normal"/>
        <w:tabs>
          <w:tab w:val="clear" w:pos="720"/>
          <w:tab w:val="left" w:pos="4800" w:leader="none"/>
        </w:tabs>
        <w:rPr>
          <w:rFonts w:ascii="Calibri" w:hAnsi="Calibri" w:cs="Calibri"/>
          <w:sz w:val="22"/>
          <w:szCs w:val="22"/>
        </w:rPr>
      </w:pPr>
      <w:r>
        <w:rPr>
          <w:rFonts w:cs="Calibri"/>
          <w:sz w:val="22"/>
          <w:szCs w:val="22"/>
        </w:rPr>
      </w:r>
    </w:p>
    <w:p>
      <w:pPr>
        <w:pStyle w:val="Style41"/>
        <w:jc w:val="left"/>
        <w:rPr>
          <w:rFonts w:ascii="Calibri" w:hAnsi="Calibri" w:eastAsia="Times New Roman" w:cs="Calibri"/>
          <w:b/>
          <w:b/>
          <w:color w:val="auto"/>
          <w:kern w:val="0"/>
          <w:sz w:val="22"/>
          <w:szCs w:val="24"/>
          <w:lang w:val="en-GB" w:eastAsia="ar-SA" w:bidi="ar-SA"/>
        </w:rPr>
      </w:pPr>
      <w:r>
        <w:rPr>
          <w:rFonts w:eastAsia="Times New Roman" w:cs="Calibri" w:ascii="Calibri" w:hAnsi="Calibri"/>
          <w:b/>
          <w:color w:val="auto"/>
          <w:kern w:val="0"/>
          <w:sz w:val="22"/>
          <w:szCs w:val="24"/>
          <w:lang w:val="en-GB" w:eastAsia="ar-SA" w:bidi="ar-SA"/>
        </w:rPr>
        <w:t xml:space="preserve">                       </w:t>
      </w:r>
      <w:r>
        <w:rPr>
          <w:rFonts w:eastAsia="Times New Roman" w:cs="Calibri" w:ascii="Calibri" w:hAnsi="Calibri"/>
          <w:b/>
          <w:color w:val="auto"/>
          <w:kern w:val="0"/>
          <w:sz w:val="22"/>
          <w:szCs w:val="24"/>
          <w:lang w:val="en-GB" w:eastAsia="ar-SA" w:bidi="ar-SA"/>
        </w:rPr>
        <w:t>28. Κουβέρτα διπλή</w:t>
      </w:r>
    </w:p>
    <w:tbl>
      <w:tblPr>
        <w:tblW w:w="9416" w:type="dxa"/>
        <w:jc w:val="left"/>
        <w:tblInd w:w="-65" w:type="dxa"/>
        <w:tblLayout w:type="fixed"/>
        <w:tblCellMar>
          <w:top w:w="0" w:type="dxa"/>
          <w:left w:w="108" w:type="dxa"/>
          <w:bottom w:w="0" w:type="dxa"/>
          <w:right w:w="108" w:type="dxa"/>
        </w:tblCellMar>
      </w:tblPr>
      <w:tblGrid>
        <w:gridCol w:w="2751"/>
        <w:gridCol w:w="3924"/>
        <w:gridCol w:w="2741"/>
      </w:tblGrid>
      <w:tr>
        <w:trPr/>
        <w:tc>
          <w:tcPr>
            <w:tcW w:w="2751" w:type="dxa"/>
            <w:tcBorders>
              <w:top w:val="single" w:sz="4" w:space="0" w:color="000000"/>
              <w:left w:val="single" w:sz="4" w:space="0" w:color="000000"/>
              <w:bottom w:val="single" w:sz="4" w:space="0" w:color="000000"/>
            </w:tcBorders>
            <w:shd w:fill="F2F2F2" w:val="clear"/>
          </w:tcPr>
          <w:p>
            <w:pPr>
              <w:pStyle w:val="Style25"/>
              <w:widowControl w:val="false"/>
              <w:tabs>
                <w:tab w:val="clear" w:pos="720"/>
                <w:tab w:val="left" w:pos="-540" w:leader="none"/>
              </w:tabs>
              <w:spacing w:before="0" w:after="240"/>
              <w:jc w:val="left"/>
              <w:rPr>
                <w:rFonts w:ascii="Calibri" w:hAnsi="Calibri" w:eastAsia="Calibri" w:cs="Calibri"/>
                <w:b/>
                <w:b/>
                <w:sz w:val="22"/>
                <w:szCs w:val="22"/>
              </w:rPr>
            </w:pPr>
            <w:r>
              <w:rPr>
                <w:rFonts w:eastAsia="Calibri" w:cs="Calibri"/>
                <w:b/>
                <w:sz w:val="22"/>
                <w:szCs w:val="22"/>
              </w:rPr>
              <w:t>Χαρακτηριστικό</w:t>
            </w:r>
          </w:p>
        </w:tc>
        <w:tc>
          <w:tcPr>
            <w:tcW w:w="3924" w:type="dxa"/>
            <w:tcBorders>
              <w:top w:val="single" w:sz="4" w:space="0" w:color="000000"/>
              <w:left w:val="single" w:sz="4" w:space="0" w:color="000000"/>
              <w:bottom w:val="single" w:sz="4" w:space="0" w:color="000000"/>
            </w:tcBorders>
            <w:shd w:fill="F2F2F2" w:val="clear"/>
          </w:tcPr>
          <w:p>
            <w:pPr>
              <w:pStyle w:val="Style25"/>
              <w:widowControl w:val="false"/>
              <w:tabs>
                <w:tab w:val="clear" w:pos="720"/>
                <w:tab w:val="left" w:pos="-540" w:leader="none"/>
              </w:tabs>
              <w:spacing w:before="0" w:after="240"/>
              <w:jc w:val="left"/>
              <w:rPr>
                <w:rFonts w:ascii="Calibri" w:hAnsi="Calibri" w:eastAsia="Calibri" w:cs="Calibri"/>
                <w:b/>
                <w:b/>
                <w:sz w:val="22"/>
                <w:szCs w:val="22"/>
              </w:rPr>
            </w:pPr>
            <w:r>
              <w:rPr>
                <w:rFonts w:eastAsia="Calibri" w:cs="Calibri"/>
                <w:b/>
                <w:sz w:val="22"/>
                <w:szCs w:val="22"/>
              </w:rPr>
              <w:t>Απαίτηση</w:t>
            </w:r>
          </w:p>
        </w:tc>
        <w:tc>
          <w:tcPr>
            <w:tcW w:w="2741" w:type="dxa"/>
            <w:tcBorders>
              <w:top w:val="single" w:sz="4" w:space="0" w:color="000000"/>
              <w:left w:val="single" w:sz="4" w:space="0" w:color="000000"/>
              <w:bottom w:val="single" w:sz="4" w:space="0" w:color="000000"/>
              <w:right w:val="single" w:sz="4" w:space="0" w:color="000000"/>
            </w:tcBorders>
            <w:shd w:fill="F2F2F2" w:val="clear"/>
          </w:tcPr>
          <w:p>
            <w:pPr>
              <w:pStyle w:val="Style25"/>
              <w:widowControl w:val="false"/>
              <w:tabs>
                <w:tab w:val="clear" w:pos="720"/>
                <w:tab w:val="left" w:pos="-540" w:leader="none"/>
              </w:tabs>
              <w:spacing w:before="0" w:after="240"/>
              <w:jc w:val="left"/>
              <w:rPr>
                <w:rFonts w:ascii="Calibri" w:hAnsi="Calibri" w:eastAsia="Calibri" w:cs="Calibri"/>
                <w:b/>
                <w:b/>
                <w:sz w:val="22"/>
                <w:szCs w:val="22"/>
              </w:rPr>
            </w:pPr>
            <w:r>
              <w:rPr>
                <w:rFonts w:eastAsia="Calibri" w:cs="Calibri"/>
                <w:b/>
                <w:sz w:val="22"/>
                <w:szCs w:val="22"/>
              </w:rPr>
              <w:t>Παρατηρήσεις</w:t>
            </w:r>
          </w:p>
        </w:tc>
      </w:tr>
      <w:tr>
        <w:trPr/>
        <w:tc>
          <w:tcPr>
            <w:tcW w:w="2751" w:type="dxa"/>
            <w:tcBorders>
              <w:top w:val="single" w:sz="4" w:space="0" w:color="000000"/>
              <w:left w:val="single" w:sz="4" w:space="0" w:color="000000"/>
              <w:bottom w:val="single" w:sz="4" w:space="0" w:color="000000"/>
            </w:tcBorders>
          </w:tcPr>
          <w:p>
            <w:pPr>
              <w:pStyle w:val="Style25"/>
              <w:widowControl w:val="false"/>
              <w:tabs>
                <w:tab w:val="clear" w:pos="720"/>
                <w:tab w:val="left" w:pos="-540" w:leader="none"/>
              </w:tabs>
              <w:snapToGrid w:val="false"/>
              <w:spacing w:before="0" w:after="240"/>
              <w:jc w:val="left"/>
              <w:rPr>
                <w:rFonts w:ascii="Calibri" w:hAnsi="Calibri" w:cs="Calibri"/>
                <w:sz w:val="22"/>
                <w:szCs w:val="22"/>
              </w:rPr>
            </w:pPr>
            <w:r>
              <w:rPr>
                <w:rFonts w:cs="Calibri"/>
                <w:sz w:val="22"/>
                <w:szCs w:val="22"/>
              </w:rPr>
              <w:t>Διαστάσεις</w:t>
            </w:r>
          </w:p>
        </w:tc>
        <w:tc>
          <w:tcPr>
            <w:tcW w:w="3924" w:type="dxa"/>
            <w:tcBorders>
              <w:top w:val="single" w:sz="4" w:space="0" w:color="000000"/>
              <w:left w:val="single" w:sz="4" w:space="0" w:color="000000"/>
              <w:bottom w:val="single" w:sz="4" w:space="0" w:color="000000"/>
            </w:tcBorders>
          </w:tcPr>
          <w:p>
            <w:pPr>
              <w:pStyle w:val="Style25"/>
              <w:widowControl w:val="false"/>
              <w:tabs>
                <w:tab w:val="clear" w:pos="720"/>
                <w:tab w:val="left" w:pos="-540" w:leader="none"/>
              </w:tabs>
              <w:snapToGrid w:val="false"/>
              <w:spacing w:before="0" w:after="240"/>
              <w:jc w:val="left"/>
              <w:rPr/>
            </w:pPr>
            <w:r>
              <w:rPr>
                <w:rFonts w:cs="Calibri"/>
                <w:sz w:val="22"/>
                <w:szCs w:val="22"/>
              </w:rPr>
              <w:t>2.00</w:t>
            </w:r>
            <w:r>
              <w:rPr>
                <w:rFonts w:cs="Calibri"/>
                <w:sz w:val="22"/>
                <w:szCs w:val="22"/>
                <w:lang w:val="en-US"/>
              </w:rPr>
              <w:t>x2.40m</w:t>
            </w:r>
          </w:p>
        </w:tc>
        <w:tc>
          <w:tcPr>
            <w:tcW w:w="2741" w:type="dxa"/>
            <w:tcBorders>
              <w:top w:val="single" w:sz="4" w:space="0" w:color="000000"/>
              <w:left w:val="single" w:sz="4" w:space="0" w:color="000000"/>
              <w:bottom w:val="single" w:sz="4" w:space="0" w:color="000000"/>
              <w:right w:val="single" w:sz="4" w:space="0" w:color="000000"/>
            </w:tcBorders>
          </w:tcPr>
          <w:p>
            <w:pPr>
              <w:pStyle w:val="Style25"/>
              <w:widowControl w:val="false"/>
              <w:tabs>
                <w:tab w:val="clear" w:pos="720"/>
                <w:tab w:val="left" w:pos="-540" w:leader="none"/>
              </w:tabs>
              <w:snapToGrid w:val="false"/>
              <w:spacing w:before="0" w:after="240"/>
              <w:jc w:val="left"/>
              <w:rPr>
                <w:rFonts w:ascii="Calibri" w:hAnsi="Calibri" w:cs="Calibri"/>
                <w:sz w:val="22"/>
                <w:szCs w:val="22"/>
              </w:rPr>
            </w:pPr>
            <w:r>
              <w:rPr>
                <w:rFonts w:cs="Calibri"/>
                <w:sz w:val="22"/>
                <w:szCs w:val="22"/>
              </w:rPr>
            </w:r>
          </w:p>
        </w:tc>
      </w:tr>
      <w:tr>
        <w:trPr/>
        <w:tc>
          <w:tcPr>
            <w:tcW w:w="2751" w:type="dxa"/>
            <w:tcBorders>
              <w:top w:val="single" w:sz="4" w:space="0" w:color="000000"/>
              <w:left w:val="single" w:sz="4" w:space="0" w:color="000000"/>
              <w:bottom w:val="single" w:sz="4" w:space="0" w:color="000000"/>
            </w:tcBorders>
          </w:tcPr>
          <w:p>
            <w:pPr>
              <w:pStyle w:val="Style25"/>
              <w:widowControl w:val="false"/>
              <w:tabs>
                <w:tab w:val="clear" w:pos="720"/>
                <w:tab w:val="left" w:pos="-540" w:leader="none"/>
              </w:tabs>
              <w:snapToGrid w:val="false"/>
              <w:spacing w:before="0" w:after="240"/>
              <w:jc w:val="left"/>
              <w:rPr>
                <w:rFonts w:ascii="Calibri" w:hAnsi="Calibri" w:cs="Calibri"/>
                <w:sz w:val="22"/>
                <w:szCs w:val="22"/>
              </w:rPr>
            </w:pPr>
            <w:r>
              <w:rPr>
                <w:rFonts w:cs="Calibri"/>
                <w:sz w:val="22"/>
                <w:szCs w:val="22"/>
              </w:rPr>
              <w:t>Ποιότητα</w:t>
            </w:r>
          </w:p>
        </w:tc>
        <w:tc>
          <w:tcPr>
            <w:tcW w:w="3924" w:type="dxa"/>
            <w:tcBorders>
              <w:top w:val="single" w:sz="4" w:space="0" w:color="000000"/>
              <w:left w:val="single" w:sz="4" w:space="0" w:color="000000"/>
              <w:bottom w:val="single" w:sz="4" w:space="0" w:color="000000"/>
            </w:tcBorders>
          </w:tcPr>
          <w:p>
            <w:pPr>
              <w:pStyle w:val="Style25"/>
              <w:widowControl w:val="false"/>
              <w:tabs>
                <w:tab w:val="clear" w:pos="720"/>
                <w:tab w:val="left" w:pos="-540" w:leader="none"/>
              </w:tabs>
              <w:snapToGrid w:val="false"/>
              <w:spacing w:before="0" w:after="240"/>
              <w:jc w:val="left"/>
              <w:rPr>
                <w:rFonts w:ascii="Calibri" w:hAnsi="Calibri" w:cs="Calibri"/>
                <w:sz w:val="22"/>
                <w:szCs w:val="22"/>
              </w:rPr>
            </w:pPr>
            <w:r>
              <w:rPr>
                <w:rFonts w:cs="Calibri"/>
                <w:sz w:val="22"/>
                <w:szCs w:val="22"/>
              </w:rPr>
              <w:t>Ακρυλική</w:t>
            </w:r>
          </w:p>
        </w:tc>
        <w:tc>
          <w:tcPr>
            <w:tcW w:w="2741" w:type="dxa"/>
            <w:tcBorders>
              <w:top w:val="single" w:sz="4" w:space="0" w:color="000000"/>
              <w:left w:val="single" w:sz="4" w:space="0" w:color="000000"/>
              <w:bottom w:val="single" w:sz="4" w:space="0" w:color="000000"/>
              <w:right w:val="single" w:sz="4" w:space="0" w:color="000000"/>
            </w:tcBorders>
          </w:tcPr>
          <w:p>
            <w:pPr>
              <w:pStyle w:val="Style25"/>
              <w:widowControl w:val="false"/>
              <w:tabs>
                <w:tab w:val="clear" w:pos="720"/>
                <w:tab w:val="left" w:pos="-540" w:leader="none"/>
              </w:tabs>
              <w:snapToGrid w:val="false"/>
              <w:spacing w:before="0" w:after="240"/>
              <w:jc w:val="left"/>
              <w:rPr>
                <w:rFonts w:ascii="Calibri" w:hAnsi="Calibri" w:cs="Calibri"/>
                <w:sz w:val="22"/>
                <w:szCs w:val="22"/>
              </w:rPr>
            </w:pPr>
            <w:r>
              <w:rPr>
                <w:rFonts w:cs="Calibri"/>
                <w:sz w:val="22"/>
                <w:szCs w:val="22"/>
              </w:rPr>
            </w:r>
          </w:p>
        </w:tc>
      </w:tr>
    </w:tbl>
    <w:p>
      <w:pPr>
        <w:pStyle w:val="Normal"/>
        <w:tabs>
          <w:tab w:val="clear" w:pos="720"/>
          <w:tab w:val="left" w:pos="4800" w:leader="none"/>
        </w:tabs>
        <w:rPr>
          <w:rFonts w:ascii="Calibri" w:hAnsi="Calibri" w:cs="Calibri"/>
          <w:sz w:val="22"/>
          <w:szCs w:val="22"/>
        </w:rPr>
      </w:pPr>
      <w:r>
        <w:rPr>
          <w:rFonts w:cs="Calibri"/>
          <w:sz w:val="22"/>
          <w:szCs w:val="22"/>
        </w:rPr>
      </w:r>
    </w:p>
    <w:p>
      <w:pPr>
        <w:pStyle w:val="Normal"/>
        <w:tabs>
          <w:tab w:val="clear" w:pos="720"/>
          <w:tab w:val="left" w:pos="4095" w:leader="none"/>
        </w:tabs>
        <w:ind w:left="1080" w:hanging="0"/>
        <w:rPr/>
      </w:pPr>
      <w:r>
        <w:rPr>
          <w:rFonts w:cs="Calibri"/>
          <w:b/>
          <w:lang w:val="en-US"/>
        </w:rPr>
        <w:t>2</w:t>
      </w:r>
      <w:r>
        <w:rPr>
          <w:rFonts w:cs="Calibri"/>
          <w:b/>
        </w:rPr>
        <w:t>9</w:t>
      </w:r>
      <w:r>
        <w:rPr>
          <w:rFonts w:cs="Calibri"/>
          <w:b/>
          <w:lang w:val="en-US"/>
        </w:rPr>
        <w:t xml:space="preserve">. </w:t>
      </w:r>
      <w:r>
        <w:rPr>
          <w:rFonts w:cs="Calibri"/>
          <w:b/>
        </w:rPr>
        <w:t>Κουβέρτα διπλή πικέ</w:t>
      </w:r>
    </w:p>
    <w:tbl>
      <w:tblPr>
        <w:tblW w:w="9416" w:type="dxa"/>
        <w:jc w:val="left"/>
        <w:tblInd w:w="-65" w:type="dxa"/>
        <w:tblLayout w:type="fixed"/>
        <w:tblCellMar>
          <w:top w:w="0" w:type="dxa"/>
          <w:left w:w="108" w:type="dxa"/>
          <w:bottom w:w="0" w:type="dxa"/>
          <w:right w:w="108" w:type="dxa"/>
        </w:tblCellMar>
      </w:tblPr>
      <w:tblGrid>
        <w:gridCol w:w="2751"/>
        <w:gridCol w:w="3924"/>
        <w:gridCol w:w="2741"/>
      </w:tblGrid>
      <w:tr>
        <w:trPr/>
        <w:tc>
          <w:tcPr>
            <w:tcW w:w="2751" w:type="dxa"/>
            <w:tcBorders>
              <w:top w:val="single" w:sz="4" w:space="0" w:color="000000"/>
              <w:left w:val="single" w:sz="4" w:space="0" w:color="000000"/>
              <w:bottom w:val="single" w:sz="4" w:space="0" w:color="000000"/>
            </w:tcBorders>
            <w:shd w:fill="F2F2F2" w:val="clear"/>
          </w:tcPr>
          <w:p>
            <w:pPr>
              <w:pStyle w:val="Style25"/>
              <w:widowControl w:val="false"/>
              <w:tabs>
                <w:tab w:val="clear" w:pos="720"/>
                <w:tab w:val="left" w:pos="-540" w:leader="none"/>
              </w:tabs>
              <w:spacing w:before="0" w:after="240"/>
              <w:jc w:val="left"/>
              <w:rPr>
                <w:rFonts w:ascii="Calibri" w:hAnsi="Calibri" w:eastAsia="Calibri" w:cs="Calibri"/>
                <w:b/>
                <w:b/>
                <w:sz w:val="22"/>
                <w:szCs w:val="22"/>
              </w:rPr>
            </w:pPr>
            <w:r>
              <w:rPr>
                <w:rFonts w:eastAsia="Calibri" w:cs="Calibri"/>
                <w:b/>
                <w:sz w:val="22"/>
                <w:szCs w:val="22"/>
              </w:rPr>
              <w:t>Χαρακτηριστικό</w:t>
            </w:r>
          </w:p>
        </w:tc>
        <w:tc>
          <w:tcPr>
            <w:tcW w:w="3924" w:type="dxa"/>
            <w:tcBorders>
              <w:top w:val="single" w:sz="4" w:space="0" w:color="000000"/>
              <w:left w:val="single" w:sz="4" w:space="0" w:color="000000"/>
              <w:bottom w:val="single" w:sz="4" w:space="0" w:color="000000"/>
            </w:tcBorders>
            <w:shd w:fill="F2F2F2" w:val="clear"/>
          </w:tcPr>
          <w:p>
            <w:pPr>
              <w:pStyle w:val="Style25"/>
              <w:widowControl w:val="false"/>
              <w:tabs>
                <w:tab w:val="clear" w:pos="720"/>
                <w:tab w:val="left" w:pos="-540" w:leader="none"/>
              </w:tabs>
              <w:spacing w:before="0" w:after="240"/>
              <w:jc w:val="left"/>
              <w:rPr>
                <w:rFonts w:ascii="Calibri" w:hAnsi="Calibri" w:eastAsia="Calibri" w:cs="Calibri"/>
                <w:b/>
                <w:b/>
                <w:sz w:val="22"/>
                <w:szCs w:val="22"/>
              </w:rPr>
            </w:pPr>
            <w:r>
              <w:rPr>
                <w:rFonts w:eastAsia="Calibri" w:cs="Calibri"/>
                <w:b/>
                <w:sz w:val="22"/>
                <w:szCs w:val="22"/>
              </w:rPr>
              <w:t>Απαίτηση</w:t>
            </w:r>
          </w:p>
        </w:tc>
        <w:tc>
          <w:tcPr>
            <w:tcW w:w="2741" w:type="dxa"/>
            <w:tcBorders>
              <w:top w:val="single" w:sz="4" w:space="0" w:color="000000"/>
              <w:left w:val="single" w:sz="4" w:space="0" w:color="000000"/>
              <w:bottom w:val="single" w:sz="4" w:space="0" w:color="000000"/>
              <w:right w:val="single" w:sz="4" w:space="0" w:color="000000"/>
            </w:tcBorders>
            <w:shd w:fill="F2F2F2" w:val="clear"/>
          </w:tcPr>
          <w:p>
            <w:pPr>
              <w:pStyle w:val="Style25"/>
              <w:widowControl w:val="false"/>
              <w:tabs>
                <w:tab w:val="clear" w:pos="720"/>
                <w:tab w:val="left" w:pos="-540" w:leader="none"/>
              </w:tabs>
              <w:spacing w:before="0" w:after="240"/>
              <w:jc w:val="left"/>
              <w:rPr>
                <w:rFonts w:ascii="Calibri" w:hAnsi="Calibri" w:eastAsia="Calibri" w:cs="Calibri"/>
                <w:b/>
                <w:b/>
                <w:sz w:val="22"/>
                <w:szCs w:val="22"/>
              </w:rPr>
            </w:pPr>
            <w:r>
              <w:rPr>
                <w:rFonts w:eastAsia="Calibri" w:cs="Calibri"/>
                <w:b/>
                <w:sz w:val="22"/>
                <w:szCs w:val="22"/>
              </w:rPr>
              <w:t>Παρατηρήσεις</w:t>
            </w:r>
          </w:p>
        </w:tc>
      </w:tr>
      <w:tr>
        <w:trPr/>
        <w:tc>
          <w:tcPr>
            <w:tcW w:w="2751" w:type="dxa"/>
            <w:tcBorders>
              <w:top w:val="single" w:sz="4" w:space="0" w:color="000000"/>
              <w:left w:val="single" w:sz="4" w:space="0" w:color="000000"/>
              <w:bottom w:val="single" w:sz="4" w:space="0" w:color="000000"/>
            </w:tcBorders>
          </w:tcPr>
          <w:p>
            <w:pPr>
              <w:pStyle w:val="Style25"/>
              <w:widowControl w:val="false"/>
              <w:tabs>
                <w:tab w:val="clear" w:pos="720"/>
                <w:tab w:val="left" w:pos="-540" w:leader="none"/>
              </w:tabs>
              <w:snapToGrid w:val="false"/>
              <w:spacing w:before="0" w:after="240"/>
              <w:jc w:val="left"/>
              <w:rPr>
                <w:rFonts w:ascii="Calibri" w:hAnsi="Calibri" w:cs="Calibri"/>
                <w:sz w:val="22"/>
                <w:szCs w:val="22"/>
              </w:rPr>
            </w:pPr>
            <w:r>
              <w:rPr>
                <w:rFonts w:cs="Calibri"/>
                <w:sz w:val="22"/>
                <w:szCs w:val="22"/>
              </w:rPr>
              <w:t>Διαστάσεις</w:t>
            </w:r>
          </w:p>
        </w:tc>
        <w:tc>
          <w:tcPr>
            <w:tcW w:w="3924" w:type="dxa"/>
            <w:tcBorders>
              <w:top w:val="single" w:sz="4" w:space="0" w:color="000000"/>
              <w:left w:val="single" w:sz="4" w:space="0" w:color="000000"/>
              <w:bottom w:val="single" w:sz="4" w:space="0" w:color="000000"/>
            </w:tcBorders>
          </w:tcPr>
          <w:p>
            <w:pPr>
              <w:pStyle w:val="Style25"/>
              <w:widowControl w:val="false"/>
              <w:tabs>
                <w:tab w:val="clear" w:pos="720"/>
                <w:tab w:val="left" w:pos="-540" w:leader="none"/>
              </w:tabs>
              <w:snapToGrid w:val="false"/>
              <w:spacing w:before="0" w:after="240"/>
              <w:jc w:val="left"/>
              <w:rPr>
                <w:rFonts w:ascii="Calibri" w:hAnsi="Calibri" w:cs="Calibri"/>
                <w:sz w:val="22"/>
                <w:szCs w:val="22"/>
              </w:rPr>
            </w:pPr>
            <w:r>
              <w:rPr>
                <w:rFonts w:cs="Calibri"/>
                <w:sz w:val="22"/>
                <w:szCs w:val="22"/>
              </w:rPr>
              <w:t>2.00x2.40m</w:t>
            </w:r>
          </w:p>
        </w:tc>
        <w:tc>
          <w:tcPr>
            <w:tcW w:w="2741" w:type="dxa"/>
            <w:tcBorders>
              <w:top w:val="single" w:sz="4" w:space="0" w:color="000000"/>
              <w:left w:val="single" w:sz="4" w:space="0" w:color="000000"/>
              <w:bottom w:val="single" w:sz="4" w:space="0" w:color="000000"/>
              <w:right w:val="single" w:sz="4" w:space="0" w:color="000000"/>
            </w:tcBorders>
          </w:tcPr>
          <w:p>
            <w:pPr>
              <w:pStyle w:val="Style25"/>
              <w:widowControl w:val="false"/>
              <w:tabs>
                <w:tab w:val="clear" w:pos="720"/>
                <w:tab w:val="left" w:pos="-540" w:leader="none"/>
              </w:tabs>
              <w:snapToGrid w:val="false"/>
              <w:spacing w:before="0" w:after="240"/>
              <w:jc w:val="left"/>
              <w:rPr>
                <w:rFonts w:ascii="Calibri" w:hAnsi="Calibri" w:cs="Calibri"/>
                <w:sz w:val="22"/>
                <w:szCs w:val="22"/>
                <w:lang w:val="en-US"/>
              </w:rPr>
            </w:pPr>
            <w:r>
              <w:rPr>
                <w:rFonts w:cs="Calibri"/>
                <w:sz w:val="22"/>
                <w:szCs w:val="22"/>
                <w:lang w:val="en-US"/>
              </w:rPr>
            </w:r>
          </w:p>
        </w:tc>
      </w:tr>
      <w:tr>
        <w:trPr/>
        <w:tc>
          <w:tcPr>
            <w:tcW w:w="2751" w:type="dxa"/>
            <w:tcBorders>
              <w:top w:val="single" w:sz="4" w:space="0" w:color="000000"/>
              <w:left w:val="single" w:sz="4" w:space="0" w:color="000000"/>
              <w:bottom w:val="single" w:sz="4" w:space="0" w:color="000000"/>
            </w:tcBorders>
          </w:tcPr>
          <w:p>
            <w:pPr>
              <w:pStyle w:val="Style25"/>
              <w:widowControl w:val="false"/>
              <w:tabs>
                <w:tab w:val="clear" w:pos="720"/>
                <w:tab w:val="left" w:pos="-540" w:leader="none"/>
              </w:tabs>
              <w:snapToGrid w:val="false"/>
              <w:spacing w:before="0" w:after="240"/>
              <w:jc w:val="left"/>
              <w:rPr>
                <w:rFonts w:ascii="Calibri" w:hAnsi="Calibri" w:cs="Calibri"/>
                <w:sz w:val="22"/>
                <w:szCs w:val="22"/>
              </w:rPr>
            </w:pPr>
            <w:r>
              <w:rPr>
                <w:rFonts w:cs="Calibri"/>
                <w:sz w:val="22"/>
                <w:szCs w:val="22"/>
              </w:rPr>
              <w:t>Ποιότητα</w:t>
            </w:r>
          </w:p>
        </w:tc>
        <w:tc>
          <w:tcPr>
            <w:tcW w:w="3924" w:type="dxa"/>
            <w:tcBorders>
              <w:top w:val="single" w:sz="4" w:space="0" w:color="000000"/>
              <w:left w:val="single" w:sz="4" w:space="0" w:color="000000"/>
              <w:bottom w:val="single" w:sz="4" w:space="0" w:color="000000"/>
            </w:tcBorders>
          </w:tcPr>
          <w:p>
            <w:pPr>
              <w:pStyle w:val="Style25"/>
              <w:widowControl w:val="false"/>
              <w:tabs>
                <w:tab w:val="clear" w:pos="720"/>
                <w:tab w:val="left" w:pos="-540" w:leader="none"/>
              </w:tabs>
              <w:snapToGrid w:val="false"/>
              <w:spacing w:before="0" w:after="240"/>
              <w:jc w:val="left"/>
              <w:rPr/>
            </w:pPr>
            <w:r>
              <w:rPr>
                <w:rFonts w:cs="Calibri"/>
                <w:sz w:val="22"/>
                <w:szCs w:val="22"/>
                <w:lang w:val="en-US"/>
              </w:rPr>
              <w:t xml:space="preserve">100% </w:t>
            </w:r>
            <w:r>
              <w:rPr>
                <w:rFonts w:cs="Calibri"/>
                <w:sz w:val="22"/>
                <w:szCs w:val="22"/>
              </w:rPr>
              <w:t>Βαμβάκι</w:t>
            </w:r>
          </w:p>
        </w:tc>
        <w:tc>
          <w:tcPr>
            <w:tcW w:w="2741" w:type="dxa"/>
            <w:tcBorders>
              <w:top w:val="single" w:sz="4" w:space="0" w:color="000000"/>
              <w:left w:val="single" w:sz="4" w:space="0" w:color="000000"/>
              <w:bottom w:val="single" w:sz="4" w:space="0" w:color="000000"/>
              <w:right w:val="single" w:sz="4" w:space="0" w:color="000000"/>
            </w:tcBorders>
          </w:tcPr>
          <w:p>
            <w:pPr>
              <w:pStyle w:val="Style25"/>
              <w:widowControl w:val="false"/>
              <w:tabs>
                <w:tab w:val="clear" w:pos="720"/>
                <w:tab w:val="left" w:pos="-540" w:leader="none"/>
              </w:tabs>
              <w:snapToGrid w:val="false"/>
              <w:spacing w:before="0" w:after="240"/>
              <w:jc w:val="left"/>
              <w:rPr>
                <w:rFonts w:ascii="Calibri" w:hAnsi="Calibri" w:cs="Calibri"/>
                <w:sz w:val="22"/>
                <w:szCs w:val="22"/>
              </w:rPr>
            </w:pPr>
            <w:r>
              <w:rPr>
                <w:rFonts w:cs="Calibri"/>
                <w:sz w:val="22"/>
                <w:szCs w:val="22"/>
              </w:rPr>
            </w:r>
          </w:p>
        </w:tc>
      </w:tr>
    </w:tbl>
    <w:p>
      <w:pPr>
        <w:pStyle w:val="Normal"/>
        <w:tabs>
          <w:tab w:val="clear" w:pos="720"/>
          <w:tab w:val="left" w:pos="4800" w:leader="none"/>
        </w:tabs>
        <w:ind w:left="1077" w:hanging="0"/>
        <w:rPr>
          <w:rFonts w:ascii="Calibri" w:hAnsi="Calibri" w:cs="Calibri"/>
          <w:b/>
          <w:b/>
        </w:rPr>
      </w:pPr>
      <w:r>
        <w:rPr>
          <w:rFonts w:cs="Calibri"/>
          <w:b/>
        </w:rPr>
        <w:t>30. Κουβέρτα μονή</w:t>
      </w:r>
    </w:p>
    <w:tbl>
      <w:tblPr>
        <w:tblW w:w="9416" w:type="dxa"/>
        <w:jc w:val="left"/>
        <w:tblInd w:w="-65" w:type="dxa"/>
        <w:tblLayout w:type="fixed"/>
        <w:tblCellMar>
          <w:top w:w="0" w:type="dxa"/>
          <w:left w:w="108" w:type="dxa"/>
          <w:bottom w:w="0" w:type="dxa"/>
          <w:right w:w="108" w:type="dxa"/>
        </w:tblCellMar>
      </w:tblPr>
      <w:tblGrid>
        <w:gridCol w:w="2434"/>
        <w:gridCol w:w="4353"/>
        <w:gridCol w:w="2629"/>
      </w:tblGrid>
      <w:tr>
        <w:trPr/>
        <w:tc>
          <w:tcPr>
            <w:tcW w:w="2434" w:type="dxa"/>
            <w:tcBorders>
              <w:top w:val="single" w:sz="4" w:space="0" w:color="000000"/>
              <w:left w:val="single" w:sz="4" w:space="0" w:color="000000"/>
              <w:bottom w:val="single" w:sz="4" w:space="0" w:color="000000"/>
            </w:tcBorders>
            <w:shd w:fill="F2F2F2" w:val="clear"/>
          </w:tcPr>
          <w:p>
            <w:pPr>
              <w:pStyle w:val="Style25"/>
              <w:widowControl w:val="false"/>
              <w:tabs>
                <w:tab w:val="clear" w:pos="720"/>
                <w:tab w:val="left" w:pos="-540" w:leader="none"/>
              </w:tabs>
              <w:spacing w:before="0" w:after="240"/>
              <w:jc w:val="left"/>
              <w:rPr>
                <w:rFonts w:ascii="Calibri" w:hAnsi="Calibri" w:eastAsia="Calibri" w:cs="Calibri"/>
                <w:b/>
                <w:b/>
                <w:sz w:val="22"/>
                <w:szCs w:val="22"/>
              </w:rPr>
            </w:pPr>
            <w:r>
              <w:rPr>
                <w:rFonts w:eastAsia="Calibri" w:cs="Calibri"/>
                <w:b/>
                <w:sz w:val="22"/>
                <w:szCs w:val="22"/>
              </w:rPr>
              <w:t>Χαρακτηριστικό</w:t>
            </w:r>
          </w:p>
        </w:tc>
        <w:tc>
          <w:tcPr>
            <w:tcW w:w="4353" w:type="dxa"/>
            <w:tcBorders>
              <w:top w:val="single" w:sz="4" w:space="0" w:color="000000"/>
              <w:left w:val="single" w:sz="4" w:space="0" w:color="000000"/>
              <w:bottom w:val="single" w:sz="4" w:space="0" w:color="000000"/>
            </w:tcBorders>
            <w:shd w:fill="F2F2F2" w:val="clear"/>
          </w:tcPr>
          <w:p>
            <w:pPr>
              <w:pStyle w:val="Style25"/>
              <w:widowControl w:val="false"/>
              <w:tabs>
                <w:tab w:val="clear" w:pos="720"/>
                <w:tab w:val="left" w:pos="-540" w:leader="none"/>
              </w:tabs>
              <w:spacing w:before="0" w:after="240"/>
              <w:jc w:val="left"/>
              <w:rPr>
                <w:rFonts w:ascii="Calibri" w:hAnsi="Calibri" w:eastAsia="Calibri" w:cs="Calibri"/>
                <w:b/>
                <w:b/>
                <w:sz w:val="22"/>
                <w:szCs w:val="22"/>
              </w:rPr>
            </w:pPr>
            <w:r>
              <w:rPr>
                <w:rFonts w:eastAsia="Calibri" w:cs="Calibri"/>
                <w:b/>
                <w:sz w:val="22"/>
                <w:szCs w:val="22"/>
              </w:rPr>
              <w:t>Απαίτηση</w:t>
            </w:r>
          </w:p>
        </w:tc>
        <w:tc>
          <w:tcPr>
            <w:tcW w:w="2629" w:type="dxa"/>
            <w:tcBorders>
              <w:top w:val="single" w:sz="4" w:space="0" w:color="000000"/>
              <w:left w:val="single" w:sz="4" w:space="0" w:color="000000"/>
              <w:bottom w:val="single" w:sz="4" w:space="0" w:color="000000"/>
              <w:right w:val="single" w:sz="4" w:space="0" w:color="000000"/>
            </w:tcBorders>
            <w:shd w:fill="F2F2F2" w:val="clear"/>
          </w:tcPr>
          <w:p>
            <w:pPr>
              <w:pStyle w:val="Style25"/>
              <w:widowControl w:val="false"/>
              <w:tabs>
                <w:tab w:val="clear" w:pos="720"/>
                <w:tab w:val="left" w:pos="-540" w:leader="none"/>
              </w:tabs>
              <w:spacing w:before="0" w:after="240"/>
              <w:jc w:val="left"/>
              <w:rPr>
                <w:rFonts w:ascii="Calibri" w:hAnsi="Calibri" w:eastAsia="Calibri" w:cs="Calibri"/>
                <w:b/>
                <w:b/>
                <w:sz w:val="22"/>
                <w:szCs w:val="22"/>
              </w:rPr>
            </w:pPr>
            <w:r>
              <w:rPr>
                <w:rFonts w:eastAsia="Calibri" w:cs="Calibri"/>
                <w:b/>
                <w:sz w:val="22"/>
                <w:szCs w:val="22"/>
              </w:rPr>
              <w:t>Παρατηρήσεις</w:t>
            </w:r>
          </w:p>
        </w:tc>
      </w:tr>
      <w:tr>
        <w:trPr/>
        <w:tc>
          <w:tcPr>
            <w:tcW w:w="2434" w:type="dxa"/>
            <w:tcBorders>
              <w:top w:val="single" w:sz="4" w:space="0" w:color="000000"/>
              <w:left w:val="single" w:sz="4" w:space="0" w:color="000000"/>
              <w:bottom w:val="single" w:sz="4" w:space="0" w:color="000000"/>
            </w:tcBorders>
          </w:tcPr>
          <w:p>
            <w:pPr>
              <w:pStyle w:val="Normal"/>
              <w:widowControl w:val="false"/>
              <w:snapToGrid w:val="false"/>
              <w:spacing w:before="0" w:after="120"/>
              <w:rPr>
                <w:rFonts w:ascii="Calibri" w:hAnsi="Calibri" w:cs="Calibri"/>
                <w:sz w:val="22"/>
                <w:szCs w:val="22"/>
              </w:rPr>
            </w:pPr>
            <w:r>
              <w:rPr>
                <w:rFonts w:cs="Calibri"/>
                <w:sz w:val="22"/>
                <w:szCs w:val="22"/>
              </w:rPr>
              <w:t>Διαστάσεις</w:t>
            </w:r>
          </w:p>
        </w:tc>
        <w:tc>
          <w:tcPr>
            <w:tcW w:w="4353" w:type="dxa"/>
            <w:tcBorders>
              <w:top w:val="single" w:sz="4" w:space="0" w:color="000000"/>
              <w:left w:val="single" w:sz="4" w:space="0" w:color="000000"/>
              <w:bottom w:val="single" w:sz="4" w:space="0" w:color="000000"/>
            </w:tcBorders>
            <w:vAlign w:val="center"/>
          </w:tcPr>
          <w:p>
            <w:pPr>
              <w:pStyle w:val="Normal"/>
              <w:widowControl w:val="false"/>
              <w:snapToGrid w:val="false"/>
              <w:spacing w:before="0" w:after="120"/>
              <w:rPr/>
            </w:pPr>
            <w:r>
              <w:rPr>
                <w:rFonts w:cs="Calibri"/>
                <w:sz w:val="22"/>
                <w:szCs w:val="22"/>
              </w:rPr>
              <w:t>1.60</w:t>
            </w:r>
            <w:r>
              <w:rPr>
                <w:rFonts w:cs="Calibri"/>
                <w:sz w:val="22"/>
                <w:szCs w:val="22"/>
                <w:lang w:val="en-US"/>
              </w:rPr>
              <w:t>x2.00m</w:t>
            </w:r>
          </w:p>
        </w:tc>
        <w:tc>
          <w:tcPr>
            <w:tcW w:w="2629" w:type="dxa"/>
            <w:tcBorders>
              <w:top w:val="single" w:sz="4" w:space="0" w:color="000000"/>
              <w:left w:val="single" w:sz="4" w:space="0" w:color="000000"/>
              <w:bottom w:val="single" w:sz="4" w:space="0" w:color="000000"/>
              <w:right w:val="single" w:sz="4" w:space="0" w:color="000000"/>
            </w:tcBorders>
          </w:tcPr>
          <w:p>
            <w:pPr>
              <w:pStyle w:val="Style25"/>
              <w:widowControl w:val="false"/>
              <w:tabs>
                <w:tab w:val="clear" w:pos="720"/>
                <w:tab w:val="left" w:pos="-540" w:leader="none"/>
              </w:tabs>
              <w:snapToGrid w:val="false"/>
              <w:spacing w:before="0" w:after="240"/>
              <w:jc w:val="left"/>
              <w:rPr>
                <w:rFonts w:ascii="Calibri" w:hAnsi="Calibri" w:cs="Calibri"/>
                <w:sz w:val="22"/>
                <w:szCs w:val="22"/>
              </w:rPr>
            </w:pPr>
            <w:r>
              <w:rPr>
                <w:rFonts w:cs="Calibri"/>
                <w:sz w:val="22"/>
                <w:szCs w:val="22"/>
              </w:rPr>
            </w:r>
          </w:p>
        </w:tc>
      </w:tr>
      <w:tr>
        <w:trPr/>
        <w:tc>
          <w:tcPr>
            <w:tcW w:w="2434" w:type="dxa"/>
            <w:tcBorders>
              <w:top w:val="single" w:sz="4" w:space="0" w:color="000000"/>
              <w:left w:val="single" w:sz="4" w:space="0" w:color="000000"/>
              <w:bottom w:val="single" w:sz="4" w:space="0" w:color="000000"/>
            </w:tcBorders>
          </w:tcPr>
          <w:p>
            <w:pPr>
              <w:pStyle w:val="Normal"/>
              <w:widowControl w:val="false"/>
              <w:snapToGrid w:val="false"/>
              <w:spacing w:before="0" w:after="120"/>
              <w:rPr>
                <w:rFonts w:ascii="Calibri" w:hAnsi="Calibri" w:cs="Calibri"/>
                <w:sz w:val="22"/>
                <w:szCs w:val="22"/>
              </w:rPr>
            </w:pPr>
            <w:r>
              <w:rPr>
                <w:rFonts w:cs="Calibri"/>
                <w:sz w:val="22"/>
                <w:szCs w:val="22"/>
              </w:rPr>
              <w:t>Ποιότητα</w:t>
            </w:r>
          </w:p>
        </w:tc>
        <w:tc>
          <w:tcPr>
            <w:tcW w:w="4353" w:type="dxa"/>
            <w:tcBorders>
              <w:top w:val="single" w:sz="4" w:space="0" w:color="000000"/>
              <w:left w:val="single" w:sz="4" w:space="0" w:color="000000"/>
              <w:bottom w:val="single" w:sz="4" w:space="0" w:color="000000"/>
            </w:tcBorders>
            <w:vAlign w:val="center"/>
          </w:tcPr>
          <w:p>
            <w:pPr>
              <w:pStyle w:val="Normal"/>
              <w:widowControl w:val="false"/>
              <w:snapToGrid w:val="false"/>
              <w:spacing w:before="0" w:after="120"/>
              <w:rPr>
                <w:rFonts w:ascii="Calibri" w:hAnsi="Calibri" w:cs="Calibri"/>
                <w:sz w:val="22"/>
                <w:szCs w:val="22"/>
              </w:rPr>
            </w:pPr>
            <w:r>
              <w:rPr>
                <w:rFonts w:cs="Calibri"/>
                <w:sz w:val="22"/>
                <w:szCs w:val="22"/>
              </w:rPr>
              <w:t>Ακρυλική</w:t>
            </w:r>
          </w:p>
        </w:tc>
        <w:tc>
          <w:tcPr>
            <w:tcW w:w="2629" w:type="dxa"/>
            <w:tcBorders>
              <w:top w:val="single" w:sz="4" w:space="0" w:color="000000"/>
              <w:left w:val="single" w:sz="4" w:space="0" w:color="000000"/>
              <w:bottom w:val="single" w:sz="4" w:space="0" w:color="000000"/>
              <w:right w:val="single" w:sz="4" w:space="0" w:color="000000"/>
            </w:tcBorders>
          </w:tcPr>
          <w:p>
            <w:pPr>
              <w:pStyle w:val="Style25"/>
              <w:widowControl w:val="false"/>
              <w:tabs>
                <w:tab w:val="clear" w:pos="720"/>
                <w:tab w:val="left" w:pos="-540" w:leader="none"/>
              </w:tabs>
              <w:snapToGrid w:val="false"/>
              <w:spacing w:before="0" w:after="240"/>
              <w:jc w:val="left"/>
              <w:rPr>
                <w:rFonts w:ascii="Calibri" w:hAnsi="Calibri" w:cs="Calibri"/>
                <w:sz w:val="22"/>
                <w:szCs w:val="22"/>
              </w:rPr>
            </w:pPr>
            <w:r>
              <w:rPr>
                <w:rFonts w:cs="Calibri"/>
                <w:sz w:val="22"/>
                <w:szCs w:val="22"/>
              </w:rPr>
            </w:r>
          </w:p>
        </w:tc>
      </w:tr>
    </w:tbl>
    <w:p>
      <w:pPr>
        <w:pStyle w:val="Normal"/>
        <w:tabs>
          <w:tab w:val="clear" w:pos="720"/>
          <w:tab w:val="left" w:pos="4095" w:leader="none"/>
        </w:tabs>
        <w:rPr>
          <w:rFonts w:ascii="Calibri" w:hAnsi="Calibri" w:cs="Calibri"/>
          <w:b/>
          <w:b/>
        </w:rPr>
      </w:pPr>
      <w:r>
        <w:rPr>
          <w:rFonts w:cs="Calibri"/>
          <w:b/>
        </w:rPr>
      </w:r>
    </w:p>
    <w:p>
      <w:pPr>
        <w:pStyle w:val="Normal"/>
        <w:tabs>
          <w:tab w:val="clear" w:pos="720"/>
          <w:tab w:val="left" w:pos="4800" w:leader="none"/>
        </w:tabs>
        <w:ind w:left="1077" w:hanging="0"/>
        <w:rPr>
          <w:rFonts w:ascii="Calibri" w:hAnsi="Calibri" w:cs="Calibri"/>
          <w:b/>
          <w:b/>
        </w:rPr>
      </w:pPr>
      <w:r>
        <w:rPr>
          <w:rFonts w:cs="Calibri"/>
          <w:b/>
        </w:rPr>
        <w:t>31. Κουβέρτα μονή πικέ</w:t>
      </w:r>
    </w:p>
    <w:tbl>
      <w:tblPr>
        <w:tblW w:w="9416" w:type="dxa"/>
        <w:jc w:val="left"/>
        <w:tblInd w:w="-65" w:type="dxa"/>
        <w:tblLayout w:type="fixed"/>
        <w:tblCellMar>
          <w:top w:w="0" w:type="dxa"/>
          <w:left w:w="108" w:type="dxa"/>
          <w:bottom w:w="0" w:type="dxa"/>
          <w:right w:w="108" w:type="dxa"/>
        </w:tblCellMar>
      </w:tblPr>
      <w:tblGrid>
        <w:gridCol w:w="2434"/>
        <w:gridCol w:w="4353"/>
        <w:gridCol w:w="2629"/>
      </w:tblGrid>
      <w:tr>
        <w:trPr/>
        <w:tc>
          <w:tcPr>
            <w:tcW w:w="2434" w:type="dxa"/>
            <w:tcBorders>
              <w:top w:val="single" w:sz="4" w:space="0" w:color="000000"/>
              <w:left w:val="single" w:sz="4" w:space="0" w:color="000000"/>
              <w:bottom w:val="single" w:sz="4" w:space="0" w:color="000000"/>
            </w:tcBorders>
            <w:shd w:fill="F2F2F2" w:val="clear"/>
          </w:tcPr>
          <w:p>
            <w:pPr>
              <w:pStyle w:val="Style25"/>
              <w:widowControl w:val="false"/>
              <w:tabs>
                <w:tab w:val="clear" w:pos="720"/>
                <w:tab w:val="left" w:pos="-540" w:leader="none"/>
              </w:tabs>
              <w:spacing w:before="0" w:after="240"/>
              <w:jc w:val="left"/>
              <w:rPr>
                <w:rFonts w:ascii="Calibri" w:hAnsi="Calibri" w:eastAsia="Calibri" w:cs="Calibri"/>
                <w:b/>
                <w:b/>
                <w:sz w:val="22"/>
                <w:szCs w:val="22"/>
              </w:rPr>
            </w:pPr>
            <w:r>
              <w:rPr>
                <w:rFonts w:eastAsia="Calibri" w:cs="Calibri"/>
                <w:b/>
                <w:sz w:val="22"/>
                <w:szCs w:val="22"/>
              </w:rPr>
              <w:t>Χαρακτηριστικό</w:t>
            </w:r>
          </w:p>
        </w:tc>
        <w:tc>
          <w:tcPr>
            <w:tcW w:w="4353" w:type="dxa"/>
            <w:tcBorders>
              <w:top w:val="single" w:sz="4" w:space="0" w:color="000000"/>
              <w:left w:val="single" w:sz="4" w:space="0" w:color="000000"/>
              <w:bottom w:val="single" w:sz="4" w:space="0" w:color="000000"/>
            </w:tcBorders>
            <w:shd w:fill="F2F2F2" w:val="clear"/>
          </w:tcPr>
          <w:p>
            <w:pPr>
              <w:pStyle w:val="Style25"/>
              <w:widowControl w:val="false"/>
              <w:tabs>
                <w:tab w:val="clear" w:pos="720"/>
                <w:tab w:val="left" w:pos="-540" w:leader="none"/>
              </w:tabs>
              <w:spacing w:before="0" w:after="240"/>
              <w:jc w:val="left"/>
              <w:rPr>
                <w:rFonts w:ascii="Calibri" w:hAnsi="Calibri" w:eastAsia="Calibri" w:cs="Calibri"/>
                <w:b/>
                <w:b/>
                <w:sz w:val="22"/>
                <w:szCs w:val="22"/>
              </w:rPr>
            </w:pPr>
            <w:r>
              <w:rPr>
                <w:rFonts w:eastAsia="Calibri" w:cs="Calibri"/>
                <w:b/>
                <w:sz w:val="22"/>
                <w:szCs w:val="22"/>
              </w:rPr>
              <w:t>Απαίτηση</w:t>
            </w:r>
          </w:p>
        </w:tc>
        <w:tc>
          <w:tcPr>
            <w:tcW w:w="2629" w:type="dxa"/>
            <w:tcBorders>
              <w:top w:val="single" w:sz="4" w:space="0" w:color="000000"/>
              <w:left w:val="single" w:sz="4" w:space="0" w:color="000000"/>
              <w:bottom w:val="single" w:sz="4" w:space="0" w:color="000000"/>
              <w:right w:val="single" w:sz="4" w:space="0" w:color="000000"/>
            </w:tcBorders>
            <w:shd w:fill="F2F2F2" w:val="clear"/>
          </w:tcPr>
          <w:p>
            <w:pPr>
              <w:pStyle w:val="Style25"/>
              <w:widowControl w:val="false"/>
              <w:tabs>
                <w:tab w:val="clear" w:pos="720"/>
                <w:tab w:val="left" w:pos="-540" w:leader="none"/>
              </w:tabs>
              <w:spacing w:before="0" w:after="240"/>
              <w:jc w:val="left"/>
              <w:rPr>
                <w:rFonts w:ascii="Calibri" w:hAnsi="Calibri" w:eastAsia="Calibri" w:cs="Calibri"/>
                <w:b/>
                <w:b/>
                <w:sz w:val="22"/>
                <w:szCs w:val="22"/>
              </w:rPr>
            </w:pPr>
            <w:r>
              <w:rPr>
                <w:rFonts w:eastAsia="Calibri" w:cs="Calibri"/>
                <w:b/>
                <w:sz w:val="22"/>
                <w:szCs w:val="22"/>
              </w:rPr>
              <w:t>Παρατηρήσεις</w:t>
            </w:r>
          </w:p>
        </w:tc>
      </w:tr>
      <w:tr>
        <w:trPr/>
        <w:tc>
          <w:tcPr>
            <w:tcW w:w="2434" w:type="dxa"/>
            <w:tcBorders>
              <w:top w:val="single" w:sz="4" w:space="0" w:color="000000"/>
              <w:left w:val="single" w:sz="4" w:space="0" w:color="000000"/>
              <w:bottom w:val="single" w:sz="4" w:space="0" w:color="000000"/>
            </w:tcBorders>
          </w:tcPr>
          <w:p>
            <w:pPr>
              <w:pStyle w:val="Normal"/>
              <w:widowControl w:val="false"/>
              <w:snapToGrid w:val="false"/>
              <w:spacing w:before="0" w:after="120"/>
              <w:rPr>
                <w:rFonts w:ascii="Calibri" w:hAnsi="Calibri" w:cs="Calibri"/>
                <w:sz w:val="22"/>
                <w:szCs w:val="22"/>
              </w:rPr>
            </w:pPr>
            <w:r>
              <w:rPr>
                <w:rFonts w:cs="Calibri"/>
                <w:sz w:val="22"/>
                <w:szCs w:val="22"/>
              </w:rPr>
              <w:t>Διαστάσεις</w:t>
            </w:r>
          </w:p>
        </w:tc>
        <w:tc>
          <w:tcPr>
            <w:tcW w:w="4353" w:type="dxa"/>
            <w:tcBorders>
              <w:top w:val="single" w:sz="4" w:space="0" w:color="000000"/>
              <w:left w:val="single" w:sz="4" w:space="0" w:color="000000"/>
              <w:bottom w:val="single" w:sz="4" w:space="0" w:color="000000"/>
            </w:tcBorders>
            <w:vAlign w:val="center"/>
          </w:tcPr>
          <w:p>
            <w:pPr>
              <w:pStyle w:val="Normal"/>
              <w:widowControl w:val="false"/>
              <w:snapToGrid w:val="false"/>
              <w:spacing w:before="0" w:after="120"/>
              <w:rPr/>
            </w:pPr>
            <w:r>
              <w:rPr>
                <w:rFonts w:cs="Calibri"/>
                <w:sz w:val="22"/>
                <w:szCs w:val="22"/>
              </w:rPr>
              <w:t>1.70</w:t>
            </w:r>
            <w:r>
              <w:rPr>
                <w:rFonts w:cs="Calibri"/>
                <w:sz w:val="22"/>
                <w:szCs w:val="22"/>
                <w:lang w:val="en-US"/>
              </w:rPr>
              <w:t>x2.40m</w:t>
            </w:r>
          </w:p>
        </w:tc>
        <w:tc>
          <w:tcPr>
            <w:tcW w:w="2629" w:type="dxa"/>
            <w:tcBorders>
              <w:top w:val="single" w:sz="4" w:space="0" w:color="000000"/>
              <w:left w:val="single" w:sz="4" w:space="0" w:color="000000"/>
              <w:bottom w:val="single" w:sz="4" w:space="0" w:color="000000"/>
              <w:right w:val="single" w:sz="4" w:space="0" w:color="000000"/>
            </w:tcBorders>
          </w:tcPr>
          <w:p>
            <w:pPr>
              <w:pStyle w:val="Style25"/>
              <w:widowControl w:val="false"/>
              <w:tabs>
                <w:tab w:val="clear" w:pos="720"/>
                <w:tab w:val="left" w:pos="-540" w:leader="none"/>
              </w:tabs>
              <w:snapToGrid w:val="false"/>
              <w:spacing w:before="0" w:after="240"/>
              <w:jc w:val="left"/>
              <w:rPr>
                <w:rFonts w:ascii="Calibri" w:hAnsi="Calibri" w:cs="Calibri"/>
                <w:sz w:val="22"/>
                <w:szCs w:val="22"/>
              </w:rPr>
            </w:pPr>
            <w:r>
              <w:rPr>
                <w:rFonts w:cs="Calibri"/>
                <w:sz w:val="22"/>
                <w:szCs w:val="22"/>
              </w:rPr>
            </w:r>
          </w:p>
        </w:tc>
      </w:tr>
      <w:tr>
        <w:trPr/>
        <w:tc>
          <w:tcPr>
            <w:tcW w:w="2434" w:type="dxa"/>
            <w:tcBorders>
              <w:top w:val="single" w:sz="4" w:space="0" w:color="000000"/>
              <w:left w:val="single" w:sz="4" w:space="0" w:color="000000"/>
              <w:bottom w:val="single" w:sz="4" w:space="0" w:color="000000"/>
            </w:tcBorders>
          </w:tcPr>
          <w:p>
            <w:pPr>
              <w:pStyle w:val="Normal"/>
              <w:widowControl w:val="false"/>
              <w:snapToGrid w:val="false"/>
              <w:spacing w:before="0" w:after="120"/>
              <w:rPr>
                <w:rFonts w:ascii="Calibri" w:hAnsi="Calibri" w:cs="Calibri"/>
                <w:sz w:val="22"/>
                <w:szCs w:val="22"/>
              </w:rPr>
            </w:pPr>
            <w:r>
              <w:rPr>
                <w:rFonts w:cs="Calibri"/>
                <w:sz w:val="22"/>
                <w:szCs w:val="22"/>
              </w:rPr>
              <w:t>Ποιότητα</w:t>
            </w:r>
          </w:p>
        </w:tc>
        <w:tc>
          <w:tcPr>
            <w:tcW w:w="4353" w:type="dxa"/>
            <w:tcBorders>
              <w:top w:val="single" w:sz="4" w:space="0" w:color="000000"/>
              <w:left w:val="single" w:sz="4" w:space="0" w:color="000000"/>
              <w:bottom w:val="single" w:sz="4" w:space="0" w:color="000000"/>
            </w:tcBorders>
            <w:vAlign w:val="center"/>
          </w:tcPr>
          <w:p>
            <w:pPr>
              <w:pStyle w:val="Normal"/>
              <w:widowControl w:val="false"/>
              <w:snapToGrid w:val="false"/>
              <w:spacing w:before="0" w:after="120"/>
              <w:rPr/>
            </w:pPr>
            <w:r>
              <w:rPr>
                <w:rFonts w:cs="Calibri"/>
                <w:sz w:val="22"/>
                <w:szCs w:val="22"/>
                <w:lang w:val="en-US"/>
              </w:rPr>
              <w:t xml:space="preserve">100% </w:t>
            </w:r>
            <w:r>
              <w:rPr>
                <w:rFonts w:cs="Calibri"/>
                <w:sz w:val="22"/>
                <w:szCs w:val="22"/>
              </w:rPr>
              <w:t>Βαμβάκι</w:t>
            </w:r>
          </w:p>
        </w:tc>
        <w:tc>
          <w:tcPr>
            <w:tcW w:w="2629" w:type="dxa"/>
            <w:tcBorders>
              <w:top w:val="single" w:sz="4" w:space="0" w:color="000000"/>
              <w:left w:val="single" w:sz="4" w:space="0" w:color="000000"/>
              <w:bottom w:val="single" w:sz="4" w:space="0" w:color="000000"/>
              <w:right w:val="single" w:sz="4" w:space="0" w:color="000000"/>
            </w:tcBorders>
          </w:tcPr>
          <w:p>
            <w:pPr>
              <w:pStyle w:val="Style25"/>
              <w:widowControl w:val="false"/>
              <w:tabs>
                <w:tab w:val="clear" w:pos="720"/>
                <w:tab w:val="left" w:pos="-540" w:leader="none"/>
              </w:tabs>
              <w:snapToGrid w:val="false"/>
              <w:spacing w:before="0" w:after="240"/>
              <w:jc w:val="left"/>
              <w:rPr>
                <w:rFonts w:ascii="Calibri" w:hAnsi="Calibri" w:cs="Calibri"/>
                <w:sz w:val="22"/>
                <w:szCs w:val="22"/>
              </w:rPr>
            </w:pPr>
            <w:r>
              <w:rPr>
                <w:rFonts w:cs="Calibri"/>
                <w:sz w:val="22"/>
                <w:szCs w:val="22"/>
              </w:rPr>
            </w:r>
          </w:p>
        </w:tc>
      </w:tr>
    </w:tbl>
    <w:p>
      <w:pPr>
        <w:pStyle w:val="Normal"/>
        <w:tabs>
          <w:tab w:val="clear" w:pos="720"/>
          <w:tab w:val="left" w:pos="4095" w:leader="none"/>
        </w:tabs>
        <w:rPr>
          <w:rFonts w:ascii="Calibri" w:hAnsi="Calibri" w:cs="Calibri"/>
          <w:b/>
          <w:b/>
        </w:rPr>
      </w:pPr>
      <w:r>
        <w:rPr>
          <w:rFonts w:cs="Calibri"/>
          <w:b/>
        </w:rPr>
      </w:r>
    </w:p>
    <w:p>
      <w:pPr>
        <w:pStyle w:val="Normal"/>
        <w:tabs>
          <w:tab w:val="clear" w:pos="720"/>
          <w:tab w:val="left" w:pos="4800" w:leader="none"/>
        </w:tabs>
        <w:ind w:left="1077" w:hanging="0"/>
        <w:rPr>
          <w:rFonts w:ascii="Calibri" w:hAnsi="Calibri" w:cs="Calibri"/>
          <w:b/>
          <w:b/>
        </w:rPr>
      </w:pPr>
      <w:r>
        <w:rPr>
          <w:rFonts w:cs="Calibri"/>
          <w:b/>
        </w:rPr>
        <w:t>32. Πάπλωμα υπέρδιπλο</w:t>
      </w:r>
    </w:p>
    <w:tbl>
      <w:tblPr>
        <w:tblW w:w="9416" w:type="dxa"/>
        <w:jc w:val="left"/>
        <w:tblInd w:w="-65" w:type="dxa"/>
        <w:tblLayout w:type="fixed"/>
        <w:tblCellMar>
          <w:top w:w="0" w:type="dxa"/>
          <w:left w:w="108" w:type="dxa"/>
          <w:bottom w:w="0" w:type="dxa"/>
          <w:right w:w="108" w:type="dxa"/>
        </w:tblCellMar>
      </w:tblPr>
      <w:tblGrid>
        <w:gridCol w:w="2434"/>
        <w:gridCol w:w="4353"/>
        <w:gridCol w:w="2629"/>
      </w:tblGrid>
      <w:tr>
        <w:trPr/>
        <w:tc>
          <w:tcPr>
            <w:tcW w:w="2434" w:type="dxa"/>
            <w:tcBorders>
              <w:top w:val="single" w:sz="4" w:space="0" w:color="000000"/>
              <w:left w:val="single" w:sz="4" w:space="0" w:color="000000"/>
              <w:bottom w:val="single" w:sz="4" w:space="0" w:color="000000"/>
            </w:tcBorders>
            <w:shd w:fill="F2F2F2" w:val="clear"/>
          </w:tcPr>
          <w:p>
            <w:pPr>
              <w:pStyle w:val="Style25"/>
              <w:widowControl w:val="false"/>
              <w:tabs>
                <w:tab w:val="clear" w:pos="720"/>
                <w:tab w:val="left" w:pos="-540" w:leader="none"/>
              </w:tabs>
              <w:spacing w:before="0" w:after="240"/>
              <w:jc w:val="left"/>
              <w:rPr>
                <w:rFonts w:ascii="Calibri" w:hAnsi="Calibri" w:eastAsia="Calibri" w:cs="Calibri"/>
                <w:b/>
                <w:b/>
                <w:sz w:val="22"/>
                <w:szCs w:val="22"/>
              </w:rPr>
            </w:pPr>
            <w:r>
              <w:rPr>
                <w:rFonts w:eastAsia="Calibri" w:cs="Calibri"/>
                <w:b/>
                <w:sz w:val="22"/>
                <w:szCs w:val="22"/>
              </w:rPr>
              <w:t>Χαρακτηριστικό</w:t>
            </w:r>
          </w:p>
        </w:tc>
        <w:tc>
          <w:tcPr>
            <w:tcW w:w="4353" w:type="dxa"/>
            <w:tcBorders>
              <w:top w:val="single" w:sz="4" w:space="0" w:color="000000"/>
              <w:left w:val="single" w:sz="4" w:space="0" w:color="000000"/>
              <w:bottom w:val="single" w:sz="4" w:space="0" w:color="000000"/>
            </w:tcBorders>
            <w:shd w:fill="F2F2F2" w:val="clear"/>
          </w:tcPr>
          <w:p>
            <w:pPr>
              <w:pStyle w:val="Style25"/>
              <w:widowControl w:val="false"/>
              <w:tabs>
                <w:tab w:val="clear" w:pos="720"/>
                <w:tab w:val="left" w:pos="-540" w:leader="none"/>
              </w:tabs>
              <w:spacing w:before="0" w:after="240"/>
              <w:jc w:val="left"/>
              <w:rPr>
                <w:rFonts w:ascii="Calibri" w:hAnsi="Calibri" w:eastAsia="Calibri" w:cs="Calibri"/>
                <w:b/>
                <w:b/>
                <w:sz w:val="22"/>
                <w:szCs w:val="22"/>
              </w:rPr>
            </w:pPr>
            <w:r>
              <w:rPr>
                <w:rFonts w:eastAsia="Calibri" w:cs="Calibri"/>
                <w:b/>
                <w:sz w:val="22"/>
                <w:szCs w:val="22"/>
              </w:rPr>
              <w:t>Απαίτηση</w:t>
            </w:r>
          </w:p>
        </w:tc>
        <w:tc>
          <w:tcPr>
            <w:tcW w:w="2629" w:type="dxa"/>
            <w:tcBorders>
              <w:top w:val="single" w:sz="4" w:space="0" w:color="000000"/>
              <w:left w:val="single" w:sz="4" w:space="0" w:color="000000"/>
              <w:bottom w:val="single" w:sz="4" w:space="0" w:color="000000"/>
              <w:right w:val="single" w:sz="4" w:space="0" w:color="000000"/>
            </w:tcBorders>
            <w:shd w:fill="F2F2F2" w:val="clear"/>
          </w:tcPr>
          <w:p>
            <w:pPr>
              <w:pStyle w:val="Style25"/>
              <w:widowControl w:val="false"/>
              <w:tabs>
                <w:tab w:val="clear" w:pos="720"/>
                <w:tab w:val="left" w:pos="-540" w:leader="none"/>
              </w:tabs>
              <w:spacing w:before="0" w:after="240"/>
              <w:jc w:val="left"/>
              <w:rPr>
                <w:rFonts w:ascii="Calibri" w:hAnsi="Calibri" w:eastAsia="Calibri" w:cs="Calibri"/>
                <w:b/>
                <w:b/>
                <w:sz w:val="22"/>
                <w:szCs w:val="22"/>
              </w:rPr>
            </w:pPr>
            <w:r>
              <w:rPr>
                <w:rFonts w:eastAsia="Calibri" w:cs="Calibri"/>
                <w:b/>
                <w:sz w:val="22"/>
                <w:szCs w:val="22"/>
              </w:rPr>
              <w:t>Παρατηρήσεις</w:t>
            </w:r>
          </w:p>
        </w:tc>
      </w:tr>
      <w:tr>
        <w:trPr/>
        <w:tc>
          <w:tcPr>
            <w:tcW w:w="2434" w:type="dxa"/>
            <w:tcBorders>
              <w:top w:val="single" w:sz="4" w:space="0" w:color="000000"/>
              <w:left w:val="single" w:sz="4" w:space="0" w:color="000000"/>
              <w:bottom w:val="single" w:sz="4" w:space="0" w:color="000000"/>
            </w:tcBorders>
          </w:tcPr>
          <w:p>
            <w:pPr>
              <w:pStyle w:val="Normal"/>
              <w:widowControl w:val="false"/>
              <w:snapToGrid w:val="false"/>
              <w:spacing w:before="0" w:after="120"/>
              <w:rPr>
                <w:rFonts w:ascii="Calibri" w:hAnsi="Calibri" w:cs="Calibri"/>
                <w:sz w:val="22"/>
                <w:szCs w:val="22"/>
              </w:rPr>
            </w:pPr>
            <w:r>
              <w:rPr>
                <w:rFonts w:cs="Calibri"/>
                <w:sz w:val="22"/>
                <w:szCs w:val="22"/>
              </w:rPr>
              <w:t>Διαστάσεις</w:t>
            </w:r>
          </w:p>
        </w:tc>
        <w:tc>
          <w:tcPr>
            <w:tcW w:w="4353" w:type="dxa"/>
            <w:tcBorders>
              <w:top w:val="single" w:sz="4" w:space="0" w:color="000000"/>
              <w:left w:val="single" w:sz="4" w:space="0" w:color="000000"/>
              <w:bottom w:val="single" w:sz="4" w:space="0" w:color="000000"/>
            </w:tcBorders>
            <w:vAlign w:val="center"/>
          </w:tcPr>
          <w:p>
            <w:pPr>
              <w:pStyle w:val="Normal"/>
              <w:widowControl w:val="false"/>
              <w:snapToGrid w:val="false"/>
              <w:spacing w:before="0" w:after="120"/>
              <w:rPr/>
            </w:pPr>
            <w:r>
              <w:rPr>
                <w:rFonts w:cs="Calibri"/>
                <w:sz w:val="22"/>
                <w:szCs w:val="22"/>
              </w:rPr>
              <w:t>Τουλάχιστον 2.20</w:t>
            </w:r>
            <w:r>
              <w:rPr>
                <w:rFonts w:cs="Calibri"/>
                <w:sz w:val="22"/>
                <w:szCs w:val="22"/>
                <w:lang w:val="en-US"/>
              </w:rPr>
              <w:t>x2.40m</w:t>
            </w:r>
          </w:p>
        </w:tc>
        <w:tc>
          <w:tcPr>
            <w:tcW w:w="2629" w:type="dxa"/>
            <w:tcBorders>
              <w:top w:val="single" w:sz="4" w:space="0" w:color="000000"/>
              <w:left w:val="single" w:sz="4" w:space="0" w:color="000000"/>
              <w:bottom w:val="single" w:sz="4" w:space="0" w:color="000000"/>
              <w:right w:val="single" w:sz="4" w:space="0" w:color="000000"/>
            </w:tcBorders>
          </w:tcPr>
          <w:p>
            <w:pPr>
              <w:pStyle w:val="Style25"/>
              <w:widowControl w:val="false"/>
              <w:tabs>
                <w:tab w:val="clear" w:pos="720"/>
                <w:tab w:val="left" w:pos="-540" w:leader="none"/>
              </w:tabs>
              <w:snapToGrid w:val="false"/>
              <w:spacing w:before="0" w:after="240"/>
              <w:jc w:val="left"/>
              <w:rPr>
                <w:rFonts w:ascii="Calibri" w:hAnsi="Calibri" w:cs="Calibri"/>
                <w:sz w:val="22"/>
                <w:szCs w:val="22"/>
              </w:rPr>
            </w:pPr>
            <w:r>
              <w:rPr>
                <w:rFonts w:cs="Calibri"/>
                <w:sz w:val="22"/>
                <w:szCs w:val="22"/>
              </w:rPr>
            </w:r>
          </w:p>
        </w:tc>
      </w:tr>
      <w:tr>
        <w:trPr/>
        <w:tc>
          <w:tcPr>
            <w:tcW w:w="2434" w:type="dxa"/>
            <w:tcBorders>
              <w:top w:val="single" w:sz="4" w:space="0" w:color="000000"/>
              <w:left w:val="single" w:sz="4" w:space="0" w:color="000000"/>
              <w:bottom w:val="single" w:sz="4" w:space="0" w:color="000000"/>
            </w:tcBorders>
          </w:tcPr>
          <w:p>
            <w:pPr>
              <w:pStyle w:val="Normal"/>
              <w:widowControl w:val="false"/>
              <w:snapToGrid w:val="false"/>
              <w:spacing w:before="0" w:after="120"/>
              <w:rPr>
                <w:rFonts w:ascii="Calibri" w:hAnsi="Calibri" w:cs="Calibri"/>
                <w:sz w:val="22"/>
                <w:szCs w:val="22"/>
              </w:rPr>
            </w:pPr>
            <w:r>
              <w:rPr>
                <w:rFonts w:cs="Calibri"/>
                <w:sz w:val="22"/>
                <w:szCs w:val="22"/>
              </w:rPr>
              <w:t>Ποιότητα</w:t>
            </w:r>
          </w:p>
        </w:tc>
        <w:tc>
          <w:tcPr>
            <w:tcW w:w="4353" w:type="dxa"/>
            <w:tcBorders>
              <w:top w:val="single" w:sz="4" w:space="0" w:color="000000"/>
              <w:left w:val="single" w:sz="4" w:space="0" w:color="000000"/>
              <w:bottom w:val="single" w:sz="4" w:space="0" w:color="000000"/>
            </w:tcBorders>
            <w:vAlign w:val="center"/>
          </w:tcPr>
          <w:p>
            <w:pPr>
              <w:pStyle w:val="Normal"/>
              <w:widowControl w:val="false"/>
              <w:snapToGrid w:val="false"/>
              <w:spacing w:before="0" w:after="120"/>
              <w:rPr>
                <w:rFonts w:ascii="Calibri" w:hAnsi="Calibri" w:cs="Calibri"/>
                <w:sz w:val="22"/>
                <w:szCs w:val="22"/>
              </w:rPr>
            </w:pPr>
            <w:r>
              <w:rPr>
                <w:rFonts w:cs="Calibri"/>
                <w:sz w:val="22"/>
                <w:szCs w:val="22"/>
              </w:rPr>
              <w:t>Βαμβάκι-πολυεστέρας</w:t>
            </w:r>
          </w:p>
        </w:tc>
        <w:tc>
          <w:tcPr>
            <w:tcW w:w="2629" w:type="dxa"/>
            <w:tcBorders>
              <w:top w:val="single" w:sz="4" w:space="0" w:color="000000"/>
              <w:left w:val="single" w:sz="4" w:space="0" w:color="000000"/>
              <w:bottom w:val="single" w:sz="4" w:space="0" w:color="000000"/>
              <w:right w:val="single" w:sz="4" w:space="0" w:color="000000"/>
            </w:tcBorders>
          </w:tcPr>
          <w:p>
            <w:pPr>
              <w:pStyle w:val="Style25"/>
              <w:widowControl w:val="false"/>
              <w:tabs>
                <w:tab w:val="clear" w:pos="720"/>
                <w:tab w:val="left" w:pos="-540" w:leader="none"/>
              </w:tabs>
              <w:snapToGrid w:val="false"/>
              <w:spacing w:before="0" w:after="240"/>
              <w:jc w:val="left"/>
              <w:rPr>
                <w:rFonts w:ascii="Calibri" w:hAnsi="Calibri" w:cs="Calibri"/>
                <w:sz w:val="22"/>
                <w:szCs w:val="22"/>
              </w:rPr>
            </w:pPr>
            <w:r>
              <w:rPr>
                <w:rFonts w:cs="Calibri"/>
                <w:sz w:val="22"/>
                <w:szCs w:val="22"/>
              </w:rPr>
            </w:r>
          </w:p>
        </w:tc>
      </w:tr>
    </w:tbl>
    <w:p>
      <w:pPr>
        <w:pStyle w:val="Normal"/>
        <w:tabs>
          <w:tab w:val="clear" w:pos="720"/>
          <w:tab w:val="left" w:pos="4095" w:leader="none"/>
        </w:tabs>
        <w:rPr>
          <w:rFonts w:ascii="Calibri" w:hAnsi="Calibri" w:cs="Calibri"/>
          <w:b/>
          <w:b/>
        </w:rPr>
      </w:pPr>
      <w:r>
        <w:rPr>
          <w:rFonts w:cs="Calibri"/>
          <w:b/>
        </w:rPr>
      </w:r>
    </w:p>
    <w:p>
      <w:pPr>
        <w:pStyle w:val="Normal"/>
        <w:tabs>
          <w:tab w:val="clear" w:pos="720"/>
          <w:tab w:val="left" w:pos="4800" w:leader="none"/>
        </w:tabs>
        <w:ind w:left="1077" w:hanging="0"/>
        <w:rPr>
          <w:rFonts w:ascii="Calibri" w:hAnsi="Calibri" w:cs="Calibri"/>
          <w:b/>
          <w:b/>
        </w:rPr>
      </w:pPr>
      <w:r>
        <w:rPr>
          <w:rFonts w:cs="Calibri"/>
          <w:b/>
        </w:rPr>
        <w:t>33. Πάπλωμα διπλό</w:t>
      </w:r>
    </w:p>
    <w:tbl>
      <w:tblPr>
        <w:tblW w:w="9416" w:type="dxa"/>
        <w:jc w:val="left"/>
        <w:tblInd w:w="-65" w:type="dxa"/>
        <w:tblLayout w:type="fixed"/>
        <w:tblCellMar>
          <w:top w:w="0" w:type="dxa"/>
          <w:left w:w="108" w:type="dxa"/>
          <w:bottom w:w="0" w:type="dxa"/>
          <w:right w:w="108" w:type="dxa"/>
        </w:tblCellMar>
      </w:tblPr>
      <w:tblGrid>
        <w:gridCol w:w="2434"/>
        <w:gridCol w:w="4353"/>
        <w:gridCol w:w="2629"/>
      </w:tblGrid>
      <w:tr>
        <w:trPr/>
        <w:tc>
          <w:tcPr>
            <w:tcW w:w="2434" w:type="dxa"/>
            <w:tcBorders>
              <w:top w:val="single" w:sz="4" w:space="0" w:color="000000"/>
              <w:left w:val="single" w:sz="4" w:space="0" w:color="000000"/>
              <w:bottom w:val="single" w:sz="4" w:space="0" w:color="000000"/>
            </w:tcBorders>
            <w:shd w:fill="F2F2F2" w:val="clear"/>
          </w:tcPr>
          <w:p>
            <w:pPr>
              <w:pStyle w:val="Style25"/>
              <w:widowControl w:val="false"/>
              <w:tabs>
                <w:tab w:val="clear" w:pos="720"/>
                <w:tab w:val="left" w:pos="-540" w:leader="none"/>
              </w:tabs>
              <w:spacing w:before="0" w:after="240"/>
              <w:jc w:val="left"/>
              <w:rPr>
                <w:rFonts w:ascii="Calibri" w:hAnsi="Calibri" w:eastAsia="Calibri" w:cs="Calibri"/>
                <w:b/>
                <w:b/>
                <w:sz w:val="22"/>
                <w:szCs w:val="22"/>
              </w:rPr>
            </w:pPr>
            <w:r>
              <w:rPr>
                <w:rFonts w:eastAsia="Calibri" w:cs="Calibri"/>
                <w:b/>
                <w:sz w:val="22"/>
                <w:szCs w:val="22"/>
              </w:rPr>
              <w:t>Χαρακτηριστικό</w:t>
            </w:r>
          </w:p>
        </w:tc>
        <w:tc>
          <w:tcPr>
            <w:tcW w:w="4353" w:type="dxa"/>
            <w:tcBorders>
              <w:top w:val="single" w:sz="4" w:space="0" w:color="000000"/>
              <w:left w:val="single" w:sz="4" w:space="0" w:color="000000"/>
              <w:bottom w:val="single" w:sz="4" w:space="0" w:color="000000"/>
            </w:tcBorders>
            <w:shd w:fill="F2F2F2" w:val="clear"/>
          </w:tcPr>
          <w:p>
            <w:pPr>
              <w:pStyle w:val="Style25"/>
              <w:widowControl w:val="false"/>
              <w:tabs>
                <w:tab w:val="clear" w:pos="720"/>
                <w:tab w:val="left" w:pos="-540" w:leader="none"/>
              </w:tabs>
              <w:spacing w:before="0" w:after="240"/>
              <w:jc w:val="left"/>
              <w:rPr>
                <w:rFonts w:ascii="Calibri" w:hAnsi="Calibri" w:eastAsia="Calibri" w:cs="Calibri"/>
                <w:b/>
                <w:b/>
                <w:sz w:val="22"/>
                <w:szCs w:val="22"/>
              </w:rPr>
            </w:pPr>
            <w:r>
              <w:rPr>
                <w:rFonts w:eastAsia="Calibri" w:cs="Calibri"/>
                <w:b/>
                <w:sz w:val="22"/>
                <w:szCs w:val="22"/>
              </w:rPr>
              <w:t>Απαίτηση</w:t>
            </w:r>
          </w:p>
        </w:tc>
        <w:tc>
          <w:tcPr>
            <w:tcW w:w="2629" w:type="dxa"/>
            <w:tcBorders>
              <w:top w:val="single" w:sz="4" w:space="0" w:color="000000"/>
              <w:left w:val="single" w:sz="4" w:space="0" w:color="000000"/>
              <w:bottom w:val="single" w:sz="4" w:space="0" w:color="000000"/>
              <w:right w:val="single" w:sz="4" w:space="0" w:color="000000"/>
            </w:tcBorders>
            <w:shd w:fill="F2F2F2" w:val="clear"/>
          </w:tcPr>
          <w:p>
            <w:pPr>
              <w:pStyle w:val="Style25"/>
              <w:widowControl w:val="false"/>
              <w:tabs>
                <w:tab w:val="clear" w:pos="720"/>
                <w:tab w:val="left" w:pos="-540" w:leader="none"/>
              </w:tabs>
              <w:spacing w:before="0" w:after="240"/>
              <w:jc w:val="left"/>
              <w:rPr>
                <w:rFonts w:ascii="Calibri" w:hAnsi="Calibri" w:eastAsia="Calibri" w:cs="Calibri"/>
                <w:b/>
                <w:b/>
                <w:sz w:val="22"/>
                <w:szCs w:val="22"/>
              </w:rPr>
            </w:pPr>
            <w:r>
              <w:rPr>
                <w:rFonts w:eastAsia="Calibri" w:cs="Calibri"/>
                <w:b/>
                <w:sz w:val="22"/>
                <w:szCs w:val="22"/>
              </w:rPr>
              <w:t>Παρατηρήσεις</w:t>
            </w:r>
          </w:p>
        </w:tc>
      </w:tr>
      <w:tr>
        <w:trPr/>
        <w:tc>
          <w:tcPr>
            <w:tcW w:w="2434" w:type="dxa"/>
            <w:tcBorders>
              <w:top w:val="single" w:sz="4" w:space="0" w:color="000000"/>
              <w:left w:val="single" w:sz="4" w:space="0" w:color="000000"/>
              <w:bottom w:val="single" w:sz="4" w:space="0" w:color="000000"/>
            </w:tcBorders>
          </w:tcPr>
          <w:p>
            <w:pPr>
              <w:pStyle w:val="Normal"/>
              <w:widowControl w:val="false"/>
              <w:snapToGrid w:val="false"/>
              <w:spacing w:before="0" w:after="120"/>
              <w:rPr>
                <w:rFonts w:ascii="Calibri" w:hAnsi="Calibri" w:cs="Calibri"/>
                <w:sz w:val="22"/>
                <w:szCs w:val="22"/>
              </w:rPr>
            </w:pPr>
            <w:r>
              <w:rPr>
                <w:rFonts w:cs="Calibri"/>
                <w:sz w:val="22"/>
                <w:szCs w:val="22"/>
              </w:rPr>
              <w:t>Διαστάσεις</w:t>
            </w:r>
          </w:p>
        </w:tc>
        <w:tc>
          <w:tcPr>
            <w:tcW w:w="4353" w:type="dxa"/>
            <w:tcBorders>
              <w:top w:val="single" w:sz="4" w:space="0" w:color="000000"/>
              <w:left w:val="single" w:sz="4" w:space="0" w:color="000000"/>
              <w:bottom w:val="single" w:sz="4" w:space="0" w:color="000000"/>
            </w:tcBorders>
            <w:vAlign w:val="center"/>
          </w:tcPr>
          <w:p>
            <w:pPr>
              <w:pStyle w:val="Normal"/>
              <w:widowControl w:val="false"/>
              <w:snapToGrid w:val="false"/>
              <w:spacing w:before="0" w:after="120"/>
              <w:rPr/>
            </w:pPr>
            <w:r>
              <w:rPr>
                <w:rFonts w:cs="Calibri"/>
                <w:sz w:val="22"/>
                <w:szCs w:val="22"/>
              </w:rPr>
              <w:t>2.00</w:t>
            </w:r>
            <w:r>
              <w:rPr>
                <w:rFonts w:cs="Calibri"/>
                <w:sz w:val="22"/>
                <w:szCs w:val="22"/>
                <w:lang w:val="en-US"/>
              </w:rPr>
              <w:t>x2.40m</w:t>
            </w:r>
          </w:p>
        </w:tc>
        <w:tc>
          <w:tcPr>
            <w:tcW w:w="2629" w:type="dxa"/>
            <w:tcBorders>
              <w:top w:val="single" w:sz="4" w:space="0" w:color="000000"/>
              <w:left w:val="single" w:sz="4" w:space="0" w:color="000000"/>
              <w:bottom w:val="single" w:sz="4" w:space="0" w:color="000000"/>
              <w:right w:val="single" w:sz="4" w:space="0" w:color="000000"/>
            </w:tcBorders>
          </w:tcPr>
          <w:p>
            <w:pPr>
              <w:pStyle w:val="Style25"/>
              <w:widowControl w:val="false"/>
              <w:tabs>
                <w:tab w:val="clear" w:pos="720"/>
                <w:tab w:val="left" w:pos="-540" w:leader="none"/>
              </w:tabs>
              <w:snapToGrid w:val="false"/>
              <w:spacing w:before="0" w:after="240"/>
              <w:jc w:val="left"/>
              <w:rPr>
                <w:rFonts w:ascii="Calibri" w:hAnsi="Calibri" w:cs="Calibri"/>
                <w:sz w:val="22"/>
                <w:szCs w:val="22"/>
              </w:rPr>
            </w:pPr>
            <w:r>
              <w:rPr>
                <w:rFonts w:cs="Calibri"/>
                <w:sz w:val="22"/>
                <w:szCs w:val="22"/>
              </w:rPr>
            </w:r>
          </w:p>
        </w:tc>
      </w:tr>
      <w:tr>
        <w:trPr/>
        <w:tc>
          <w:tcPr>
            <w:tcW w:w="2434" w:type="dxa"/>
            <w:tcBorders>
              <w:top w:val="single" w:sz="4" w:space="0" w:color="000000"/>
              <w:left w:val="single" w:sz="4" w:space="0" w:color="000000"/>
              <w:bottom w:val="single" w:sz="4" w:space="0" w:color="000000"/>
            </w:tcBorders>
          </w:tcPr>
          <w:p>
            <w:pPr>
              <w:pStyle w:val="Normal"/>
              <w:widowControl w:val="false"/>
              <w:snapToGrid w:val="false"/>
              <w:spacing w:before="0" w:after="120"/>
              <w:rPr>
                <w:rFonts w:ascii="Calibri" w:hAnsi="Calibri" w:cs="Calibri"/>
                <w:sz w:val="22"/>
                <w:szCs w:val="22"/>
              </w:rPr>
            </w:pPr>
            <w:r>
              <w:rPr>
                <w:rFonts w:cs="Calibri"/>
                <w:sz w:val="22"/>
                <w:szCs w:val="22"/>
              </w:rPr>
              <w:t>Ποιότητα</w:t>
            </w:r>
          </w:p>
        </w:tc>
        <w:tc>
          <w:tcPr>
            <w:tcW w:w="4353" w:type="dxa"/>
            <w:tcBorders>
              <w:top w:val="single" w:sz="4" w:space="0" w:color="000000"/>
              <w:left w:val="single" w:sz="4" w:space="0" w:color="000000"/>
              <w:bottom w:val="single" w:sz="4" w:space="0" w:color="000000"/>
            </w:tcBorders>
            <w:vAlign w:val="center"/>
          </w:tcPr>
          <w:p>
            <w:pPr>
              <w:pStyle w:val="Normal"/>
              <w:widowControl w:val="false"/>
              <w:snapToGrid w:val="false"/>
              <w:spacing w:before="0" w:after="120"/>
              <w:rPr>
                <w:rFonts w:ascii="Calibri" w:hAnsi="Calibri" w:cs="Calibri"/>
                <w:sz w:val="22"/>
                <w:szCs w:val="22"/>
              </w:rPr>
            </w:pPr>
            <w:r>
              <w:rPr>
                <w:rFonts w:cs="Calibri"/>
                <w:sz w:val="22"/>
                <w:szCs w:val="22"/>
              </w:rPr>
              <w:t>Βαμβάκι-πολυεστέρας</w:t>
            </w:r>
          </w:p>
        </w:tc>
        <w:tc>
          <w:tcPr>
            <w:tcW w:w="2629" w:type="dxa"/>
            <w:tcBorders>
              <w:top w:val="single" w:sz="4" w:space="0" w:color="000000"/>
              <w:left w:val="single" w:sz="4" w:space="0" w:color="000000"/>
              <w:bottom w:val="single" w:sz="4" w:space="0" w:color="000000"/>
              <w:right w:val="single" w:sz="4" w:space="0" w:color="000000"/>
            </w:tcBorders>
          </w:tcPr>
          <w:p>
            <w:pPr>
              <w:pStyle w:val="Style25"/>
              <w:widowControl w:val="false"/>
              <w:tabs>
                <w:tab w:val="clear" w:pos="720"/>
                <w:tab w:val="left" w:pos="-540" w:leader="none"/>
              </w:tabs>
              <w:snapToGrid w:val="false"/>
              <w:spacing w:before="0" w:after="240"/>
              <w:jc w:val="left"/>
              <w:rPr>
                <w:rFonts w:ascii="Calibri" w:hAnsi="Calibri" w:cs="Calibri"/>
                <w:sz w:val="22"/>
                <w:szCs w:val="22"/>
              </w:rPr>
            </w:pPr>
            <w:r>
              <w:rPr>
                <w:rFonts w:cs="Calibri"/>
                <w:sz w:val="22"/>
                <w:szCs w:val="22"/>
              </w:rPr>
            </w:r>
          </w:p>
        </w:tc>
      </w:tr>
    </w:tbl>
    <w:p>
      <w:pPr>
        <w:pStyle w:val="Normal"/>
        <w:tabs>
          <w:tab w:val="clear" w:pos="720"/>
          <w:tab w:val="left" w:pos="4095" w:leader="none"/>
        </w:tabs>
        <w:rPr>
          <w:rFonts w:ascii="Calibri" w:hAnsi="Calibri" w:cs="Calibri"/>
          <w:b/>
          <w:b/>
        </w:rPr>
      </w:pPr>
      <w:r>
        <w:rPr>
          <w:rFonts w:cs="Calibri"/>
          <w:b/>
        </w:rPr>
      </w:r>
    </w:p>
    <w:p>
      <w:pPr>
        <w:pStyle w:val="Normal"/>
        <w:tabs>
          <w:tab w:val="clear" w:pos="720"/>
          <w:tab w:val="left" w:pos="4800" w:leader="none"/>
        </w:tabs>
        <w:ind w:left="1077" w:hanging="0"/>
        <w:rPr>
          <w:rFonts w:ascii="Calibri" w:hAnsi="Calibri" w:cs="Calibri"/>
          <w:b/>
          <w:b/>
        </w:rPr>
      </w:pPr>
      <w:r>
        <w:rPr>
          <w:rFonts w:cs="Calibri"/>
          <w:b/>
        </w:rPr>
        <w:t>34. Πάπλωμα μονό</w:t>
      </w:r>
    </w:p>
    <w:tbl>
      <w:tblPr>
        <w:tblW w:w="9416" w:type="dxa"/>
        <w:jc w:val="left"/>
        <w:tblInd w:w="-65" w:type="dxa"/>
        <w:tblLayout w:type="fixed"/>
        <w:tblCellMar>
          <w:top w:w="0" w:type="dxa"/>
          <w:left w:w="108" w:type="dxa"/>
          <w:bottom w:w="0" w:type="dxa"/>
          <w:right w:w="108" w:type="dxa"/>
        </w:tblCellMar>
      </w:tblPr>
      <w:tblGrid>
        <w:gridCol w:w="2434"/>
        <w:gridCol w:w="4353"/>
        <w:gridCol w:w="2629"/>
      </w:tblGrid>
      <w:tr>
        <w:trPr/>
        <w:tc>
          <w:tcPr>
            <w:tcW w:w="2434" w:type="dxa"/>
            <w:tcBorders>
              <w:top w:val="single" w:sz="4" w:space="0" w:color="000000"/>
              <w:left w:val="single" w:sz="4" w:space="0" w:color="000000"/>
              <w:bottom w:val="single" w:sz="4" w:space="0" w:color="000000"/>
            </w:tcBorders>
            <w:shd w:fill="F2F2F2" w:val="clear"/>
          </w:tcPr>
          <w:p>
            <w:pPr>
              <w:pStyle w:val="Style25"/>
              <w:widowControl w:val="false"/>
              <w:tabs>
                <w:tab w:val="clear" w:pos="720"/>
                <w:tab w:val="left" w:pos="-540" w:leader="none"/>
              </w:tabs>
              <w:spacing w:before="0" w:after="240"/>
              <w:jc w:val="left"/>
              <w:rPr>
                <w:rFonts w:ascii="Calibri" w:hAnsi="Calibri" w:eastAsia="Calibri" w:cs="Calibri"/>
                <w:b/>
                <w:b/>
                <w:sz w:val="22"/>
                <w:szCs w:val="22"/>
              </w:rPr>
            </w:pPr>
            <w:r>
              <w:rPr>
                <w:rFonts w:eastAsia="Calibri" w:cs="Calibri"/>
                <w:b/>
                <w:sz w:val="22"/>
                <w:szCs w:val="22"/>
              </w:rPr>
              <w:t>Χαρακτηριστικό</w:t>
            </w:r>
          </w:p>
        </w:tc>
        <w:tc>
          <w:tcPr>
            <w:tcW w:w="4353" w:type="dxa"/>
            <w:tcBorders>
              <w:top w:val="single" w:sz="4" w:space="0" w:color="000000"/>
              <w:left w:val="single" w:sz="4" w:space="0" w:color="000000"/>
              <w:bottom w:val="single" w:sz="4" w:space="0" w:color="000000"/>
            </w:tcBorders>
            <w:shd w:fill="F2F2F2" w:val="clear"/>
          </w:tcPr>
          <w:p>
            <w:pPr>
              <w:pStyle w:val="Style25"/>
              <w:widowControl w:val="false"/>
              <w:tabs>
                <w:tab w:val="clear" w:pos="720"/>
                <w:tab w:val="left" w:pos="-540" w:leader="none"/>
              </w:tabs>
              <w:spacing w:before="0" w:after="240"/>
              <w:jc w:val="left"/>
              <w:rPr>
                <w:rFonts w:ascii="Calibri" w:hAnsi="Calibri" w:eastAsia="Calibri" w:cs="Calibri"/>
                <w:b/>
                <w:b/>
                <w:sz w:val="22"/>
                <w:szCs w:val="22"/>
              </w:rPr>
            </w:pPr>
            <w:r>
              <w:rPr>
                <w:rFonts w:eastAsia="Calibri" w:cs="Calibri"/>
                <w:b/>
                <w:sz w:val="22"/>
                <w:szCs w:val="22"/>
              </w:rPr>
              <w:t>Απαίτηση</w:t>
            </w:r>
          </w:p>
        </w:tc>
        <w:tc>
          <w:tcPr>
            <w:tcW w:w="2629" w:type="dxa"/>
            <w:tcBorders>
              <w:top w:val="single" w:sz="4" w:space="0" w:color="000000"/>
              <w:left w:val="single" w:sz="4" w:space="0" w:color="000000"/>
              <w:bottom w:val="single" w:sz="4" w:space="0" w:color="000000"/>
              <w:right w:val="single" w:sz="4" w:space="0" w:color="000000"/>
            </w:tcBorders>
            <w:shd w:fill="F2F2F2" w:val="clear"/>
          </w:tcPr>
          <w:p>
            <w:pPr>
              <w:pStyle w:val="Style25"/>
              <w:widowControl w:val="false"/>
              <w:tabs>
                <w:tab w:val="clear" w:pos="720"/>
                <w:tab w:val="left" w:pos="-540" w:leader="none"/>
              </w:tabs>
              <w:spacing w:before="0" w:after="240"/>
              <w:jc w:val="left"/>
              <w:rPr>
                <w:rFonts w:ascii="Calibri" w:hAnsi="Calibri" w:eastAsia="Calibri" w:cs="Calibri"/>
                <w:b/>
                <w:b/>
                <w:sz w:val="22"/>
                <w:szCs w:val="22"/>
              </w:rPr>
            </w:pPr>
            <w:r>
              <w:rPr>
                <w:rFonts w:eastAsia="Calibri" w:cs="Calibri"/>
                <w:b/>
                <w:sz w:val="22"/>
                <w:szCs w:val="22"/>
              </w:rPr>
              <w:t>Παρατηρήσεις</w:t>
            </w:r>
          </w:p>
        </w:tc>
      </w:tr>
      <w:tr>
        <w:trPr/>
        <w:tc>
          <w:tcPr>
            <w:tcW w:w="2434" w:type="dxa"/>
            <w:tcBorders>
              <w:top w:val="single" w:sz="4" w:space="0" w:color="000000"/>
              <w:left w:val="single" w:sz="4" w:space="0" w:color="000000"/>
              <w:bottom w:val="single" w:sz="4" w:space="0" w:color="000000"/>
            </w:tcBorders>
          </w:tcPr>
          <w:p>
            <w:pPr>
              <w:pStyle w:val="Normal"/>
              <w:widowControl w:val="false"/>
              <w:snapToGrid w:val="false"/>
              <w:spacing w:before="0" w:after="120"/>
              <w:rPr>
                <w:rFonts w:ascii="Calibri" w:hAnsi="Calibri" w:cs="Calibri"/>
                <w:sz w:val="22"/>
                <w:szCs w:val="22"/>
              </w:rPr>
            </w:pPr>
            <w:r>
              <w:rPr>
                <w:rFonts w:cs="Calibri"/>
                <w:sz w:val="22"/>
                <w:szCs w:val="22"/>
              </w:rPr>
              <w:t>Διαστάσεις</w:t>
            </w:r>
          </w:p>
        </w:tc>
        <w:tc>
          <w:tcPr>
            <w:tcW w:w="4353" w:type="dxa"/>
            <w:tcBorders>
              <w:top w:val="single" w:sz="4" w:space="0" w:color="000000"/>
              <w:left w:val="single" w:sz="4" w:space="0" w:color="000000"/>
              <w:bottom w:val="single" w:sz="4" w:space="0" w:color="000000"/>
            </w:tcBorders>
            <w:vAlign w:val="center"/>
          </w:tcPr>
          <w:p>
            <w:pPr>
              <w:pStyle w:val="Normal"/>
              <w:widowControl w:val="false"/>
              <w:snapToGrid w:val="false"/>
              <w:spacing w:before="0" w:after="120"/>
              <w:rPr/>
            </w:pPr>
            <w:r>
              <w:rPr>
                <w:rFonts w:cs="Calibri"/>
                <w:sz w:val="22"/>
                <w:szCs w:val="22"/>
              </w:rPr>
              <w:t>1.60</w:t>
            </w:r>
            <w:r>
              <w:rPr>
                <w:rFonts w:cs="Calibri"/>
                <w:sz w:val="22"/>
                <w:szCs w:val="22"/>
                <w:lang w:val="en-US"/>
              </w:rPr>
              <w:t>x2.40m</w:t>
            </w:r>
          </w:p>
        </w:tc>
        <w:tc>
          <w:tcPr>
            <w:tcW w:w="2629" w:type="dxa"/>
            <w:tcBorders>
              <w:top w:val="single" w:sz="4" w:space="0" w:color="000000"/>
              <w:left w:val="single" w:sz="4" w:space="0" w:color="000000"/>
              <w:bottom w:val="single" w:sz="4" w:space="0" w:color="000000"/>
              <w:right w:val="single" w:sz="4" w:space="0" w:color="000000"/>
            </w:tcBorders>
          </w:tcPr>
          <w:p>
            <w:pPr>
              <w:pStyle w:val="Style25"/>
              <w:widowControl w:val="false"/>
              <w:tabs>
                <w:tab w:val="clear" w:pos="720"/>
                <w:tab w:val="left" w:pos="-540" w:leader="none"/>
              </w:tabs>
              <w:snapToGrid w:val="false"/>
              <w:spacing w:before="0" w:after="240"/>
              <w:jc w:val="left"/>
              <w:rPr>
                <w:rFonts w:ascii="Calibri" w:hAnsi="Calibri" w:cs="Calibri"/>
                <w:sz w:val="22"/>
                <w:szCs w:val="22"/>
              </w:rPr>
            </w:pPr>
            <w:r>
              <w:rPr>
                <w:rFonts w:cs="Calibri"/>
                <w:sz w:val="22"/>
                <w:szCs w:val="22"/>
              </w:rPr>
            </w:r>
          </w:p>
        </w:tc>
      </w:tr>
      <w:tr>
        <w:trPr/>
        <w:tc>
          <w:tcPr>
            <w:tcW w:w="2434" w:type="dxa"/>
            <w:tcBorders>
              <w:top w:val="single" w:sz="4" w:space="0" w:color="000000"/>
              <w:left w:val="single" w:sz="4" w:space="0" w:color="000000"/>
              <w:bottom w:val="single" w:sz="4" w:space="0" w:color="000000"/>
            </w:tcBorders>
          </w:tcPr>
          <w:p>
            <w:pPr>
              <w:pStyle w:val="Normal"/>
              <w:widowControl w:val="false"/>
              <w:snapToGrid w:val="false"/>
              <w:spacing w:before="0" w:after="120"/>
              <w:rPr>
                <w:rFonts w:ascii="Calibri" w:hAnsi="Calibri" w:cs="Calibri"/>
                <w:sz w:val="22"/>
                <w:szCs w:val="22"/>
              </w:rPr>
            </w:pPr>
            <w:r>
              <w:rPr>
                <w:rFonts w:cs="Calibri"/>
                <w:sz w:val="22"/>
                <w:szCs w:val="22"/>
              </w:rPr>
              <w:t>Ποιότητα</w:t>
            </w:r>
          </w:p>
        </w:tc>
        <w:tc>
          <w:tcPr>
            <w:tcW w:w="4353" w:type="dxa"/>
            <w:tcBorders>
              <w:top w:val="single" w:sz="4" w:space="0" w:color="000000"/>
              <w:left w:val="single" w:sz="4" w:space="0" w:color="000000"/>
              <w:bottom w:val="single" w:sz="4" w:space="0" w:color="000000"/>
            </w:tcBorders>
            <w:vAlign w:val="center"/>
          </w:tcPr>
          <w:p>
            <w:pPr>
              <w:pStyle w:val="Normal"/>
              <w:widowControl w:val="false"/>
              <w:snapToGrid w:val="false"/>
              <w:spacing w:before="0" w:after="120"/>
              <w:rPr>
                <w:rFonts w:ascii="Calibri" w:hAnsi="Calibri" w:cs="Calibri"/>
                <w:sz w:val="22"/>
                <w:szCs w:val="22"/>
                <w:lang w:val="en-US"/>
              </w:rPr>
            </w:pPr>
            <w:r>
              <w:rPr>
                <w:rFonts w:cs="Calibri"/>
                <w:sz w:val="22"/>
                <w:szCs w:val="22"/>
                <w:lang w:val="en-US"/>
              </w:rPr>
              <w:t>Βαμβάκι-πολυεστέρας</w:t>
            </w:r>
          </w:p>
        </w:tc>
        <w:tc>
          <w:tcPr>
            <w:tcW w:w="2629" w:type="dxa"/>
            <w:tcBorders>
              <w:top w:val="single" w:sz="4" w:space="0" w:color="000000"/>
              <w:left w:val="single" w:sz="4" w:space="0" w:color="000000"/>
              <w:bottom w:val="single" w:sz="4" w:space="0" w:color="000000"/>
              <w:right w:val="single" w:sz="4" w:space="0" w:color="000000"/>
            </w:tcBorders>
          </w:tcPr>
          <w:p>
            <w:pPr>
              <w:pStyle w:val="Style25"/>
              <w:widowControl w:val="false"/>
              <w:tabs>
                <w:tab w:val="clear" w:pos="720"/>
                <w:tab w:val="left" w:pos="-540" w:leader="none"/>
              </w:tabs>
              <w:snapToGrid w:val="false"/>
              <w:spacing w:before="0" w:after="240"/>
              <w:jc w:val="left"/>
              <w:rPr>
                <w:rFonts w:ascii="Calibri" w:hAnsi="Calibri" w:cs="Calibri"/>
                <w:sz w:val="22"/>
                <w:szCs w:val="22"/>
              </w:rPr>
            </w:pPr>
            <w:r>
              <w:rPr>
                <w:rFonts w:cs="Calibri"/>
                <w:sz w:val="22"/>
                <w:szCs w:val="22"/>
              </w:rPr>
            </w:r>
          </w:p>
        </w:tc>
      </w:tr>
    </w:tbl>
    <w:p>
      <w:pPr>
        <w:pStyle w:val="Normal"/>
        <w:tabs>
          <w:tab w:val="clear" w:pos="720"/>
          <w:tab w:val="left" w:pos="4095" w:leader="none"/>
        </w:tabs>
        <w:rPr>
          <w:rFonts w:ascii="Calibri" w:hAnsi="Calibri" w:cs="Calibri"/>
          <w:b/>
          <w:b/>
          <w:lang w:val="en-US"/>
        </w:rPr>
      </w:pPr>
      <w:r>
        <w:rPr>
          <w:rFonts w:cs="Calibri"/>
          <w:b/>
          <w:lang w:val="en-US"/>
        </w:rPr>
      </w:r>
    </w:p>
    <w:p>
      <w:pPr>
        <w:pStyle w:val="Normal"/>
        <w:tabs>
          <w:tab w:val="clear" w:pos="720"/>
          <w:tab w:val="left" w:pos="4800" w:leader="none"/>
        </w:tabs>
        <w:ind w:left="1077" w:hanging="0"/>
        <w:rPr/>
      </w:pPr>
      <w:r>
        <w:rPr>
          <w:rFonts w:cs="Calibri"/>
          <w:b/>
          <w:bCs/>
          <w:sz w:val="22"/>
          <w:szCs w:val="22"/>
        </w:rPr>
        <w:t>35.</w:t>
      </w:r>
      <w:r>
        <w:rPr>
          <w:rFonts w:cs="Calibri"/>
          <w:b/>
          <w:bCs/>
        </w:rPr>
        <w:t xml:space="preserve"> Παπλωματοθήκη υπέρδιπλη</w:t>
      </w:r>
    </w:p>
    <w:tbl>
      <w:tblPr>
        <w:tblW w:w="9416" w:type="dxa"/>
        <w:jc w:val="left"/>
        <w:tblInd w:w="-65" w:type="dxa"/>
        <w:tblLayout w:type="fixed"/>
        <w:tblCellMar>
          <w:top w:w="0" w:type="dxa"/>
          <w:left w:w="108" w:type="dxa"/>
          <w:bottom w:w="0" w:type="dxa"/>
          <w:right w:w="108" w:type="dxa"/>
        </w:tblCellMar>
      </w:tblPr>
      <w:tblGrid>
        <w:gridCol w:w="2434"/>
        <w:gridCol w:w="4353"/>
        <w:gridCol w:w="2629"/>
      </w:tblGrid>
      <w:tr>
        <w:trPr/>
        <w:tc>
          <w:tcPr>
            <w:tcW w:w="2434" w:type="dxa"/>
            <w:tcBorders>
              <w:top w:val="single" w:sz="4" w:space="0" w:color="000000"/>
              <w:left w:val="single" w:sz="4" w:space="0" w:color="000000"/>
              <w:bottom w:val="single" w:sz="4" w:space="0" w:color="000000"/>
            </w:tcBorders>
            <w:shd w:fill="F2F2F2" w:val="clear"/>
          </w:tcPr>
          <w:p>
            <w:pPr>
              <w:pStyle w:val="Style25"/>
              <w:widowControl w:val="false"/>
              <w:tabs>
                <w:tab w:val="clear" w:pos="720"/>
                <w:tab w:val="left" w:pos="-540" w:leader="none"/>
              </w:tabs>
              <w:spacing w:before="0" w:after="240"/>
              <w:jc w:val="left"/>
              <w:rPr>
                <w:rFonts w:ascii="Calibri" w:hAnsi="Calibri" w:cs="Calibri"/>
                <w:b/>
                <w:b/>
                <w:sz w:val="22"/>
                <w:szCs w:val="22"/>
              </w:rPr>
            </w:pPr>
            <w:r>
              <w:rPr>
                <w:rFonts w:cs="Calibri"/>
                <w:b/>
                <w:sz w:val="22"/>
                <w:szCs w:val="22"/>
              </w:rPr>
              <w:t>Χαρακτηριστικό</w:t>
            </w:r>
          </w:p>
        </w:tc>
        <w:tc>
          <w:tcPr>
            <w:tcW w:w="4353" w:type="dxa"/>
            <w:tcBorders>
              <w:top w:val="single" w:sz="4" w:space="0" w:color="000000"/>
              <w:left w:val="single" w:sz="4" w:space="0" w:color="000000"/>
              <w:bottom w:val="single" w:sz="4" w:space="0" w:color="000000"/>
            </w:tcBorders>
            <w:shd w:fill="F2F2F2" w:val="clear"/>
          </w:tcPr>
          <w:p>
            <w:pPr>
              <w:pStyle w:val="Style25"/>
              <w:widowControl w:val="false"/>
              <w:tabs>
                <w:tab w:val="clear" w:pos="720"/>
                <w:tab w:val="left" w:pos="-540" w:leader="none"/>
              </w:tabs>
              <w:spacing w:before="0" w:after="240"/>
              <w:jc w:val="left"/>
              <w:rPr>
                <w:rFonts w:ascii="Calibri" w:hAnsi="Calibri" w:cs="Calibri"/>
                <w:b/>
                <w:b/>
                <w:sz w:val="22"/>
                <w:szCs w:val="22"/>
              </w:rPr>
            </w:pPr>
            <w:r>
              <w:rPr>
                <w:rFonts w:cs="Calibri"/>
                <w:b/>
                <w:sz w:val="22"/>
                <w:szCs w:val="22"/>
              </w:rPr>
              <w:t>Απαίτηση</w:t>
            </w:r>
          </w:p>
        </w:tc>
        <w:tc>
          <w:tcPr>
            <w:tcW w:w="2629" w:type="dxa"/>
            <w:tcBorders>
              <w:top w:val="single" w:sz="4" w:space="0" w:color="000000"/>
              <w:left w:val="single" w:sz="4" w:space="0" w:color="000000"/>
              <w:bottom w:val="single" w:sz="4" w:space="0" w:color="000000"/>
              <w:right w:val="single" w:sz="4" w:space="0" w:color="000000"/>
            </w:tcBorders>
            <w:shd w:fill="F2F2F2" w:val="clear"/>
          </w:tcPr>
          <w:p>
            <w:pPr>
              <w:pStyle w:val="Style25"/>
              <w:widowControl w:val="false"/>
              <w:tabs>
                <w:tab w:val="clear" w:pos="720"/>
                <w:tab w:val="left" w:pos="-540" w:leader="none"/>
              </w:tabs>
              <w:spacing w:before="0" w:after="240"/>
              <w:jc w:val="left"/>
              <w:rPr>
                <w:rFonts w:ascii="Calibri" w:hAnsi="Calibri" w:cs="Calibri"/>
                <w:b/>
                <w:b/>
                <w:sz w:val="22"/>
                <w:szCs w:val="22"/>
              </w:rPr>
            </w:pPr>
            <w:r>
              <w:rPr>
                <w:rFonts w:cs="Calibri"/>
                <w:b/>
                <w:sz w:val="22"/>
                <w:szCs w:val="22"/>
              </w:rPr>
              <w:t>Παρατηρήσεις</w:t>
            </w:r>
          </w:p>
        </w:tc>
      </w:tr>
      <w:tr>
        <w:trPr/>
        <w:tc>
          <w:tcPr>
            <w:tcW w:w="2434" w:type="dxa"/>
            <w:tcBorders>
              <w:top w:val="single" w:sz="4" w:space="0" w:color="000000"/>
              <w:left w:val="single" w:sz="4" w:space="0" w:color="000000"/>
              <w:bottom w:val="single" w:sz="4" w:space="0" w:color="000000"/>
            </w:tcBorders>
          </w:tcPr>
          <w:p>
            <w:pPr>
              <w:pStyle w:val="Normal"/>
              <w:widowControl w:val="false"/>
              <w:snapToGrid w:val="false"/>
              <w:spacing w:before="0" w:after="120"/>
              <w:rPr>
                <w:rFonts w:ascii="Calibri" w:hAnsi="Calibri" w:cs="Calibri"/>
                <w:sz w:val="22"/>
                <w:szCs w:val="22"/>
              </w:rPr>
            </w:pPr>
            <w:r>
              <w:rPr>
                <w:rFonts w:cs="Calibri"/>
                <w:sz w:val="22"/>
                <w:szCs w:val="22"/>
              </w:rPr>
              <w:t>Διαστάσεις</w:t>
            </w:r>
          </w:p>
        </w:tc>
        <w:tc>
          <w:tcPr>
            <w:tcW w:w="4353" w:type="dxa"/>
            <w:tcBorders>
              <w:top w:val="single" w:sz="4" w:space="0" w:color="000000"/>
              <w:left w:val="single" w:sz="4" w:space="0" w:color="000000"/>
              <w:bottom w:val="single" w:sz="4" w:space="0" w:color="000000"/>
            </w:tcBorders>
          </w:tcPr>
          <w:p>
            <w:pPr>
              <w:pStyle w:val="Normal"/>
              <w:widowControl w:val="false"/>
              <w:snapToGrid w:val="false"/>
              <w:spacing w:before="0" w:after="120"/>
              <w:rPr>
                <w:rFonts w:ascii="Calibri" w:hAnsi="Calibri" w:cs="Calibri"/>
                <w:sz w:val="22"/>
                <w:szCs w:val="22"/>
              </w:rPr>
            </w:pPr>
            <w:r>
              <w:rPr>
                <w:rFonts w:cs="Calibri"/>
                <w:sz w:val="22"/>
                <w:szCs w:val="22"/>
              </w:rPr>
              <w:t>Τουλάχιστον 2.20x2.40m</w:t>
            </w:r>
          </w:p>
        </w:tc>
        <w:tc>
          <w:tcPr>
            <w:tcW w:w="2629" w:type="dxa"/>
            <w:tcBorders>
              <w:top w:val="single" w:sz="4" w:space="0" w:color="000000"/>
              <w:left w:val="single" w:sz="4" w:space="0" w:color="000000"/>
              <w:bottom w:val="single" w:sz="4" w:space="0" w:color="000000"/>
              <w:right w:val="single" w:sz="4" w:space="0" w:color="000000"/>
            </w:tcBorders>
          </w:tcPr>
          <w:p>
            <w:pPr>
              <w:pStyle w:val="Style25"/>
              <w:widowControl w:val="false"/>
              <w:tabs>
                <w:tab w:val="clear" w:pos="720"/>
                <w:tab w:val="left" w:pos="-540" w:leader="none"/>
              </w:tabs>
              <w:snapToGrid w:val="false"/>
              <w:spacing w:before="0" w:after="240"/>
              <w:jc w:val="left"/>
              <w:rPr>
                <w:rFonts w:ascii="Calibri" w:hAnsi="Calibri" w:cs="Calibri"/>
                <w:sz w:val="22"/>
                <w:szCs w:val="22"/>
              </w:rPr>
            </w:pPr>
            <w:r>
              <w:rPr>
                <w:rFonts w:cs="Calibri"/>
                <w:sz w:val="22"/>
                <w:szCs w:val="22"/>
              </w:rPr>
            </w:r>
          </w:p>
        </w:tc>
      </w:tr>
      <w:tr>
        <w:trPr/>
        <w:tc>
          <w:tcPr>
            <w:tcW w:w="2434" w:type="dxa"/>
            <w:tcBorders>
              <w:left w:val="single" w:sz="4" w:space="0" w:color="000000"/>
              <w:bottom w:val="single" w:sz="4" w:space="0" w:color="000000"/>
            </w:tcBorders>
          </w:tcPr>
          <w:p>
            <w:pPr>
              <w:pStyle w:val="Normal"/>
              <w:widowControl w:val="false"/>
              <w:snapToGrid w:val="false"/>
              <w:spacing w:before="0" w:after="120"/>
              <w:rPr>
                <w:rFonts w:ascii="Calibri" w:hAnsi="Calibri" w:cs="Calibri"/>
                <w:sz w:val="22"/>
                <w:szCs w:val="22"/>
              </w:rPr>
            </w:pPr>
            <w:r>
              <w:rPr>
                <w:rFonts w:cs="Calibri"/>
                <w:sz w:val="22"/>
                <w:szCs w:val="22"/>
              </w:rPr>
              <w:t>Μαξιλαροθήκες</w:t>
            </w:r>
          </w:p>
        </w:tc>
        <w:tc>
          <w:tcPr>
            <w:tcW w:w="4353" w:type="dxa"/>
            <w:tcBorders>
              <w:left w:val="single" w:sz="4" w:space="0" w:color="000000"/>
              <w:bottom w:val="single" w:sz="4" w:space="0" w:color="000000"/>
            </w:tcBorders>
          </w:tcPr>
          <w:p>
            <w:pPr>
              <w:pStyle w:val="Normal"/>
              <w:widowControl w:val="false"/>
              <w:snapToGrid w:val="false"/>
              <w:spacing w:before="0" w:after="120"/>
              <w:rPr>
                <w:rFonts w:ascii="Calibri" w:hAnsi="Calibri" w:cs="Calibri"/>
                <w:sz w:val="22"/>
                <w:szCs w:val="22"/>
              </w:rPr>
            </w:pPr>
            <w:r>
              <w:rPr>
                <w:rFonts w:cs="Calibri"/>
                <w:sz w:val="22"/>
                <w:szCs w:val="22"/>
              </w:rPr>
              <w:t>2</w:t>
            </w:r>
          </w:p>
        </w:tc>
        <w:tc>
          <w:tcPr>
            <w:tcW w:w="2629" w:type="dxa"/>
            <w:tcBorders>
              <w:left w:val="single" w:sz="4" w:space="0" w:color="000000"/>
              <w:bottom w:val="single" w:sz="4" w:space="0" w:color="000000"/>
              <w:right w:val="single" w:sz="4" w:space="0" w:color="000000"/>
            </w:tcBorders>
          </w:tcPr>
          <w:p>
            <w:pPr>
              <w:pStyle w:val="Style25"/>
              <w:widowControl w:val="false"/>
              <w:tabs>
                <w:tab w:val="clear" w:pos="720"/>
                <w:tab w:val="left" w:pos="-540" w:leader="none"/>
              </w:tabs>
              <w:snapToGrid w:val="false"/>
              <w:spacing w:before="0" w:after="240"/>
              <w:jc w:val="left"/>
              <w:rPr>
                <w:rFonts w:ascii="Calibri" w:hAnsi="Calibri" w:cs="Calibri"/>
                <w:sz w:val="22"/>
                <w:szCs w:val="22"/>
              </w:rPr>
            </w:pPr>
            <w:r>
              <w:rPr>
                <w:rFonts w:cs="Calibri"/>
                <w:sz w:val="22"/>
                <w:szCs w:val="22"/>
              </w:rPr>
            </w:r>
          </w:p>
        </w:tc>
      </w:tr>
      <w:tr>
        <w:trPr/>
        <w:tc>
          <w:tcPr>
            <w:tcW w:w="2434" w:type="dxa"/>
            <w:tcBorders>
              <w:left w:val="single" w:sz="4" w:space="0" w:color="000000"/>
              <w:bottom w:val="single" w:sz="4" w:space="0" w:color="000000"/>
            </w:tcBorders>
          </w:tcPr>
          <w:p>
            <w:pPr>
              <w:pStyle w:val="Normal"/>
              <w:widowControl w:val="false"/>
              <w:snapToGrid w:val="false"/>
              <w:spacing w:before="0" w:after="120"/>
              <w:rPr>
                <w:rFonts w:ascii="Calibri" w:hAnsi="Calibri" w:cs="Calibri"/>
                <w:sz w:val="22"/>
                <w:szCs w:val="22"/>
              </w:rPr>
            </w:pPr>
            <w:r>
              <w:rPr>
                <w:rFonts w:cs="Calibri"/>
                <w:sz w:val="22"/>
                <w:szCs w:val="22"/>
              </w:rPr>
              <w:t>Διαστάσεις μαξιλαροθηκών</w:t>
            </w:r>
          </w:p>
        </w:tc>
        <w:tc>
          <w:tcPr>
            <w:tcW w:w="4353" w:type="dxa"/>
            <w:tcBorders>
              <w:left w:val="single" w:sz="4" w:space="0" w:color="000000"/>
              <w:bottom w:val="single" w:sz="4" w:space="0" w:color="000000"/>
            </w:tcBorders>
          </w:tcPr>
          <w:p>
            <w:pPr>
              <w:pStyle w:val="Normal"/>
              <w:widowControl w:val="false"/>
              <w:snapToGrid w:val="false"/>
              <w:spacing w:before="0" w:after="120"/>
              <w:rPr/>
            </w:pPr>
            <w:r>
              <w:rPr>
                <w:rFonts w:cs="Calibri"/>
                <w:sz w:val="22"/>
                <w:szCs w:val="22"/>
              </w:rPr>
              <w:t>50</w:t>
            </w:r>
            <w:r>
              <w:rPr>
                <w:rFonts w:cs="Calibri"/>
                <w:sz w:val="22"/>
                <w:szCs w:val="22"/>
                <w:lang w:val="en-US"/>
              </w:rPr>
              <w:t>x70cm</w:t>
            </w:r>
          </w:p>
        </w:tc>
        <w:tc>
          <w:tcPr>
            <w:tcW w:w="2629" w:type="dxa"/>
            <w:tcBorders>
              <w:left w:val="single" w:sz="4" w:space="0" w:color="000000"/>
              <w:bottom w:val="single" w:sz="4" w:space="0" w:color="000000"/>
              <w:right w:val="single" w:sz="4" w:space="0" w:color="000000"/>
            </w:tcBorders>
          </w:tcPr>
          <w:p>
            <w:pPr>
              <w:pStyle w:val="Style25"/>
              <w:widowControl w:val="false"/>
              <w:tabs>
                <w:tab w:val="clear" w:pos="720"/>
                <w:tab w:val="left" w:pos="-540" w:leader="none"/>
              </w:tabs>
              <w:snapToGrid w:val="false"/>
              <w:spacing w:before="0" w:after="240"/>
              <w:jc w:val="left"/>
              <w:rPr>
                <w:rFonts w:ascii="Calibri" w:hAnsi="Calibri" w:cs="Calibri"/>
                <w:sz w:val="22"/>
                <w:szCs w:val="22"/>
              </w:rPr>
            </w:pPr>
            <w:r>
              <w:rPr>
                <w:rFonts w:cs="Calibri"/>
                <w:sz w:val="22"/>
                <w:szCs w:val="22"/>
              </w:rPr>
            </w:r>
          </w:p>
        </w:tc>
      </w:tr>
      <w:tr>
        <w:trPr/>
        <w:tc>
          <w:tcPr>
            <w:tcW w:w="2434" w:type="dxa"/>
            <w:tcBorders>
              <w:left w:val="single" w:sz="4" w:space="0" w:color="000000"/>
              <w:bottom w:val="single" w:sz="4" w:space="0" w:color="000000"/>
            </w:tcBorders>
          </w:tcPr>
          <w:p>
            <w:pPr>
              <w:pStyle w:val="Normal"/>
              <w:widowControl w:val="false"/>
              <w:snapToGrid w:val="false"/>
              <w:spacing w:before="0" w:after="120"/>
              <w:rPr>
                <w:rFonts w:ascii="Calibri" w:hAnsi="Calibri" w:cs="Calibri"/>
                <w:sz w:val="22"/>
                <w:szCs w:val="22"/>
              </w:rPr>
            </w:pPr>
            <w:r>
              <w:rPr>
                <w:rFonts w:cs="Calibri"/>
                <w:sz w:val="22"/>
                <w:szCs w:val="22"/>
              </w:rPr>
              <w:t>Σύνθεση</w:t>
            </w:r>
          </w:p>
        </w:tc>
        <w:tc>
          <w:tcPr>
            <w:tcW w:w="4353" w:type="dxa"/>
            <w:tcBorders>
              <w:left w:val="single" w:sz="4" w:space="0" w:color="000000"/>
              <w:bottom w:val="single" w:sz="4" w:space="0" w:color="000000"/>
            </w:tcBorders>
          </w:tcPr>
          <w:p>
            <w:pPr>
              <w:pStyle w:val="Normal"/>
              <w:widowControl w:val="false"/>
              <w:snapToGrid w:val="false"/>
              <w:spacing w:before="0" w:after="120"/>
              <w:rPr>
                <w:rFonts w:ascii="Calibri" w:hAnsi="Calibri" w:cs="Calibri"/>
                <w:sz w:val="22"/>
                <w:szCs w:val="22"/>
              </w:rPr>
            </w:pPr>
            <w:r>
              <w:rPr>
                <w:rFonts w:cs="Calibri"/>
                <w:sz w:val="22"/>
                <w:szCs w:val="22"/>
              </w:rPr>
              <w:t>100% Βαμβάκι</w:t>
            </w:r>
          </w:p>
        </w:tc>
        <w:tc>
          <w:tcPr>
            <w:tcW w:w="2629" w:type="dxa"/>
            <w:tcBorders>
              <w:left w:val="single" w:sz="4" w:space="0" w:color="000000"/>
              <w:bottom w:val="single" w:sz="4" w:space="0" w:color="000000"/>
              <w:right w:val="single" w:sz="4" w:space="0" w:color="000000"/>
            </w:tcBorders>
          </w:tcPr>
          <w:p>
            <w:pPr>
              <w:pStyle w:val="Style25"/>
              <w:widowControl w:val="false"/>
              <w:tabs>
                <w:tab w:val="clear" w:pos="720"/>
                <w:tab w:val="left" w:pos="-540" w:leader="none"/>
              </w:tabs>
              <w:snapToGrid w:val="false"/>
              <w:spacing w:before="0" w:after="240"/>
              <w:jc w:val="left"/>
              <w:rPr>
                <w:rFonts w:ascii="Calibri" w:hAnsi="Calibri" w:cs="Calibri"/>
                <w:sz w:val="22"/>
                <w:szCs w:val="22"/>
              </w:rPr>
            </w:pPr>
            <w:r>
              <w:rPr>
                <w:rFonts w:cs="Calibri"/>
                <w:sz w:val="22"/>
                <w:szCs w:val="22"/>
              </w:rPr>
            </w:r>
          </w:p>
        </w:tc>
      </w:tr>
    </w:tbl>
    <w:p>
      <w:pPr>
        <w:pStyle w:val="Normal"/>
        <w:tabs>
          <w:tab w:val="clear" w:pos="720"/>
          <w:tab w:val="left" w:pos="4095" w:leader="none"/>
        </w:tabs>
        <w:rPr>
          <w:rFonts w:ascii="Calibri" w:hAnsi="Calibri" w:cs="Calibri"/>
          <w:b/>
          <w:b/>
          <w:sz w:val="22"/>
          <w:szCs w:val="22"/>
        </w:rPr>
      </w:pPr>
      <w:r>
        <w:rPr>
          <w:rFonts w:cs="Calibri"/>
          <w:b/>
          <w:sz w:val="22"/>
          <w:szCs w:val="22"/>
        </w:rPr>
      </w:r>
    </w:p>
    <w:p>
      <w:pPr>
        <w:pStyle w:val="Normal"/>
        <w:tabs>
          <w:tab w:val="clear" w:pos="720"/>
          <w:tab w:val="left" w:pos="4800" w:leader="none"/>
        </w:tabs>
        <w:ind w:left="1077" w:hanging="0"/>
        <w:rPr/>
      </w:pPr>
      <w:r>
        <w:rPr>
          <w:rFonts w:cs="Calibri"/>
          <w:b/>
          <w:bCs/>
          <w:sz w:val="22"/>
          <w:szCs w:val="22"/>
        </w:rPr>
        <w:t xml:space="preserve">36. </w:t>
      </w:r>
      <w:r>
        <w:rPr>
          <w:rFonts w:cs="Calibri"/>
          <w:b/>
          <w:bCs/>
        </w:rPr>
        <w:t>Παπλωματοθήκη διπλή</w:t>
      </w:r>
    </w:p>
    <w:tbl>
      <w:tblPr>
        <w:tblW w:w="9416" w:type="dxa"/>
        <w:jc w:val="left"/>
        <w:tblInd w:w="-65" w:type="dxa"/>
        <w:tblLayout w:type="fixed"/>
        <w:tblCellMar>
          <w:top w:w="0" w:type="dxa"/>
          <w:left w:w="108" w:type="dxa"/>
          <w:bottom w:w="0" w:type="dxa"/>
          <w:right w:w="108" w:type="dxa"/>
        </w:tblCellMar>
      </w:tblPr>
      <w:tblGrid>
        <w:gridCol w:w="2434"/>
        <w:gridCol w:w="4353"/>
        <w:gridCol w:w="2629"/>
      </w:tblGrid>
      <w:tr>
        <w:trPr/>
        <w:tc>
          <w:tcPr>
            <w:tcW w:w="2434" w:type="dxa"/>
            <w:tcBorders>
              <w:top w:val="single" w:sz="4" w:space="0" w:color="000000"/>
              <w:left w:val="single" w:sz="4" w:space="0" w:color="000000"/>
              <w:bottom w:val="single" w:sz="4" w:space="0" w:color="000000"/>
            </w:tcBorders>
            <w:shd w:fill="F2F2F2" w:val="clear"/>
          </w:tcPr>
          <w:p>
            <w:pPr>
              <w:pStyle w:val="Style25"/>
              <w:widowControl w:val="false"/>
              <w:tabs>
                <w:tab w:val="clear" w:pos="720"/>
                <w:tab w:val="left" w:pos="-540" w:leader="none"/>
              </w:tabs>
              <w:spacing w:before="0" w:after="240"/>
              <w:jc w:val="left"/>
              <w:rPr>
                <w:rFonts w:ascii="Calibri" w:hAnsi="Calibri" w:cs="Calibri"/>
                <w:b/>
                <w:b/>
                <w:sz w:val="22"/>
                <w:szCs w:val="22"/>
              </w:rPr>
            </w:pPr>
            <w:r>
              <w:rPr>
                <w:rFonts w:cs="Calibri"/>
                <w:b/>
                <w:sz w:val="22"/>
                <w:szCs w:val="22"/>
              </w:rPr>
              <w:t>Χαρακτηριστικό</w:t>
            </w:r>
          </w:p>
        </w:tc>
        <w:tc>
          <w:tcPr>
            <w:tcW w:w="4353" w:type="dxa"/>
            <w:tcBorders>
              <w:top w:val="single" w:sz="4" w:space="0" w:color="000000"/>
              <w:left w:val="single" w:sz="4" w:space="0" w:color="000000"/>
              <w:bottom w:val="single" w:sz="4" w:space="0" w:color="000000"/>
            </w:tcBorders>
            <w:shd w:fill="F2F2F2" w:val="clear"/>
          </w:tcPr>
          <w:p>
            <w:pPr>
              <w:pStyle w:val="Style25"/>
              <w:widowControl w:val="false"/>
              <w:tabs>
                <w:tab w:val="clear" w:pos="720"/>
                <w:tab w:val="left" w:pos="-540" w:leader="none"/>
              </w:tabs>
              <w:spacing w:before="0" w:after="240"/>
              <w:jc w:val="left"/>
              <w:rPr>
                <w:rFonts w:ascii="Calibri" w:hAnsi="Calibri" w:cs="Calibri"/>
                <w:b/>
                <w:b/>
                <w:sz w:val="22"/>
                <w:szCs w:val="22"/>
              </w:rPr>
            </w:pPr>
            <w:r>
              <w:rPr>
                <w:rFonts w:cs="Calibri"/>
                <w:b/>
                <w:sz w:val="22"/>
                <w:szCs w:val="22"/>
              </w:rPr>
              <w:t>Απαίτηση</w:t>
            </w:r>
          </w:p>
        </w:tc>
        <w:tc>
          <w:tcPr>
            <w:tcW w:w="2629" w:type="dxa"/>
            <w:tcBorders>
              <w:top w:val="single" w:sz="4" w:space="0" w:color="000000"/>
              <w:left w:val="single" w:sz="4" w:space="0" w:color="000000"/>
              <w:bottom w:val="single" w:sz="4" w:space="0" w:color="000000"/>
              <w:right w:val="single" w:sz="4" w:space="0" w:color="000000"/>
            </w:tcBorders>
            <w:shd w:fill="F2F2F2" w:val="clear"/>
          </w:tcPr>
          <w:p>
            <w:pPr>
              <w:pStyle w:val="Style25"/>
              <w:widowControl w:val="false"/>
              <w:tabs>
                <w:tab w:val="clear" w:pos="720"/>
                <w:tab w:val="left" w:pos="-540" w:leader="none"/>
              </w:tabs>
              <w:spacing w:before="0" w:after="240"/>
              <w:jc w:val="left"/>
              <w:rPr>
                <w:rFonts w:ascii="Calibri" w:hAnsi="Calibri" w:cs="Calibri"/>
                <w:b/>
                <w:b/>
                <w:sz w:val="22"/>
                <w:szCs w:val="22"/>
              </w:rPr>
            </w:pPr>
            <w:r>
              <w:rPr>
                <w:rFonts w:cs="Calibri"/>
                <w:b/>
                <w:sz w:val="22"/>
                <w:szCs w:val="22"/>
              </w:rPr>
              <w:t>Παρατηρήσεις</w:t>
            </w:r>
          </w:p>
        </w:tc>
      </w:tr>
      <w:tr>
        <w:trPr/>
        <w:tc>
          <w:tcPr>
            <w:tcW w:w="2434" w:type="dxa"/>
            <w:tcBorders>
              <w:top w:val="single" w:sz="4" w:space="0" w:color="000000"/>
              <w:left w:val="single" w:sz="4" w:space="0" w:color="000000"/>
              <w:bottom w:val="single" w:sz="4" w:space="0" w:color="000000"/>
            </w:tcBorders>
          </w:tcPr>
          <w:p>
            <w:pPr>
              <w:pStyle w:val="Normal"/>
              <w:widowControl w:val="false"/>
              <w:snapToGrid w:val="false"/>
              <w:spacing w:before="0" w:after="120"/>
              <w:rPr>
                <w:rFonts w:ascii="Calibri" w:hAnsi="Calibri" w:cs="Calibri"/>
                <w:sz w:val="22"/>
                <w:szCs w:val="22"/>
              </w:rPr>
            </w:pPr>
            <w:r>
              <w:rPr>
                <w:rFonts w:cs="Calibri"/>
                <w:sz w:val="22"/>
                <w:szCs w:val="22"/>
              </w:rPr>
              <w:t>Διαστάσεις</w:t>
            </w:r>
          </w:p>
        </w:tc>
        <w:tc>
          <w:tcPr>
            <w:tcW w:w="4353" w:type="dxa"/>
            <w:tcBorders>
              <w:top w:val="single" w:sz="4" w:space="0" w:color="000000"/>
              <w:left w:val="single" w:sz="4" w:space="0" w:color="000000"/>
              <w:bottom w:val="single" w:sz="4" w:space="0" w:color="000000"/>
            </w:tcBorders>
          </w:tcPr>
          <w:p>
            <w:pPr>
              <w:pStyle w:val="Normal"/>
              <w:widowControl w:val="false"/>
              <w:snapToGrid w:val="false"/>
              <w:spacing w:before="0" w:after="120"/>
              <w:rPr>
                <w:rFonts w:ascii="Calibri" w:hAnsi="Calibri" w:cs="Calibri"/>
                <w:sz w:val="22"/>
                <w:szCs w:val="22"/>
              </w:rPr>
            </w:pPr>
            <w:r>
              <w:rPr>
                <w:rFonts w:cs="Calibri"/>
                <w:sz w:val="22"/>
                <w:szCs w:val="22"/>
              </w:rPr>
              <w:t>Τουλάχιστον 2.00x2.50m</w:t>
            </w:r>
          </w:p>
        </w:tc>
        <w:tc>
          <w:tcPr>
            <w:tcW w:w="2629" w:type="dxa"/>
            <w:tcBorders>
              <w:top w:val="single" w:sz="4" w:space="0" w:color="000000"/>
              <w:left w:val="single" w:sz="4" w:space="0" w:color="000000"/>
              <w:bottom w:val="single" w:sz="4" w:space="0" w:color="000000"/>
              <w:right w:val="single" w:sz="4" w:space="0" w:color="000000"/>
            </w:tcBorders>
          </w:tcPr>
          <w:p>
            <w:pPr>
              <w:pStyle w:val="Style25"/>
              <w:widowControl w:val="false"/>
              <w:tabs>
                <w:tab w:val="clear" w:pos="720"/>
                <w:tab w:val="left" w:pos="-540" w:leader="none"/>
              </w:tabs>
              <w:snapToGrid w:val="false"/>
              <w:spacing w:before="0" w:after="240"/>
              <w:jc w:val="left"/>
              <w:rPr>
                <w:rFonts w:ascii="Calibri" w:hAnsi="Calibri" w:cs="Calibri"/>
                <w:sz w:val="22"/>
                <w:szCs w:val="22"/>
              </w:rPr>
            </w:pPr>
            <w:r>
              <w:rPr>
                <w:rFonts w:cs="Calibri"/>
                <w:sz w:val="22"/>
                <w:szCs w:val="22"/>
              </w:rPr>
            </w:r>
          </w:p>
        </w:tc>
      </w:tr>
      <w:tr>
        <w:trPr/>
        <w:tc>
          <w:tcPr>
            <w:tcW w:w="2434" w:type="dxa"/>
            <w:tcBorders>
              <w:left w:val="single" w:sz="4" w:space="0" w:color="000000"/>
              <w:bottom w:val="single" w:sz="4" w:space="0" w:color="000000"/>
            </w:tcBorders>
          </w:tcPr>
          <w:p>
            <w:pPr>
              <w:pStyle w:val="Normal"/>
              <w:widowControl w:val="false"/>
              <w:snapToGrid w:val="false"/>
              <w:spacing w:before="0" w:after="120"/>
              <w:rPr>
                <w:rFonts w:ascii="Calibri" w:hAnsi="Calibri" w:cs="Calibri"/>
                <w:sz w:val="22"/>
                <w:szCs w:val="22"/>
              </w:rPr>
            </w:pPr>
            <w:r>
              <w:rPr>
                <w:rFonts w:cs="Calibri"/>
                <w:sz w:val="22"/>
                <w:szCs w:val="22"/>
              </w:rPr>
              <w:t>Σύνθεση</w:t>
            </w:r>
          </w:p>
        </w:tc>
        <w:tc>
          <w:tcPr>
            <w:tcW w:w="4353" w:type="dxa"/>
            <w:tcBorders>
              <w:left w:val="single" w:sz="4" w:space="0" w:color="000000"/>
              <w:bottom w:val="single" w:sz="4" w:space="0" w:color="000000"/>
            </w:tcBorders>
          </w:tcPr>
          <w:p>
            <w:pPr>
              <w:pStyle w:val="Normal"/>
              <w:widowControl w:val="false"/>
              <w:snapToGrid w:val="false"/>
              <w:spacing w:before="0" w:after="120"/>
              <w:rPr>
                <w:rFonts w:ascii="Calibri" w:hAnsi="Calibri" w:cs="Calibri"/>
                <w:sz w:val="22"/>
                <w:szCs w:val="22"/>
              </w:rPr>
            </w:pPr>
            <w:r>
              <w:rPr>
                <w:rFonts w:cs="Calibri"/>
                <w:sz w:val="22"/>
                <w:szCs w:val="22"/>
              </w:rPr>
              <w:t>100% Βαμβάκι</w:t>
            </w:r>
          </w:p>
        </w:tc>
        <w:tc>
          <w:tcPr>
            <w:tcW w:w="2629" w:type="dxa"/>
            <w:tcBorders>
              <w:left w:val="single" w:sz="4" w:space="0" w:color="000000"/>
              <w:bottom w:val="single" w:sz="4" w:space="0" w:color="000000"/>
              <w:right w:val="single" w:sz="4" w:space="0" w:color="000000"/>
            </w:tcBorders>
          </w:tcPr>
          <w:p>
            <w:pPr>
              <w:pStyle w:val="Style25"/>
              <w:widowControl w:val="false"/>
              <w:tabs>
                <w:tab w:val="clear" w:pos="720"/>
                <w:tab w:val="left" w:pos="-540" w:leader="none"/>
              </w:tabs>
              <w:snapToGrid w:val="false"/>
              <w:spacing w:before="0" w:after="240"/>
              <w:jc w:val="left"/>
              <w:rPr>
                <w:rFonts w:ascii="Calibri" w:hAnsi="Calibri" w:cs="Calibri"/>
                <w:sz w:val="22"/>
                <w:szCs w:val="22"/>
              </w:rPr>
            </w:pPr>
            <w:r>
              <w:rPr>
                <w:rFonts w:cs="Calibri"/>
                <w:sz w:val="22"/>
                <w:szCs w:val="22"/>
              </w:rPr>
            </w:r>
          </w:p>
        </w:tc>
      </w:tr>
    </w:tbl>
    <w:p>
      <w:pPr>
        <w:pStyle w:val="Normal"/>
        <w:tabs>
          <w:tab w:val="clear" w:pos="720"/>
          <w:tab w:val="left" w:pos="4095" w:leader="none"/>
        </w:tabs>
        <w:rPr>
          <w:rFonts w:ascii="Calibri" w:hAnsi="Calibri" w:cs="Calibri"/>
          <w:b/>
          <w:b/>
          <w:sz w:val="22"/>
          <w:szCs w:val="22"/>
        </w:rPr>
      </w:pPr>
      <w:r>
        <w:rPr>
          <w:rFonts w:cs="Calibri"/>
          <w:b/>
          <w:sz w:val="22"/>
          <w:szCs w:val="22"/>
        </w:rPr>
      </w:r>
    </w:p>
    <w:p>
      <w:pPr>
        <w:pStyle w:val="Normal"/>
        <w:tabs>
          <w:tab w:val="clear" w:pos="720"/>
          <w:tab w:val="left" w:pos="4800" w:leader="none"/>
        </w:tabs>
        <w:ind w:left="1077" w:hanging="0"/>
        <w:rPr/>
      </w:pPr>
      <w:r>
        <w:rPr>
          <w:rFonts w:cs="Calibri"/>
          <w:b/>
          <w:bCs/>
          <w:sz w:val="22"/>
          <w:szCs w:val="22"/>
        </w:rPr>
        <w:t xml:space="preserve">37. </w:t>
      </w:r>
      <w:r>
        <w:rPr>
          <w:rFonts w:cs="Calibri"/>
          <w:b/>
          <w:bCs/>
        </w:rPr>
        <w:t>Παπλωματοθήκη μονή</w:t>
      </w:r>
    </w:p>
    <w:tbl>
      <w:tblPr>
        <w:tblW w:w="9416" w:type="dxa"/>
        <w:jc w:val="left"/>
        <w:tblInd w:w="-65" w:type="dxa"/>
        <w:tblLayout w:type="fixed"/>
        <w:tblCellMar>
          <w:top w:w="0" w:type="dxa"/>
          <w:left w:w="108" w:type="dxa"/>
          <w:bottom w:w="0" w:type="dxa"/>
          <w:right w:w="108" w:type="dxa"/>
        </w:tblCellMar>
      </w:tblPr>
      <w:tblGrid>
        <w:gridCol w:w="2434"/>
        <w:gridCol w:w="4353"/>
        <w:gridCol w:w="2629"/>
      </w:tblGrid>
      <w:tr>
        <w:trPr/>
        <w:tc>
          <w:tcPr>
            <w:tcW w:w="2434" w:type="dxa"/>
            <w:tcBorders>
              <w:top w:val="single" w:sz="4" w:space="0" w:color="000000"/>
              <w:left w:val="single" w:sz="4" w:space="0" w:color="000000"/>
              <w:bottom w:val="single" w:sz="4" w:space="0" w:color="000000"/>
            </w:tcBorders>
            <w:shd w:fill="F2F2F2" w:val="clear"/>
          </w:tcPr>
          <w:p>
            <w:pPr>
              <w:pStyle w:val="Style25"/>
              <w:widowControl w:val="false"/>
              <w:tabs>
                <w:tab w:val="clear" w:pos="720"/>
                <w:tab w:val="left" w:pos="-540" w:leader="none"/>
              </w:tabs>
              <w:spacing w:before="0" w:after="240"/>
              <w:jc w:val="left"/>
              <w:rPr>
                <w:rFonts w:ascii="Calibri" w:hAnsi="Calibri" w:cs="Calibri"/>
                <w:b/>
                <w:b/>
                <w:sz w:val="22"/>
                <w:szCs w:val="22"/>
              </w:rPr>
            </w:pPr>
            <w:r>
              <w:rPr>
                <w:rFonts w:cs="Calibri"/>
                <w:b/>
                <w:sz w:val="22"/>
                <w:szCs w:val="22"/>
              </w:rPr>
              <w:t>Χαρακτηριστικό</w:t>
            </w:r>
          </w:p>
        </w:tc>
        <w:tc>
          <w:tcPr>
            <w:tcW w:w="4353" w:type="dxa"/>
            <w:tcBorders>
              <w:top w:val="single" w:sz="4" w:space="0" w:color="000000"/>
              <w:left w:val="single" w:sz="4" w:space="0" w:color="000000"/>
              <w:bottom w:val="single" w:sz="4" w:space="0" w:color="000000"/>
            </w:tcBorders>
            <w:shd w:fill="F2F2F2" w:val="clear"/>
          </w:tcPr>
          <w:p>
            <w:pPr>
              <w:pStyle w:val="Style25"/>
              <w:widowControl w:val="false"/>
              <w:tabs>
                <w:tab w:val="clear" w:pos="720"/>
                <w:tab w:val="left" w:pos="-540" w:leader="none"/>
              </w:tabs>
              <w:spacing w:before="0" w:after="240"/>
              <w:jc w:val="left"/>
              <w:rPr>
                <w:rFonts w:ascii="Calibri" w:hAnsi="Calibri" w:cs="Calibri"/>
                <w:b/>
                <w:b/>
                <w:sz w:val="22"/>
                <w:szCs w:val="22"/>
              </w:rPr>
            </w:pPr>
            <w:r>
              <w:rPr>
                <w:rFonts w:cs="Calibri"/>
                <w:b/>
                <w:sz w:val="22"/>
                <w:szCs w:val="22"/>
              </w:rPr>
              <w:t>Απαίτηση</w:t>
            </w:r>
          </w:p>
        </w:tc>
        <w:tc>
          <w:tcPr>
            <w:tcW w:w="2629" w:type="dxa"/>
            <w:tcBorders>
              <w:top w:val="single" w:sz="4" w:space="0" w:color="000000"/>
              <w:left w:val="single" w:sz="4" w:space="0" w:color="000000"/>
              <w:bottom w:val="single" w:sz="4" w:space="0" w:color="000000"/>
              <w:right w:val="single" w:sz="4" w:space="0" w:color="000000"/>
            </w:tcBorders>
            <w:shd w:fill="F2F2F2" w:val="clear"/>
          </w:tcPr>
          <w:p>
            <w:pPr>
              <w:pStyle w:val="Style25"/>
              <w:widowControl w:val="false"/>
              <w:tabs>
                <w:tab w:val="clear" w:pos="720"/>
                <w:tab w:val="left" w:pos="-540" w:leader="none"/>
              </w:tabs>
              <w:spacing w:before="0" w:after="240"/>
              <w:jc w:val="left"/>
              <w:rPr>
                <w:rFonts w:ascii="Calibri" w:hAnsi="Calibri" w:cs="Calibri"/>
                <w:b/>
                <w:b/>
                <w:sz w:val="22"/>
                <w:szCs w:val="22"/>
              </w:rPr>
            </w:pPr>
            <w:r>
              <w:rPr>
                <w:rFonts w:cs="Calibri"/>
                <w:b/>
                <w:sz w:val="22"/>
                <w:szCs w:val="22"/>
              </w:rPr>
              <w:t>Παρατηρήσεις</w:t>
            </w:r>
          </w:p>
        </w:tc>
      </w:tr>
      <w:tr>
        <w:trPr/>
        <w:tc>
          <w:tcPr>
            <w:tcW w:w="2434" w:type="dxa"/>
            <w:tcBorders>
              <w:top w:val="single" w:sz="4" w:space="0" w:color="000000"/>
              <w:left w:val="single" w:sz="4" w:space="0" w:color="000000"/>
              <w:bottom w:val="single" w:sz="4" w:space="0" w:color="000000"/>
            </w:tcBorders>
          </w:tcPr>
          <w:p>
            <w:pPr>
              <w:pStyle w:val="Normal"/>
              <w:widowControl w:val="false"/>
              <w:snapToGrid w:val="false"/>
              <w:spacing w:before="0" w:after="120"/>
              <w:rPr>
                <w:rFonts w:ascii="Calibri" w:hAnsi="Calibri" w:cs="Calibri"/>
                <w:sz w:val="22"/>
                <w:szCs w:val="22"/>
              </w:rPr>
            </w:pPr>
            <w:r>
              <w:rPr>
                <w:rFonts w:cs="Calibri"/>
                <w:sz w:val="22"/>
                <w:szCs w:val="22"/>
              </w:rPr>
              <w:t>Διαστάσεις</w:t>
            </w:r>
          </w:p>
        </w:tc>
        <w:tc>
          <w:tcPr>
            <w:tcW w:w="4353" w:type="dxa"/>
            <w:tcBorders>
              <w:top w:val="single" w:sz="4" w:space="0" w:color="000000"/>
              <w:left w:val="single" w:sz="4" w:space="0" w:color="000000"/>
              <w:bottom w:val="single" w:sz="4" w:space="0" w:color="000000"/>
            </w:tcBorders>
          </w:tcPr>
          <w:p>
            <w:pPr>
              <w:pStyle w:val="Normal"/>
              <w:widowControl w:val="false"/>
              <w:snapToGrid w:val="false"/>
              <w:spacing w:before="0" w:after="120"/>
              <w:rPr/>
            </w:pPr>
            <w:r>
              <w:rPr>
                <w:rFonts w:cs="Calibri"/>
                <w:sz w:val="22"/>
                <w:szCs w:val="22"/>
              </w:rPr>
              <w:t>1.60</w:t>
            </w:r>
            <w:r>
              <w:rPr>
                <w:rFonts w:cs="Calibri"/>
                <w:sz w:val="22"/>
                <w:szCs w:val="22"/>
                <w:lang w:val="en-US"/>
              </w:rPr>
              <w:t>x2.40m</w:t>
            </w:r>
          </w:p>
        </w:tc>
        <w:tc>
          <w:tcPr>
            <w:tcW w:w="2629" w:type="dxa"/>
            <w:tcBorders>
              <w:top w:val="single" w:sz="4" w:space="0" w:color="000000"/>
              <w:left w:val="single" w:sz="4" w:space="0" w:color="000000"/>
              <w:bottom w:val="single" w:sz="4" w:space="0" w:color="000000"/>
              <w:right w:val="single" w:sz="4" w:space="0" w:color="000000"/>
            </w:tcBorders>
          </w:tcPr>
          <w:p>
            <w:pPr>
              <w:pStyle w:val="Style25"/>
              <w:widowControl w:val="false"/>
              <w:tabs>
                <w:tab w:val="clear" w:pos="720"/>
                <w:tab w:val="left" w:pos="-540" w:leader="none"/>
              </w:tabs>
              <w:snapToGrid w:val="false"/>
              <w:spacing w:before="0" w:after="240"/>
              <w:jc w:val="left"/>
              <w:rPr>
                <w:rFonts w:ascii="Calibri" w:hAnsi="Calibri" w:cs="Calibri"/>
                <w:sz w:val="22"/>
                <w:szCs w:val="22"/>
              </w:rPr>
            </w:pPr>
            <w:r>
              <w:rPr>
                <w:rFonts w:cs="Calibri"/>
                <w:sz w:val="22"/>
                <w:szCs w:val="22"/>
              </w:rPr>
            </w:r>
          </w:p>
        </w:tc>
      </w:tr>
      <w:tr>
        <w:trPr/>
        <w:tc>
          <w:tcPr>
            <w:tcW w:w="2434" w:type="dxa"/>
            <w:tcBorders>
              <w:left w:val="single" w:sz="4" w:space="0" w:color="000000"/>
              <w:bottom w:val="single" w:sz="4" w:space="0" w:color="000000"/>
            </w:tcBorders>
          </w:tcPr>
          <w:p>
            <w:pPr>
              <w:pStyle w:val="Normal"/>
              <w:widowControl w:val="false"/>
              <w:snapToGrid w:val="false"/>
              <w:spacing w:before="0" w:after="120"/>
              <w:rPr>
                <w:rFonts w:ascii="Calibri" w:hAnsi="Calibri" w:cs="Calibri"/>
                <w:sz w:val="22"/>
                <w:szCs w:val="22"/>
              </w:rPr>
            </w:pPr>
            <w:r>
              <w:rPr>
                <w:rFonts w:cs="Calibri"/>
                <w:sz w:val="22"/>
                <w:szCs w:val="22"/>
              </w:rPr>
              <w:t>Σύνθεση</w:t>
            </w:r>
          </w:p>
        </w:tc>
        <w:tc>
          <w:tcPr>
            <w:tcW w:w="4353" w:type="dxa"/>
            <w:tcBorders>
              <w:left w:val="single" w:sz="4" w:space="0" w:color="000000"/>
              <w:bottom w:val="single" w:sz="4" w:space="0" w:color="000000"/>
            </w:tcBorders>
          </w:tcPr>
          <w:p>
            <w:pPr>
              <w:pStyle w:val="Normal"/>
              <w:widowControl w:val="false"/>
              <w:snapToGrid w:val="false"/>
              <w:spacing w:before="0" w:after="120"/>
              <w:rPr>
                <w:rFonts w:ascii="Calibri" w:hAnsi="Calibri" w:cs="Calibri"/>
                <w:sz w:val="22"/>
                <w:szCs w:val="22"/>
              </w:rPr>
            </w:pPr>
            <w:r>
              <w:rPr>
                <w:rFonts w:cs="Calibri"/>
                <w:sz w:val="22"/>
                <w:szCs w:val="22"/>
              </w:rPr>
              <w:t>100% Βαμβάκι</w:t>
            </w:r>
          </w:p>
        </w:tc>
        <w:tc>
          <w:tcPr>
            <w:tcW w:w="2629" w:type="dxa"/>
            <w:tcBorders>
              <w:left w:val="single" w:sz="4" w:space="0" w:color="000000"/>
              <w:bottom w:val="single" w:sz="4" w:space="0" w:color="000000"/>
              <w:right w:val="single" w:sz="4" w:space="0" w:color="000000"/>
            </w:tcBorders>
          </w:tcPr>
          <w:p>
            <w:pPr>
              <w:pStyle w:val="Style25"/>
              <w:widowControl w:val="false"/>
              <w:tabs>
                <w:tab w:val="clear" w:pos="720"/>
                <w:tab w:val="left" w:pos="-540" w:leader="none"/>
              </w:tabs>
              <w:snapToGrid w:val="false"/>
              <w:spacing w:before="0" w:after="240"/>
              <w:jc w:val="left"/>
              <w:rPr>
                <w:rFonts w:ascii="Calibri" w:hAnsi="Calibri" w:cs="Calibri"/>
                <w:sz w:val="22"/>
                <w:szCs w:val="22"/>
              </w:rPr>
            </w:pPr>
            <w:r>
              <w:rPr>
                <w:rFonts w:cs="Calibri"/>
                <w:sz w:val="22"/>
                <w:szCs w:val="22"/>
              </w:rPr>
            </w:r>
          </w:p>
        </w:tc>
      </w:tr>
    </w:tbl>
    <w:p>
      <w:pPr>
        <w:pStyle w:val="Normal"/>
        <w:tabs>
          <w:tab w:val="clear" w:pos="720"/>
          <w:tab w:val="left" w:pos="4095" w:leader="none"/>
        </w:tabs>
        <w:rPr>
          <w:rFonts w:ascii="Calibri" w:hAnsi="Calibri" w:cs="Calibri"/>
          <w:b/>
          <w:b/>
          <w:sz w:val="22"/>
          <w:szCs w:val="22"/>
        </w:rPr>
      </w:pPr>
      <w:r>
        <w:rPr>
          <w:rFonts w:cs="Calibri"/>
          <w:b/>
          <w:sz w:val="22"/>
          <w:szCs w:val="22"/>
        </w:rPr>
      </w:r>
    </w:p>
    <w:p>
      <w:pPr>
        <w:pStyle w:val="Normal"/>
        <w:tabs>
          <w:tab w:val="clear" w:pos="720"/>
          <w:tab w:val="left" w:pos="4095" w:leader="none"/>
        </w:tabs>
        <w:ind w:left="1080" w:hanging="0"/>
        <w:rPr/>
      </w:pPr>
      <w:r>
        <w:rPr>
          <w:rFonts w:cs="Calibri"/>
          <w:b/>
        </w:rPr>
        <w:t xml:space="preserve">38. </w:t>
      </w:r>
      <w:r>
        <w:rPr>
          <w:rFonts w:cs="Calibri"/>
          <w:b/>
          <w:bCs/>
        </w:rPr>
        <w:t>Σετ πετσέτες μπάνιου</w:t>
      </w:r>
    </w:p>
    <w:tbl>
      <w:tblPr>
        <w:tblW w:w="9416" w:type="dxa"/>
        <w:jc w:val="left"/>
        <w:tblInd w:w="-65" w:type="dxa"/>
        <w:tblLayout w:type="fixed"/>
        <w:tblCellMar>
          <w:top w:w="0" w:type="dxa"/>
          <w:left w:w="108" w:type="dxa"/>
          <w:bottom w:w="0" w:type="dxa"/>
          <w:right w:w="108" w:type="dxa"/>
        </w:tblCellMar>
      </w:tblPr>
      <w:tblGrid>
        <w:gridCol w:w="2751"/>
        <w:gridCol w:w="3924"/>
        <w:gridCol w:w="2741"/>
      </w:tblGrid>
      <w:tr>
        <w:trPr/>
        <w:tc>
          <w:tcPr>
            <w:tcW w:w="2751" w:type="dxa"/>
            <w:tcBorders>
              <w:top w:val="single" w:sz="4" w:space="0" w:color="000000"/>
              <w:left w:val="single" w:sz="4" w:space="0" w:color="000000"/>
              <w:bottom w:val="single" w:sz="4" w:space="0" w:color="000000"/>
            </w:tcBorders>
            <w:shd w:fill="F2F2F2" w:val="clear"/>
          </w:tcPr>
          <w:p>
            <w:pPr>
              <w:pStyle w:val="Style25"/>
              <w:widowControl w:val="false"/>
              <w:tabs>
                <w:tab w:val="clear" w:pos="720"/>
                <w:tab w:val="left" w:pos="-540" w:leader="none"/>
              </w:tabs>
              <w:spacing w:before="0" w:after="240"/>
              <w:jc w:val="left"/>
              <w:rPr>
                <w:rFonts w:ascii="Calibri" w:hAnsi="Calibri" w:eastAsia="Calibri" w:cs="Calibri"/>
                <w:b/>
                <w:b/>
                <w:sz w:val="22"/>
                <w:szCs w:val="22"/>
              </w:rPr>
            </w:pPr>
            <w:r>
              <w:rPr>
                <w:rFonts w:eastAsia="Calibri" w:cs="Calibri"/>
                <w:b/>
                <w:sz w:val="22"/>
                <w:szCs w:val="22"/>
              </w:rPr>
              <w:t>Χαρακτηριστικό</w:t>
            </w:r>
          </w:p>
        </w:tc>
        <w:tc>
          <w:tcPr>
            <w:tcW w:w="3924" w:type="dxa"/>
            <w:tcBorders>
              <w:top w:val="single" w:sz="4" w:space="0" w:color="000000"/>
              <w:left w:val="single" w:sz="4" w:space="0" w:color="000000"/>
              <w:bottom w:val="single" w:sz="4" w:space="0" w:color="000000"/>
            </w:tcBorders>
            <w:shd w:fill="F2F2F2" w:val="clear"/>
          </w:tcPr>
          <w:p>
            <w:pPr>
              <w:pStyle w:val="Style25"/>
              <w:widowControl w:val="false"/>
              <w:tabs>
                <w:tab w:val="clear" w:pos="720"/>
                <w:tab w:val="left" w:pos="-540" w:leader="none"/>
              </w:tabs>
              <w:spacing w:before="0" w:after="240"/>
              <w:jc w:val="left"/>
              <w:rPr>
                <w:rFonts w:ascii="Calibri" w:hAnsi="Calibri" w:eastAsia="Calibri" w:cs="Calibri"/>
                <w:b/>
                <w:b/>
                <w:sz w:val="22"/>
                <w:szCs w:val="22"/>
              </w:rPr>
            </w:pPr>
            <w:r>
              <w:rPr>
                <w:rFonts w:eastAsia="Calibri" w:cs="Calibri"/>
                <w:b/>
                <w:sz w:val="22"/>
                <w:szCs w:val="22"/>
              </w:rPr>
              <w:t>Απαίτηση</w:t>
            </w:r>
          </w:p>
        </w:tc>
        <w:tc>
          <w:tcPr>
            <w:tcW w:w="2741" w:type="dxa"/>
            <w:tcBorders>
              <w:top w:val="single" w:sz="4" w:space="0" w:color="000000"/>
              <w:left w:val="single" w:sz="4" w:space="0" w:color="000000"/>
              <w:bottom w:val="single" w:sz="4" w:space="0" w:color="000000"/>
              <w:right w:val="single" w:sz="4" w:space="0" w:color="000000"/>
            </w:tcBorders>
            <w:shd w:fill="F2F2F2" w:val="clear"/>
          </w:tcPr>
          <w:p>
            <w:pPr>
              <w:pStyle w:val="Style25"/>
              <w:widowControl w:val="false"/>
              <w:tabs>
                <w:tab w:val="clear" w:pos="720"/>
                <w:tab w:val="left" w:pos="-540" w:leader="none"/>
              </w:tabs>
              <w:spacing w:before="0" w:after="240"/>
              <w:jc w:val="left"/>
              <w:rPr>
                <w:rFonts w:ascii="Calibri" w:hAnsi="Calibri" w:eastAsia="Calibri" w:cs="Calibri"/>
                <w:b/>
                <w:b/>
                <w:sz w:val="22"/>
                <w:szCs w:val="22"/>
              </w:rPr>
            </w:pPr>
            <w:r>
              <w:rPr>
                <w:rFonts w:eastAsia="Calibri" w:cs="Calibri"/>
                <w:b/>
                <w:sz w:val="22"/>
                <w:szCs w:val="22"/>
              </w:rPr>
              <w:t>Παρατηρήσεις</w:t>
            </w:r>
          </w:p>
        </w:tc>
      </w:tr>
      <w:tr>
        <w:trPr/>
        <w:tc>
          <w:tcPr>
            <w:tcW w:w="2751" w:type="dxa"/>
            <w:tcBorders>
              <w:top w:val="single" w:sz="4" w:space="0" w:color="000000"/>
              <w:left w:val="single" w:sz="4" w:space="0" w:color="000000"/>
              <w:bottom w:val="single" w:sz="4" w:space="0" w:color="000000"/>
            </w:tcBorders>
          </w:tcPr>
          <w:p>
            <w:pPr>
              <w:pStyle w:val="Style25"/>
              <w:widowControl w:val="false"/>
              <w:tabs>
                <w:tab w:val="clear" w:pos="720"/>
                <w:tab w:val="left" w:pos="-540" w:leader="none"/>
              </w:tabs>
              <w:snapToGrid w:val="false"/>
              <w:spacing w:before="0" w:after="240"/>
              <w:jc w:val="left"/>
              <w:rPr>
                <w:rFonts w:ascii="Calibri" w:hAnsi="Calibri" w:cs="Calibri"/>
                <w:sz w:val="22"/>
                <w:szCs w:val="22"/>
              </w:rPr>
            </w:pPr>
            <w:r>
              <w:rPr>
                <w:rFonts w:cs="Calibri"/>
                <w:sz w:val="22"/>
                <w:szCs w:val="22"/>
              </w:rPr>
              <w:t>Τεμάχια</w:t>
            </w:r>
          </w:p>
        </w:tc>
        <w:tc>
          <w:tcPr>
            <w:tcW w:w="3924" w:type="dxa"/>
            <w:tcBorders>
              <w:top w:val="single" w:sz="4" w:space="0" w:color="000000"/>
              <w:left w:val="single" w:sz="4" w:space="0" w:color="000000"/>
              <w:bottom w:val="single" w:sz="4" w:space="0" w:color="000000"/>
            </w:tcBorders>
          </w:tcPr>
          <w:p>
            <w:pPr>
              <w:pStyle w:val="Style25"/>
              <w:widowControl w:val="false"/>
              <w:tabs>
                <w:tab w:val="clear" w:pos="720"/>
                <w:tab w:val="left" w:pos="-540" w:leader="none"/>
              </w:tabs>
              <w:snapToGrid w:val="false"/>
              <w:spacing w:before="0" w:after="240"/>
              <w:jc w:val="left"/>
              <w:rPr>
                <w:rFonts w:ascii="Calibri" w:hAnsi="Calibri" w:cs="Calibri"/>
                <w:sz w:val="22"/>
                <w:szCs w:val="22"/>
              </w:rPr>
            </w:pPr>
            <w:r>
              <w:rPr>
                <w:rFonts w:cs="Calibri"/>
                <w:sz w:val="22"/>
                <w:szCs w:val="22"/>
              </w:rPr>
              <w:t>3</w:t>
            </w:r>
          </w:p>
        </w:tc>
        <w:tc>
          <w:tcPr>
            <w:tcW w:w="2741" w:type="dxa"/>
            <w:tcBorders>
              <w:top w:val="single" w:sz="4" w:space="0" w:color="000000"/>
              <w:left w:val="single" w:sz="4" w:space="0" w:color="000000"/>
              <w:bottom w:val="single" w:sz="4" w:space="0" w:color="000000"/>
              <w:right w:val="single" w:sz="4" w:space="0" w:color="000000"/>
            </w:tcBorders>
          </w:tcPr>
          <w:p>
            <w:pPr>
              <w:pStyle w:val="Style25"/>
              <w:widowControl w:val="false"/>
              <w:tabs>
                <w:tab w:val="clear" w:pos="720"/>
                <w:tab w:val="left" w:pos="-540" w:leader="none"/>
              </w:tabs>
              <w:snapToGrid w:val="false"/>
              <w:spacing w:before="0" w:after="240"/>
              <w:jc w:val="left"/>
              <w:rPr>
                <w:rFonts w:ascii="Calibri" w:hAnsi="Calibri" w:cs="Calibri"/>
                <w:sz w:val="22"/>
                <w:szCs w:val="22"/>
              </w:rPr>
            </w:pPr>
            <w:r>
              <w:rPr>
                <w:rFonts w:cs="Calibri"/>
                <w:sz w:val="22"/>
                <w:szCs w:val="22"/>
              </w:rPr>
              <w:t>Διαφορετικού μεγέθους</w:t>
            </w:r>
          </w:p>
        </w:tc>
      </w:tr>
      <w:tr>
        <w:trPr/>
        <w:tc>
          <w:tcPr>
            <w:tcW w:w="2751" w:type="dxa"/>
            <w:tcBorders>
              <w:left w:val="single" w:sz="4" w:space="0" w:color="000000"/>
              <w:bottom w:val="single" w:sz="4" w:space="0" w:color="000000"/>
            </w:tcBorders>
          </w:tcPr>
          <w:p>
            <w:pPr>
              <w:pStyle w:val="Style25"/>
              <w:widowControl w:val="false"/>
              <w:tabs>
                <w:tab w:val="clear" w:pos="720"/>
                <w:tab w:val="left" w:pos="-540" w:leader="none"/>
              </w:tabs>
              <w:snapToGrid w:val="false"/>
              <w:spacing w:before="0" w:after="240"/>
              <w:jc w:val="left"/>
              <w:rPr>
                <w:rFonts w:ascii="Calibri" w:hAnsi="Calibri" w:cs="Calibri"/>
                <w:sz w:val="22"/>
                <w:szCs w:val="22"/>
              </w:rPr>
            </w:pPr>
            <w:r>
              <w:rPr>
                <w:rFonts w:cs="Calibri"/>
                <w:sz w:val="22"/>
                <w:szCs w:val="22"/>
              </w:rPr>
              <w:t>Διαστάσεις</w:t>
            </w:r>
          </w:p>
        </w:tc>
        <w:tc>
          <w:tcPr>
            <w:tcW w:w="3924" w:type="dxa"/>
            <w:tcBorders>
              <w:left w:val="single" w:sz="4" w:space="0" w:color="000000"/>
              <w:bottom w:val="single" w:sz="4" w:space="0" w:color="000000"/>
            </w:tcBorders>
          </w:tcPr>
          <w:p>
            <w:pPr>
              <w:pStyle w:val="Style25"/>
              <w:widowControl w:val="false"/>
              <w:tabs>
                <w:tab w:val="clear" w:pos="720"/>
                <w:tab w:val="left" w:pos="-540" w:leader="none"/>
              </w:tabs>
              <w:snapToGrid w:val="false"/>
              <w:spacing w:before="0" w:after="240"/>
              <w:jc w:val="left"/>
              <w:rPr/>
            </w:pPr>
            <w:r>
              <w:rPr>
                <w:rFonts w:cs="Calibri"/>
                <w:sz w:val="22"/>
                <w:szCs w:val="22"/>
              </w:rPr>
              <w:t>30</w:t>
            </w:r>
            <w:r>
              <w:rPr>
                <w:rFonts w:cs="Calibri"/>
                <w:sz w:val="22"/>
                <w:szCs w:val="22"/>
                <w:lang w:val="en-US"/>
              </w:rPr>
              <w:t xml:space="preserve">x50, 50x90, 70x140cm </w:t>
            </w:r>
            <w:r>
              <w:rPr>
                <w:rFonts w:cs="Calibri"/>
                <w:sz w:val="22"/>
                <w:szCs w:val="22"/>
              </w:rPr>
              <w:t>περίπου</w:t>
            </w:r>
          </w:p>
        </w:tc>
        <w:tc>
          <w:tcPr>
            <w:tcW w:w="2741" w:type="dxa"/>
            <w:tcBorders>
              <w:left w:val="single" w:sz="4" w:space="0" w:color="000000"/>
              <w:bottom w:val="single" w:sz="4" w:space="0" w:color="000000"/>
              <w:right w:val="single" w:sz="4" w:space="0" w:color="000000"/>
            </w:tcBorders>
          </w:tcPr>
          <w:p>
            <w:pPr>
              <w:pStyle w:val="Style25"/>
              <w:widowControl w:val="false"/>
              <w:tabs>
                <w:tab w:val="clear" w:pos="720"/>
                <w:tab w:val="left" w:pos="-540" w:leader="none"/>
              </w:tabs>
              <w:snapToGrid w:val="false"/>
              <w:spacing w:before="0" w:after="240"/>
              <w:jc w:val="left"/>
              <w:rPr>
                <w:rFonts w:ascii="Calibri" w:hAnsi="Calibri" w:cs="Calibri"/>
                <w:sz w:val="22"/>
                <w:szCs w:val="22"/>
              </w:rPr>
            </w:pPr>
            <w:r>
              <w:rPr>
                <w:rFonts w:cs="Calibri"/>
                <w:sz w:val="22"/>
                <w:szCs w:val="22"/>
              </w:rPr>
              <w:t>Χεριών, προσώπου, σώματος</w:t>
            </w:r>
          </w:p>
        </w:tc>
      </w:tr>
      <w:tr>
        <w:trPr/>
        <w:tc>
          <w:tcPr>
            <w:tcW w:w="2751" w:type="dxa"/>
            <w:tcBorders>
              <w:left w:val="single" w:sz="4" w:space="0" w:color="000000"/>
              <w:bottom w:val="single" w:sz="4" w:space="0" w:color="000000"/>
            </w:tcBorders>
          </w:tcPr>
          <w:p>
            <w:pPr>
              <w:pStyle w:val="Style25"/>
              <w:widowControl w:val="false"/>
              <w:tabs>
                <w:tab w:val="clear" w:pos="720"/>
                <w:tab w:val="left" w:pos="-540" w:leader="none"/>
              </w:tabs>
              <w:snapToGrid w:val="false"/>
              <w:spacing w:before="0" w:after="240"/>
              <w:jc w:val="left"/>
              <w:rPr>
                <w:rFonts w:ascii="Calibri" w:hAnsi="Calibri" w:cs="Calibri"/>
                <w:sz w:val="22"/>
                <w:szCs w:val="22"/>
              </w:rPr>
            </w:pPr>
            <w:r>
              <w:rPr>
                <w:rFonts w:cs="Calibri"/>
                <w:sz w:val="22"/>
                <w:szCs w:val="22"/>
              </w:rPr>
              <w:t>Σύνθεση</w:t>
            </w:r>
          </w:p>
        </w:tc>
        <w:tc>
          <w:tcPr>
            <w:tcW w:w="3924" w:type="dxa"/>
            <w:tcBorders>
              <w:left w:val="single" w:sz="4" w:space="0" w:color="000000"/>
              <w:bottom w:val="single" w:sz="4" w:space="0" w:color="000000"/>
            </w:tcBorders>
          </w:tcPr>
          <w:p>
            <w:pPr>
              <w:pStyle w:val="Style25"/>
              <w:widowControl w:val="false"/>
              <w:tabs>
                <w:tab w:val="clear" w:pos="720"/>
                <w:tab w:val="left" w:pos="-540" w:leader="none"/>
              </w:tabs>
              <w:snapToGrid w:val="false"/>
              <w:spacing w:before="0" w:after="240"/>
              <w:jc w:val="left"/>
              <w:rPr>
                <w:rFonts w:ascii="Calibri" w:hAnsi="Calibri" w:cs="Calibri"/>
                <w:sz w:val="22"/>
                <w:szCs w:val="22"/>
              </w:rPr>
            </w:pPr>
            <w:r>
              <w:rPr>
                <w:rFonts w:cs="Calibri"/>
                <w:sz w:val="22"/>
                <w:szCs w:val="22"/>
              </w:rPr>
              <w:t>100% Βαμβάκι</w:t>
            </w:r>
          </w:p>
        </w:tc>
        <w:tc>
          <w:tcPr>
            <w:tcW w:w="2741" w:type="dxa"/>
            <w:tcBorders>
              <w:left w:val="single" w:sz="4" w:space="0" w:color="000000"/>
              <w:bottom w:val="single" w:sz="4" w:space="0" w:color="000000"/>
              <w:right w:val="single" w:sz="4" w:space="0" w:color="000000"/>
            </w:tcBorders>
          </w:tcPr>
          <w:p>
            <w:pPr>
              <w:pStyle w:val="Style25"/>
              <w:widowControl w:val="false"/>
              <w:tabs>
                <w:tab w:val="clear" w:pos="720"/>
                <w:tab w:val="left" w:pos="-540" w:leader="none"/>
              </w:tabs>
              <w:snapToGrid w:val="false"/>
              <w:spacing w:before="0" w:after="240"/>
              <w:jc w:val="left"/>
              <w:rPr>
                <w:rFonts w:ascii="Calibri" w:hAnsi="Calibri" w:cs="Calibri"/>
                <w:sz w:val="22"/>
                <w:szCs w:val="22"/>
              </w:rPr>
            </w:pPr>
            <w:r>
              <w:rPr>
                <w:rFonts w:cs="Calibri"/>
                <w:sz w:val="22"/>
                <w:szCs w:val="22"/>
              </w:rPr>
            </w:r>
          </w:p>
        </w:tc>
      </w:tr>
    </w:tbl>
    <w:p>
      <w:pPr>
        <w:pStyle w:val="Normal"/>
        <w:tabs>
          <w:tab w:val="clear" w:pos="720"/>
          <w:tab w:val="left" w:pos="4095" w:leader="none"/>
        </w:tabs>
        <w:rPr>
          <w:rFonts w:ascii="Calibri" w:hAnsi="Calibri" w:cs="Calibri"/>
          <w:b/>
          <w:b/>
        </w:rPr>
      </w:pPr>
      <w:r>
        <w:rPr>
          <w:rFonts w:cs="Calibri"/>
          <w:b/>
        </w:rPr>
      </w:r>
    </w:p>
    <w:p>
      <w:pPr>
        <w:pStyle w:val="Normal"/>
        <w:tabs>
          <w:tab w:val="clear" w:pos="720"/>
          <w:tab w:val="left" w:pos="4095" w:leader="none"/>
        </w:tabs>
        <w:ind w:left="1080" w:hanging="0"/>
        <w:rPr/>
      </w:pPr>
      <w:r>
        <w:rPr>
          <w:rFonts w:cs="Calibri"/>
          <w:b/>
        </w:rPr>
        <w:t>39.</w:t>
      </w:r>
      <w:r>
        <w:rPr>
          <w:rFonts w:cs="Calibri"/>
          <w:b/>
          <w:bCs/>
        </w:rPr>
        <w:t xml:space="preserve"> Σετ πετσέτες κουζίνας</w:t>
      </w:r>
    </w:p>
    <w:tbl>
      <w:tblPr>
        <w:tblW w:w="9416" w:type="dxa"/>
        <w:jc w:val="left"/>
        <w:tblInd w:w="-65" w:type="dxa"/>
        <w:tblLayout w:type="fixed"/>
        <w:tblCellMar>
          <w:top w:w="0" w:type="dxa"/>
          <w:left w:w="108" w:type="dxa"/>
          <w:bottom w:w="0" w:type="dxa"/>
          <w:right w:w="108" w:type="dxa"/>
        </w:tblCellMar>
      </w:tblPr>
      <w:tblGrid>
        <w:gridCol w:w="2751"/>
        <w:gridCol w:w="3924"/>
        <w:gridCol w:w="2741"/>
      </w:tblGrid>
      <w:tr>
        <w:trPr/>
        <w:tc>
          <w:tcPr>
            <w:tcW w:w="2751" w:type="dxa"/>
            <w:tcBorders>
              <w:top w:val="single" w:sz="4" w:space="0" w:color="000000"/>
              <w:left w:val="single" w:sz="4" w:space="0" w:color="000000"/>
              <w:bottom w:val="single" w:sz="4" w:space="0" w:color="000000"/>
            </w:tcBorders>
            <w:shd w:fill="F2F2F2" w:val="clear"/>
          </w:tcPr>
          <w:p>
            <w:pPr>
              <w:pStyle w:val="Style25"/>
              <w:widowControl w:val="false"/>
              <w:tabs>
                <w:tab w:val="clear" w:pos="720"/>
                <w:tab w:val="left" w:pos="-540" w:leader="none"/>
              </w:tabs>
              <w:spacing w:before="0" w:after="240"/>
              <w:jc w:val="left"/>
              <w:rPr>
                <w:rFonts w:ascii="Calibri" w:hAnsi="Calibri" w:eastAsia="Calibri" w:cs="Calibri"/>
                <w:b/>
                <w:b/>
                <w:sz w:val="22"/>
                <w:szCs w:val="22"/>
              </w:rPr>
            </w:pPr>
            <w:r>
              <w:rPr>
                <w:rFonts w:eastAsia="Calibri" w:cs="Calibri"/>
                <w:b/>
                <w:sz w:val="22"/>
                <w:szCs w:val="22"/>
              </w:rPr>
              <w:t>Χαρακτηριστικό</w:t>
            </w:r>
          </w:p>
        </w:tc>
        <w:tc>
          <w:tcPr>
            <w:tcW w:w="3924" w:type="dxa"/>
            <w:tcBorders>
              <w:top w:val="single" w:sz="4" w:space="0" w:color="000000"/>
              <w:left w:val="single" w:sz="4" w:space="0" w:color="000000"/>
              <w:bottom w:val="single" w:sz="4" w:space="0" w:color="000000"/>
            </w:tcBorders>
            <w:shd w:fill="F2F2F2" w:val="clear"/>
          </w:tcPr>
          <w:p>
            <w:pPr>
              <w:pStyle w:val="Style25"/>
              <w:widowControl w:val="false"/>
              <w:tabs>
                <w:tab w:val="clear" w:pos="720"/>
                <w:tab w:val="left" w:pos="-540" w:leader="none"/>
              </w:tabs>
              <w:spacing w:before="0" w:after="240"/>
              <w:jc w:val="left"/>
              <w:rPr>
                <w:rFonts w:ascii="Calibri" w:hAnsi="Calibri" w:eastAsia="Calibri" w:cs="Calibri"/>
                <w:b/>
                <w:b/>
                <w:sz w:val="22"/>
                <w:szCs w:val="22"/>
              </w:rPr>
            </w:pPr>
            <w:r>
              <w:rPr>
                <w:rFonts w:eastAsia="Calibri" w:cs="Calibri"/>
                <w:b/>
                <w:sz w:val="22"/>
                <w:szCs w:val="22"/>
              </w:rPr>
              <w:t>Απαίτηση</w:t>
            </w:r>
          </w:p>
        </w:tc>
        <w:tc>
          <w:tcPr>
            <w:tcW w:w="2741" w:type="dxa"/>
            <w:tcBorders>
              <w:top w:val="single" w:sz="4" w:space="0" w:color="000000"/>
              <w:left w:val="single" w:sz="4" w:space="0" w:color="000000"/>
              <w:bottom w:val="single" w:sz="4" w:space="0" w:color="000000"/>
              <w:right w:val="single" w:sz="4" w:space="0" w:color="000000"/>
            </w:tcBorders>
            <w:shd w:fill="F2F2F2" w:val="clear"/>
          </w:tcPr>
          <w:p>
            <w:pPr>
              <w:pStyle w:val="Style25"/>
              <w:widowControl w:val="false"/>
              <w:tabs>
                <w:tab w:val="clear" w:pos="720"/>
                <w:tab w:val="left" w:pos="-540" w:leader="none"/>
              </w:tabs>
              <w:spacing w:before="0" w:after="240"/>
              <w:jc w:val="left"/>
              <w:rPr>
                <w:rFonts w:ascii="Calibri" w:hAnsi="Calibri" w:eastAsia="Calibri" w:cs="Calibri"/>
                <w:b/>
                <w:b/>
                <w:sz w:val="22"/>
                <w:szCs w:val="22"/>
              </w:rPr>
            </w:pPr>
            <w:r>
              <w:rPr>
                <w:rFonts w:eastAsia="Calibri" w:cs="Calibri"/>
                <w:b/>
                <w:sz w:val="22"/>
                <w:szCs w:val="22"/>
              </w:rPr>
              <w:t>Παρατηρήσεις</w:t>
            </w:r>
          </w:p>
        </w:tc>
      </w:tr>
      <w:tr>
        <w:trPr/>
        <w:tc>
          <w:tcPr>
            <w:tcW w:w="2751" w:type="dxa"/>
            <w:tcBorders>
              <w:top w:val="single" w:sz="4" w:space="0" w:color="000000"/>
              <w:left w:val="single" w:sz="4" w:space="0" w:color="000000"/>
              <w:bottom w:val="single" w:sz="4" w:space="0" w:color="000000"/>
            </w:tcBorders>
          </w:tcPr>
          <w:p>
            <w:pPr>
              <w:pStyle w:val="Normal"/>
              <w:widowControl w:val="false"/>
              <w:spacing w:before="0" w:after="120"/>
              <w:rPr>
                <w:rFonts w:ascii="Calibri" w:hAnsi="Calibri" w:cs="Calibri"/>
                <w:sz w:val="22"/>
                <w:szCs w:val="22"/>
              </w:rPr>
            </w:pPr>
            <w:r>
              <w:rPr>
                <w:rFonts w:cs="Calibri"/>
                <w:sz w:val="22"/>
                <w:szCs w:val="22"/>
              </w:rPr>
              <w:t>Τεμάχια</w:t>
            </w:r>
          </w:p>
        </w:tc>
        <w:tc>
          <w:tcPr>
            <w:tcW w:w="3924" w:type="dxa"/>
            <w:tcBorders>
              <w:top w:val="single" w:sz="4" w:space="0" w:color="000000"/>
              <w:left w:val="single" w:sz="4" w:space="0" w:color="000000"/>
              <w:bottom w:val="single" w:sz="4" w:space="0" w:color="000000"/>
            </w:tcBorders>
          </w:tcPr>
          <w:p>
            <w:pPr>
              <w:pStyle w:val="Normal"/>
              <w:widowControl w:val="false"/>
              <w:spacing w:before="0" w:after="120"/>
              <w:rPr>
                <w:rFonts w:ascii="Calibri" w:hAnsi="Calibri" w:cs="Calibri"/>
                <w:sz w:val="22"/>
                <w:szCs w:val="22"/>
              </w:rPr>
            </w:pPr>
            <w:r>
              <w:rPr>
                <w:rFonts w:cs="Calibri"/>
                <w:sz w:val="22"/>
                <w:szCs w:val="22"/>
              </w:rPr>
              <w:t>2</w:t>
            </w:r>
          </w:p>
        </w:tc>
        <w:tc>
          <w:tcPr>
            <w:tcW w:w="2741"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before="0" w:after="120"/>
              <w:rPr>
                <w:rFonts w:ascii="Calibri" w:hAnsi="Calibri" w:cs="Calibri"/>
                <w:sz w:val="22"/>
                <w:szCs w:val="22"/>
              </w:rPr>
            </w:pPr>
            <w:r>
              <w:rPr>
                <w:rFonts w:cs="Calibri"/>
                <w:sz w:val="22"/>
                <w:szCs w:val="22"/>
              </w:rPr>
            </w:r>
          </w:p>
        </w:tc>
      </w:tr>
      <w:tr>
        <w:trPr/>
        <w:tc>
          <w:tcPr>
            <w:tcW w:w="2751" w:type="dxa"/>
            <w:tcBorders>
              <w:left w:val="single" w:sz="4" w:space="0" w:color="000000"/>
              <w:bottom w:val="single" w:sz="4" w:space="0" w:color="000000"/>
            </w:tcBorders>
          </w:tcPr>
          <w:p>
            <w:pPr>
              <w:pStyle w:val="Normal"/>
              <w:widowControl w:val="false"/>
              <w:spacing w:before="0" w:after="120"/>
              <w:rPr>
                <w:rFonts w:ascii="Calibri" w:hAnsi="Calibri" w:cs="Calibri"/>
                <w:sz w:val="22"/>
                <w:szCs w:val="22"/>
              </w:rPr>
            </w:pPr>
            <w:r>
              <w:rPr>
                <w:rFonts w:cs="Calibri"/>
                <w:sz w:val="22"/>
                <w:szCs w:val="22"/>
              </w:rPr>
              <w:t>Διαστάσεις</w:t>
            </w:r>
          </w:p>
        </w:tc>
        <w:tc>
          <w:tcPr>
            <w:tcW w:w="3924" w:type="dxa"/>
            <w:tcBorders>
              <w:left w:val="single" w:sz="4" w:space="0" w:color="000000"/>
              <w:bottom w:val="single" w:sz="4" w:space="0" w:color="000000"/>
            </w:tcBorders>
          </w:tcPr>
          <w:p>
            <w:pPr>
              <w:pStyle w:val="Normal"/>
              <w:widowControl w:val="false"/>
              <w:spacing w:before="0" w:after="120"/>
              <w:rPr/>
            </w:pPr>
            <w:r>
              <w:rPr>
                <w:rFonts w:cs="Calibri"/>
                <w:sz w:val="22"/>
                <w:szCs w:val="22"/>
              </w:rPr>
              <w:t>40</w:t>
            </w:r>
            <w:r>
              <w:rPr>
                <w:rFonts w:cs="Calibri"/>
                <w:sz w:val="22"/>
                <w:szCs w:val="22"/>
                <w:lang w:val="en-US"/>
              </w:rPr>
              <w:t xml:space="preserve">x60cm </w:t>
            </w:r>
            <w:r>
              <w:rPr>
                <w:rFonts w:cs="Calibri"/>
                <w:sz w:val="22"/>
                <w:szCs w:val="22"/>
              </w:rPr>
              <w:t>περίπου</w:t>
            </w:r>
          </w:p>
        </w:tc>
        <w:tc>
          <w:tcPr>
            <w:tcW w:w="2741" w:type="dxa"/>
            <w:tcBorders>
              <w:left w:val="single" w:sz="4" w:space="0" w:color="000000"/>
              <w:bottom w:val="single" w:sz="4" w:space="0" w:color="000000"/>
              <w:right w:val="single" w:sz="4" w:space="0" w:color="000000"/>
            </w:tcBorders>
          </w:tcPr>
          <w:p>
            <w:pPr>
              <w:pStyle w:val="Normal"/>
              <w:widowControl w:val="false"/>
              <w:snapToGrid w:val="false"/>
              <w:spacing w:before="0" w:after="120"/>
              <w:rPr>
                <w:rFonts w:ascii="Calibri" w:hAnsi="Calibri" w:cs="Calibri"/>
                <w:sz w:val="22"/>
                <w:szCs w:val="22"/>
              </w:rPr>
            </w:pPr>
            <w:r>
              <w:rPr>
                <w:rFonts w:cs="Calibri"/>
                <w:sz w:val="22"/>
                <w:szCs w:val="22"/>
              </w:rPr>
            </w:r>
          </w:p>
        </w:tc>
      </w:tr>
      <w:tr>
        <w:trPr/>
        <w:tc>
          <w:tcPr>
            <w:tcW w:w="2751" w:type="dxa"/>
            <w:tcBorders>
              <w:top w:val="single" w:sz="4" w:space="0" w:color="000000"/>
              <w:left w:val="single" w:sz="4" w:space="0" w:color="000000"/>
              <w:bottom w:val="single" w:sz="4" w:space="0" w:color="000000"/>
            </w:tcBorders>
          </w:tcPr>
          <w:p>
            <w:pPr>
              <w:pStyle w:val="Normal"/>
              <w:widowControl w:val="false"/>
              <w:spacing w:before="0" w:after="120"/>
              <w:rPr>
                <w:rFonts w:ascii="Calibri" w:hAnsi="Calibri" w:cs="Calibri"/>
                <w:sz w:val="22"/>
                <w:szCs w:val="22"/>
              </w:rPr>
            </w:pPr>
            <w:r>
              <w:rPr>
                <w:rFonts w:cs="Calibri"/>
                <w:sz w:val="22"/>
                <w:szCs w:val="22"/>
              </w:rPr>
              <w:t>Σύνθεση</w:t>
            </w:r>
          </w:p>
        </w:tc>
        <w:tc>
          <w:tcPr>
            <w:tcW w:w="3924" w:type="dxa"/>
            <w:tcBorders>
              <w:top w:val="single" w:sz="4" w:space="0" w:color="000000"/>
              <w:left w:val="single" w:sz="4" w:space="0" w:color="000000"/>
              <w:bottom w:val="single" w:sz="4" w:space="0" w:color="000000"/>
            </w:tcBorders>
          </w:tcPr>
          <w:p>
            <w:pPr>
              <w:pStyle w:val="Normal"/>
              <w:widowControl w:val="false"/>
              <w:spacing w:before="0" w:after="120"/>
              <w:rPr>
                <w:rFonts w:ascii="Calibri" w:hAnsi="Calibri" w:cs="Calibri"/>
                <w:sz w:val="22"/>
                <w:szCs w:val="22"/>
              </w:rPr>
            </w:pPr>
            <w:r>
              <w:rPr>
                <w:rFonts w:cs="Calibri"/>
                <w:sz w:val="22"/>
                <w:szCs w:val="22"/>
              </w:rPr>
              <w:t>100% Βαμβάκι</w:t>
            </w:r>
          </w:p>
        </w:tc>
        <w:tc>
          <w:tcPr>
            <w:tcW w:w="2741"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before="0" w:after="120"/>
              <w:rPr>
                <w:rFonts w:ascii="Calibri" w:hAnsi="Calibri" w:cs="Calibri"/>
                <w:sz w:val="22"/>
                <w:szCs w:val="22"/>
              </w:rPr>
            </w:pPr>
            <w:r>
              <w:rPr>
                <w:rFonts w:cs="Calibri"/>
                <w:sz w:val="22"/>
                <w:szCs w:val="22"/>
              </w:rPr>
            </w:r>
          </w:p>
        </w:tc>
      </w:tr>
    </w:tbl>
    <w:p>
      <w:pPr>
        <w:pStyle w:val="Normal"/>
        <w:tabs>
          <w:tab w:val="clear" w:pos="720"/>
          <w:tab w:val="left" w:pos="2595" w:leader="none"/>
        </w:tabs>
        <w:rPr>
          <w:rFonts w:ascii="Calibri" w:hAnsi="Calibri" w:cs="Calibri"/>
          <w:sz w:val="22"/>
          <w:szCs w:val="22"/>
          <w:lang w:val="en-US"/>
        </w:rPr>
      </w:pPr>
      <w:r>
        <w:rPr>
          <w:rFonts w:cs="Calibri"/>
          <w:sz w:val="22"/>
          <w:szCs w:val="22"/>
          <w:lang w:val="en-US"/>
        </w:rPr>
      </w:r>
    </w:p>
    <w:p>
      <w:pPr>
        <w:pStyle w:val="Normal"/>
        <w:tabs>
          <w:tab w:val="clear" w:pos="720"/>
          <w:tab w:val="left" w:pos="4800" w:leader="none"/>
        </w:tabs>
        <w:ind w:left="1077" w:hanging="0"/>
        <w:rPr>
          <w:rFonts w:ascii="Calibri" w:hAnsi="Calibri" w:cs="Calibri"/>
          <w:b/>
          <w:b/>
          <w:bCs/>
          <w:sz w:val="22"/>
          <w:szCs w:val="22"/>
        </w:rPr>
      </w:pPr>
      <w:r>
        <w:rPr>
          <w:rFonts w:cs="Calibri"/>
          <w:b/>
          <w:bCs/>
          <w:sz w:val="22"/>
          <w:szCs w:val="22"/>
        </w:rPr>
        <w:t>40. Τραπεζομάντηλο φαγητού</w:t>
      </w:r>
    </w:p>
    <w:tbl>
      <w:tblPr>
        <w:tblW w:w="9416" w:type="dxa"/>
        <w:jc w:val="left"/>
        <w:tblInd w:w="-65" w:type="dxa"/>
        <w:tblLayout w:type="fixed"/>
        <w:tblCellMar>
          <w:top w:w="0" w:type="dxa"/>
          <w:left w:w="108" w:type="dxa"/>
          <w:bottom w:w="0" w:type="dxa"/>
          <w:right w:w="108" w:type="dxa"/>
        </w:tblCellMar>
      </w:tblPr>
      <w:tblGrid>
        <w:gridCol w:w="2434"/>
        <w:gridCol w:w="4353"/>
        <w:gridCol w:w="2629"/>
      </w:tblGrid>
      <w:tr>
        <w:trPr/>
        <w:tc>
          <w:tcPr>
            <w:tcW w:w="2434" w:type="dxa"/>
            <w:tcBorders>
              <w:top w:val="single" w:sz="4" w:space="0" w:color="000000"/>
              <w:left w:val="single" w:sz="4" w:space="0" w:color="000000"/>
              <w:bottom w:val="single" w:sz="4" w:space="0" w:color="000000"/>
            </w:tcBorders>
            <w:shd w:fill="F2F2F2" w:val="clear"/>
          </w:tcPr>
          <w:p>
            <w:pPr>
              <w:pStyle w:val="Style25"/>
              <w:widowControl w:val="false"/>
              <w:tabs>
                <w:tab w:val="clear" w:pos="720"/>
                <w:tab w:val="left" w:pos="-540" w:leader="none"/>
              </w:tabs>
              <w:spacing w:before="0" w:after="240"/>
              <w:jc w:val="left"/>
              <w:rPr>
                <w:rFonts w:ascii="Calibri" w:hAnsi="Calibri" w:cs="Calibri"/>
                <w:b/>
                <w:b/>
                <w:sz w:val="22"/>
                <w:szCs w:val="22"/>
              </w:rPr>
            </w:pPr>
            <w:r>
              <w:rPr>
                <w:rFonts w:cs="Calibri"/>
                <w:b/>
                <w:sz w:val="22"/>
                <w:szCs w:val="22"/>
              </w:rPr>
              <w:t>Χαρακτηριστικό</w:t>
            </w:r>
          </w:p>
        </w:tc>
        <w:tc>
          <w:tcPr>
            <w:tcW w:w="4353" w:type="dxa"/>
            <w:tcBorders>
              <w:top w:val="single" w:sz="4" w:space="0" w:color="000000"/>
              <w:left w:val="single" w:sz="4" w:space="0" w:color="000000"/>
              <w:bottom w:val="single" w:sz="4" w:space="0" w:color="000000"/>
            </w:tcBorders>
            <w:shd w:fill="F2F2F2" w:val="clear"/>
          </w:tcPr>
          <w:p>
            <w:pPr>
              <w:pStyle w:val="Style25"/>
              <w:widowControl w:val="false"/>
              <w:tabs>
                <w:tab w:val="clear" w:pos="720"/>
                <w:tab w:val="left" w:pos="-540" w:leader="none"/>
              </w:tabs>
              <w:spacing w:before="0" w:after="240"/>
              <w:jc w:val="left"/>
              <w:rPr>
                <w:rFonts w:ascii="Calibri" w:hAnsi="Calibri" w:cs="Calibri"/>
                <w:b/>
                <w:b/>
                <w:sz w:val="22"/>
                <w:szCs w:val="22"/>
              </w:rPr>
            </w:pPr>
            <w:r>
              <w:rPr>
                <w:rFonts w:cs="Calibri"/>
                <w:b/>
                <w:sz w:val="22"/>
                <w:szCs w:val="22"/>
              </w:rPr>
              <w:t>Απαίτηση</w:t>
            </w:r>
          </w:p>
        </w:tc>
        <w:tc>
          <w:tcPr>
            <w:tcW w:w="2629" w:type="dxa"/>
            <w:tcBorders>
              <w:top w:val="single" w:sz="4" w:space="0" w:color="000000"/>
              <w:left w:val="single" w:sz="4" w:space="0" w:color="000000"/>
              <w:bottom w:val="single" w:sz="4" w:space="0" w:color="000000"/>
              <w:right w:val="single" w:sz="4" w:space="0" w:color="000000"/>
            </w:tcBorders>
            <w:shd w:fill="F2F2F2" w:val="clear"/>
          </w:tcPr>
          <w:p>
            <w:pPr>
              <w:pStyle w:val="Style25"/>
              <w:widowControl w:val="false"/>
              <w:tabs>
                <w:tab w:val="clear" w:pos="720"/>
                <w:tab w:val="left" w:pos="-540" w:leader="none"/>
              </w:tabs>
              <w:spacing w:before="0" w:after="240"/>
              <w:jc w:val="left"/>
              <w:rPr>
                <w:rFonts w:ascii="Calibri" w:hAnsi="Calibri" w:cs="Calibri"/>
                <w:b/>
                <w:b/>
                <w:sz w:val="22"/>
                <w:szCs w:val="22"/>
              </w:rPr>
            </w:pPr>
            <w:r>
              <w:rPr>
                <w:rFonts w:cs="Calibri"/>
                <w:b/>
                <w:sz w:val="22"/>
                <w:szCs w:val="22"/>
              </w:rPr>
              <w:t>Παρατηρήσεις</w:t>
            </w:r>
          </w:p>
        </w:tc>
      </w:tr>
      <w:tr>
        <w:trPr/>
        <w:tc>
          <w:tcPr>
            <w:tcW w:w="2434" w:type="dxa"/>
            <w:tcBorders>
              <w:top w:val="single" w:sz="4" w:space="0" w:color="000000"/>
              <w:left w:val="single" w:sz="4" w:space="0" w:color="000000"/>
              <w:bottom w:val="single" w:sz="4" w:space="0" w:color="000000"/>
            </w:tcBorders>
          </w:tcPr>
          <w:p>
            <w:pPr>
              <w:pStyle w:val="Normal"/>
              <w:widowControl w:val="false"/>
              <w:snapToGrid w:val="false"/>
              <w:spacing w:before="0" w:after="120"/>
              <w:rPr>
                <w:rFonts w:ascii="Calibri" w:hAnsi="Calibri" w:cs="Calibri"/>
                <w:sz w:val="22"/>
                <w:szCs w:val="22"/>
              </w:rPr>
            </w:pPr>
            <w:r>
              <w:rPr>
                <w:rFonts w:cs="Calibri"/>
                <w:sz w:val="22"/>
                <w:szCs w:val="22"/>
              </w:rPr>
              <w:t>Διαστάσεις</w:t>
            </w:r>
          </w:p>
        </w:tc>
        <w:tc>
          <w:tcPr>
            <w:tcW w:w="4353" w:type="dxa"/>
            <w:tcBorders>
              <w:top w:val="single" w:sz="4" w:space="0" w:color="000000"/>
              <w:left w:val="single" w:sz="4" w:space="0" w:color="000000"/>
              <w:bottom w:val="single" w:sz="4" w:space="0" w:color="000000"/>
            </w:tcBorders>
          </w:tcPr>
          <w:p>
            <w:pPr>
              <w:pStyle w:val="Normal"/>
              <w:widowControl w:val="false"/>
              <w:snapToGrid w:val="false"/>
              <w:spacing w:before="0" w:after="120"/>
              <w:rPr/>
            </w:pPr>
            <w:r>
              <w:rPr>
                <w:rFonts w:cs="Calibri"/>
                <w:sz w:val="22"/>
                <w:szCs w:val="22"/>
              </w:rPr>
              <w:t>Τουλάχιστον 140</w:t>
            </w:r>
            <w:r>
              <w:rPr>
                <w:rFonts w:cs="Calibri"/>
                <w:sz w:val="22"/>
                <w:szCs w:val="22"/>
                <w:lang w:val="en-US"/>
              </w:rPr>
              <w:t>x180cm</w:t>
            </w:r>
          </w:p>
        </w:tc>
        <w:tc>
          <w:tcPr>
            <w:tcW w:w="2629" w:type="dxa"/>
            <w:tcBorders>
              <w:top w:val="single" w:sz="4" w:space="0" w:color="000000"/>
              <w:left w:val="single" w:sz="4" w:space="0" w:color="000000"/>
              <w:bottom w:val="single" w:sz="4" w:space="0" w:color="000000"/>
              <w:right w:val="single" w:sz="4" w:space="0" w:color="000000"/>
            </w:tcBorders>
          </w:tcPr>
          <w:p>
            <w:pPr>
              <w:pStyle w:val="Style25"/>
              <w:widowControl w:val="false"/>
              <w:tabs>
                <w:tab w:val="clear" w:pos="720"/>
                <w:tab w:val="left" w:pos="-540" w:leader="none"/>
              </w:tabs>
              <w:snapToGrid w:val="false"/>
              <w:spacing w:before="0" w:after="240"/>
              <w:jc w:val="left"/>
              <w:rPr>
                <w:rFonts w:ascii="Calibri" w:hAnsi="Calibri" w:cs="Calibri"/>
                <w:sz w:val="22"/>
                <w:szCs w:val="22"/>
              </w:rPr>
            </w:pPr>
            <w:r>
              <w:rPr>
                <w:rFonts w:cs="Calibri"/>
                <w:sz w:val="22"/>
                <w:szCs w:val="22"/>
              </w:rPr>
            </w:r>
          </w:p>
        </w:tc>
      </w:tr>
      <w:tr>
        <w:trPr/>
        <w:tc>
          <w:tcPr>
            <w:tcW w:w="2434" w:type="dxa"/>
            <w:tcBorders>
              <w:left w:val="single" w:sz="4" w:space="0" w:color="000000"/>
              <w:bottom w:val="single" w:sz="4" w:space="0" w:color="000000"/>
            </w:tcBorders>
          </w:tcPr>
          <w:p>
            <w:pPr>
              <w:pStyle w:val="Normal"/>
              <w:widowControl w:val="false"/>
              <w:snapToGrid w:val="false"/>
              <w:spacing w:before="0" w:after="120"/>
              <w:rPr>
                <w:rFonts w:ascii="Calibri" w:hAnsi="Calibri" w:cs="Calibri"/>
                <w:sz w:val="22"/>
                <w:szCs w:val="22"/>
              </w:rPr>
            </w:pPr>
            <w:r>
              <w:rPr>
                <w:rFonts w:cs="Calibri"/>
                <w:sz w:val="22"/>
                <w:szCs w:val="22"/>
              </w:rPr>
              <w:t>Σύνθεση</w:t>
            </w:r>
          </w:p>
        </w:tc>
        <w:tc>
          <w:tcPr>
            <w:tcW w:w="4353" w:type="dxa"/>
            <w:tcBorders>
              <w:left w:val="single" w:sz="4" w:space="0" w:color="000000"/>
              <w:bottom w:val="single" w:sz="4" w:space="0" w:color="000000"/>
            </w:tcBorders>
          </w:tcPr>
          <w:p>
            <w:pPr>
              <w:pStyle w:val="Normal"/>
              <w:widowControl w:val="false"/>
              <w:snapToGrid w:val="false"/>
              <w:spacing w:before="0" w:after="120"/>
              <w:rPr>
                <w:rFonts w:ascii="Calibri" w:hAnsi="Calibri" w:cs="Calibri"/>
                <w:sz w:val="22"/>
                <w:szCs w:val="22"/>
              </w:rPr>
            </w:pPr>
            <w:r>
              <w:rPr>
                <w:rFonts w:cs="Calibri"/>
                <w:sz w:val="22"/>
                <w:szCs w:val="22"/>
              </w:rPr>
              <w:t>100% Βαμβάκι</w:t>
            </w:r>
          </w:p>
        </w:tc>
        <w:tc>
          <w:tcPr>
            <w:tcW w:w="2629" w:type="dxa"/>
            <w:tcBorders>
              <w:left w:val="single" w:sz="4" w:space="0" w:color="000000"/>
              <w:bottom w:val="single" w:sz="4" w:space="0" w:color="000000"/>
              <w:right w:val="single" w:sz="4" w:space="0" w:color="000000"/>
            </w:tcBorders>
          </w:tcPr>
          <w:p>
            <w:pPr>
              <w:pStyle w:val="Style25"/>
              <w:widowControl w:val="false"/>
              <w:tabs>
                <w:tab w:val="clear" w:pos="720"/>
                <w:tab w:val="left" w:pos="-540" w:leader="none"/>
              </w:tabs>
              <w:snapToGrid w:val="false"/>
              <w:spacing w:before="0" w:after="240"/>
              <w:jc w:val="left"/>
              <w:rPr>
                <w:rFonts w:ascii="Calibri" w:hAnsi="Calibri" w:cs="Calibri"/>
                <w:sz w:val="22"/>
                <w:szCs w:val="22"/>
              </w:rPr>
            </w:pPr>
            <w:r>
              <w:rPr>
                <w:rFonts w:cs="Calibri"/>
                <w:sz w:val="22"/>
                <w:szCs w:val="22"/>
              </w:rPr>
            </w:r>
          </w:p>
        </w:tc>
      </w:tr>
    </w:tbl>
    <w:p>
      <w:pPr>
        <w:pStyle w:val="Normal"/>
        <w:tabs>
          <w:tab w:val="clear" w:pos="720"/>
          <w:tab w:val="left" w:pos="4095" w:leader="none"/>
        </w:tabs>
        <w:rPr>
          <w:rFonts w:ascii="Calibri" w:hAnsi="Calibri" w:cs="Calibri"/>
          <w:sz w:val="22"/>
          <w:szCs w:val="22"/>
          <w:lang w:val="en-US"/>
        </w:rPr>
      </w:pPr>
      <w:r>
        <w:rPr>
          <w:rFonts w:cs="Calibri"/>
          <w:sz w:val="22"/>
          <w:szCs w:val="22"/>
          <w:lang w:val="en-US"/>
        </w:rPr>
      </w:r>
    </w:p>
    <w:p>
      <w:pPr>
        <w:pStyle w:val="Normal"/>
        <w:tabs>
          <w:tab w:val="clear" w:pos="720"/>
          <w:tab w:val="left" w:pos="4800" w:leader="none"/>
        </w:tabs>
        <w:ind w:left="1077" w:hanging="0"/>
        <w:rPr>
          <w:rFonts w:ascii="Calibri" w:hAnsi="Calibri" w:cs="Calibri"/>
          <w:b/>
          <w:b/>
          <w:bCs/>
          <w:sz w:val="22"/>
          <w:szCs w:val="22"/>
        </w:rPr>
      </w:pPr>
      <w:r>
        <w:rPr>
          <w:rFonts w:cs="Calibri"/>
          <w:b/>
          <w:bCs/>
          <w:sz w:val="22"/>
          <w:szCs w:val="22"/>
        </w:rPr>
        <w:t>41. Τραπεζομάντηλο φιγούρας</w:t>
      </w:r>
    </w:p>
    <w:tbl>
      <w:tblPr>
        <w:tblW w:w="9416" w:type="dxa"/>
        <w:jc w:val="left"/>
        <w:tblInd w:w="-65" w:type="dxa"/>
        <w:tblLayout w:type="fixed"/>
        <w:tblCellMar>
          <w:top w:w="0" w:type="dxa"/>
          <w:left w:w="108" w:type="dxa"/>
          <w:bottom w:w="0" w:type="dxa"/>
          <w:right w:w="108" w:type="dxa"/>
        </w:tblCellMar>
      </w:tblPr>
      <w:tblGrid>
        <w:gridCol w:w="2434"/>
        <w:gridCol w:w="4353"/>
        <w:gridCol w:w="2629"/>
      </w:tblGrid>
      <w:tr>
        <w:trPr/>
        <w:tc>
          <w:tcPr>
            <w:tcW w:w="2434" w:type="dxa"/>
            <w:tcBorders>
              <w:top w:val="single" w:sz="4" w:space="0" w:color="000000"/>
              <w:left w:val="single" w:sz="4" w:space="0" w:color="000000"/>
              <w:bottom w:val="single" w:sz="4" w:space="0" w:color="000000"/>
            </w:tcBorders>
            <w:shd w:fill="F2F2F2" w:val="clear"/>
          </w:tcPr>
          <w:p>
            <w:pPr>
              <w:pStyle w:val="Style25"/>
              <w:widowControl w:val="false"/>
              <w:tabs>
                <w:tab w:val="clear" w:pos="720"/>
                <w:tab w:val="left" w:pos="-540" w:leader="none"/>
              </w:tabs>
              <w:spacing w:before="0" w:after="240"/>
              <w:jc w:val="left"/>
              <w:rPr>
                <w:rFonts w:ascii="Calibri" w:hAnsi="Calibri" w:cs="Calibri"/>
                <w:b/>
                <w:b/>
                <w:sz w:val="22"/>
                <w:szCs w:val="22"/>
              </w:rPr>
            </w:pPr>
            <w:r>
              <w:rPr>
                <w:rFonts w:cs="Calibri"/>
                <w:b/>
                <w:sz w:val="22"/>
                <w:szCs w:val="22"/>
              </w:rPr>
              <w:t>Χαρακτηριστικό</w:t>
            </w:r>
          </w:p>
        </w:tc>
        <w:tc>
          <w:tcPr>
            <w:tcW w:w="4353" w:type="dxa"/>
            <w:tcBorders>
              <w:top w:val="single" w:sz="4" w:space="0" w:color="000000"/>
              <w:left w:val="single" w:sz="4" w:space="0" w:color="000000"/>
              <w:bottom w:val="single" w:sz="4" w:space="0" w:color="000000"/>
            </w:tcBorders>
            <w:shd w:fill="F2F2F2" w:val="clear"/>
          </w:tcPr>
          <w:p>
            <w:pPr>
              <w:pStyle w:val="Style25"/>
              <w:widowControl w:val="false"/>
              <w:tabs>
                <w:tab w:val="clear" w:pos="720"/>
                <w:tab w:val="left" w:pos="-540" w:leader="none"/>
              </w:tabs>
              <w:spacing w:before="0" w:after="240"/>
              <w:jc w:val="left"/>
              <w:rPr>
                <w:rFonts w:ascii="Calibri" w:hAnsi="Calibri" w:cs="Calibri"/>
                <w:b/>
                <w:b/>
                <w:sz w:val="22"/>
                <w:szCs w:val="22"/>
              </w:rPr>
            </w:pPr>
            <w:r>
              <w:rPr>
                <w:rFonts w:cs="Calibri"/>
                <w:b/>
                <w:sz w:val="22"/>
                <w:szCs w:val="22"/>
              </w:rPr>
              <w:t>Απαίτηση</w:t>
            </w:r>
          </w:p>
        </w:tc>
        <w:tc>
          <w:tcPr>
            <w:tcW w:w="2629" w:type="dxa"/>
            <w:tcBorders>
              <w:top w:val="single" w:sz="4" w:space="0" w:color="000000"/>
              <w:left w:val="single" w:sz="4" w:space="0" w:color="000000"/>
              <w:bottom w:val="single" w:sz="4" w:space="0" w:color="000000"/>
              <w:right w:val="single" w:sz="4" w:space="0" w:color="000000"/>
            </w:tcBorders>
            <w:shd w:fill="F2F2F2" w:val="clear"/>
          </w:tcPr>
          <w:p>
            <w:pPr>
              <w:pStyle w:val="Style25"/>
              <w:widowControl w:val="false"/>
              <w:tabs>
                <w:tab w:val="clear" w:pos="720"/>
                <w:tab w:val="left" w:pos="-540" w:leader="none"/>
              </w:tabs>
              <w:spacing w:before="0" w:after="240"/>
              <w:jc w:val="left"/>
              <w:rPr>
                <w:rFonts w:ascii="Calibri" w:hAnsi="Calibri" w:cs="Calibri"/>
                <w:b/>
                <w:b/>
                <w:sz w:val="22"/>
                <w:szCs w:val="22"/>
              </w:rPr>
            </w:pPr>
            <w:r>
              <w:rPr>
                <w:rFonts w:cs="Calibri"/>
                <w:b/>
                <w:sz w:val="22"/>
                <w:szCs w:val="22"/>
              </w:rPr>
              <w:t>Παρατηρήσεις</w:t>
            </w:r>
          </w:p>
        </w:tc>
      </w:tr>
      <w:tr>
        <w:trPr/>
        <w:tc>
          <w:tcPr>
            <w:tcW w:w="2434" w:type="dxa"/>
            <w:tcBorders>
              <w:top w:val="single" w:sz="4" w:space="0" w:color="000000"/>
              <w:left w:val="single" w:sz="4" w:space="0" w:color="000000"/>
              <w:bottom w:val="single" w:sz="4" w:space="0" w:color="000000"/>
            </w:tcBorders>
          </w:tcPr>
          <w:p>
            <w:pPr>
              <w:pStyle w:val="Normal"/>
              <w:widowControl w:val="false"/>
              <w:snapToGrid w:val="false"/>
              <w:spacing w:before="0" w:after="120"/>
              <w:rPr>
                <w:rFonts w:ascii="Calibri" w:hAnsi="Calibri" w:cs="Calibri"/>
                <w:sz w:val="22"/>
                <w:szCs w:val="22"/>
              </w:rPr>
            </w:pPr>
            <w:r>
              <w:rPr>
                <w:rFonts w:cs="Calibri"/>
                <w:sz w:val="22"/>
                <w:szCs w:val="22"/>
              </w:rPr>
              <w:t>Διαστάσεις</w:t>
            </w:r>
          </w:p>
        </w:tc>
        <w:tc>
          <w:tcPr>
            <w:tcW w:w="4353" w:type="dxa"/>
            <w:tcBorders>
              <w:top w:val="single" w:sz="4" w:space="0" w:color="000000"/>
              <w:left w:val="single" w:sz="4" w:space="0" w:color="000000"/>
              <w:bottom w:val="single" w:sz="4" w:space="0" w:color="000000"/>
            </w:tcBorders>
          </w:tcPr>
          <w:p>
            <w:pPr>
              <w:pStyle w:val="Normal"/>
              <w:widowControl w:val="false"/>
              <w:snapToGrid w:val="false"/>
              <w:spacing w:before="0" w:after="120"/>
              <w:rPr>
                <w:rFonts w:ascii="Calibri" w:hAnsi="Calibri" w:cs="Calibri"/>
                <w:sz w:val="22"/>
                <w:szCs w:val="22"/>
              </w:rPr>
            </w:pPr>
            <w:r>
              <w:rPr>
                <w:rFonts w:cs="Calibri"/>
                <w:sz w:val="22"/>
                <w:szCs w:val="22"/>
              </w:rPr>
              <w:t>Μήκος &gt;=135, πλάτος από 180 έως 240cm</w:t>
            </w:r>
          </w:p>
        </w:tc>
        <w:tc>
          <w:tcPr>
            <w:tcW w:w="2629" w:type="dxa"/>
            <w:tcBorders>
              <w:top w:val="single" w:sz="4" w:space="0" w:color="000000"/>
              <w:left w:val="single" w:sz="4" w:space="0" w:color="000000"/>
              <w:bottom w:val="single" w:sz="4" w:space="0" w:color="000000"/>
              <w:right w:val="single" w:sz="4" w:space="0" w:color="000000"/>
            </w:tcBorders>
          </w:tcPr>
          <w:p>
            <w:pPr>
              <w:pStyle w:val="Style25"/>
              <w:widowControl w:val="false"/>
              <w:tabs>
                <w:tab w:val="clear" w:pos="720"/>
                <w:tab w:val="left" w:pos="-540" w:leader="none"/>
              </w:tabs>
              <w:snapToGrid w:val="false"/>
              <w:spacing w:before="0" w:after="240"/>
              <w:jc w:val="left"/>
              <w:rPr>
                <w:rFonts w:ascii="Calibri" w:hAnsi="Calibri" w:cs="Calibri"/>
                <w:sz w:val="22"/>
                <w:szCs w:val="22"/>
              </w:rPr>
            </w:pPr>
            <w:r>
              <w:rPr>
                <w:rFonts w:cs="Calibri"/>
                <w:sz w:val="22"/>
                <w:szCs w:val="22"/>
              </w:rPr>
            </w:r>
          </w:p>
        </w:tc>
      </w:tr>
      <w:tr>
        <w:trPr/>
        <w:tc>
          <w:tcPr>
            <w:tcW w:w="2434" w:type="dxa"/>
            <w:tcBorders>
              <w:left w:val="single" w:sz="4" w:space="0" w:color="000000"/>
              <w:bottom w:val="single" w:sz="4" w:space="0" w:color="000000"/>
            </w:tcBorders>
          </w:tcPr>
          <w:p>
            <w:pPr>
              <w:pStyle w:val="Normal"/>
              <w:widowControl w:val="false"/>
              <w:snapToGrid w:val="false"/>
              <w:spacing w:before="0" w:after="120"/>
              <w:rPr>
                <w:rFonts w:ascii="Calibri" w:hAnsi="Calibri" w:cs="Calibri"/>
                <w:sz w:val="22"/>
                <w:szCs w:val="22"/>
              </w:rPr>
            </w:pPr>
            <w:r>
              <w:rPr>
                <w:rFonts w:cs="Calibri"/>
                <w:sz w:val="22"/>
                <w:szCs w:val="22"/>
              </w:rPr>
              <w:t>Σύνθεση</w:t>
            </w:r>
          </w:p>
        </w:tc>
        <w:tc>
          <w:tcPr>
            <w:tcW w:w="4353" w:type="dxa"/>
            <w:tcBorders>
              <w:left w:val="single" w:sz="4" w:space="0" w:color="000000"/>
              <w:bottom w:val="single" w:sz="4" w:space="0" w:color="000000"/>
            </w:tcBorders>
          </w:tcPr>
          <w:p>
            <w:pPr>
              <w:pStyle w:val="Normal"/>
              <w:widowControl w:val="false"/>
              <w:snapToGrid w:val="false"/>
              <w:spacing w:before="0" w:after="120"/>
              <w:rPr>
                <w:rFonts w:ascii="Calibri" w:hAnsi="Calibri" w:cs="Calibri"/>
                <w:sz w:val="22"/>
                <w:szCs w:val="22"/>
              </w:rPr>
            </w:pPr>
            <w:r>
              <w:rPr>
                <w:rFonts w:cs="Calibri"/>
                <w:sz w:val="22"/>
                <w:szCs w:val="22"/>
              </w:rPr>
              <w:t>100% Βαμβάκι</w:t>
            </w:r>
          </w:p>
        </w:tc>
        <w:tc>
          <w:tcPr>
            <w:tcW w:w="2629" w:type="dxa"/>
            <w:tcBorders>
              <w:left w:val="single" w:sz="4" w:space="0" w:color="000000"/>
              <w:bottom w:val="single" w:sz="4" w:space="0" w:color="000000"/>
              <w:right w:val="single" w:sz="4" w:space="0" w:color="000000"/>
            </w:tcBorders>
          </w:tcPr>
          <w:p>
            <w:pPr>
              <w:pStyle w:val="Style25"/>
              <w:widowControl w:val="false"/>
              <w:tabs>
                <w:tab w:val="clear" w:pos="720"/>
                <w:tab w:val="left" w:pos="-540" w:leader="none"/>
              </w:tabs>
              <w:snapToGrid w:val="false"/>
              <w:spacing w:before="0" w:after="240"/>
              <w:jc w:val="left"/>
              <w:rPr>
                <w:rFonts w:ascii="Calibri" w:hAnsi="Calibri" w:cs="Calibri"/>
                <w:sz w:val="22"/>
                <w:szCs w:val="22"/>
              </w:rPr>
            </w:pPr>
            <w:r>
              <w:rPr>
                <w:rFonts w:cs="Calibri"/>
                <w:sz w:val="22"/>
                <w:szCs w:val="22"/>
              </w:rPr>
            </w:r>
          </w:p>
        </w:tc>
      </w:tr>
    </w:tbl>
    <w:p>
      <w:pPr>
        <w:pStyle w:val="Normal"/>
        <w:tabs>
          <w:tab w:val="clear" w:pos="720"/>
          <w:tab w:val="left" w:pos="4095" w:leader="none"/>
        </w:tabs>
        <w:rPr>
          <w:rFonts w:ascii="Calibri" w:hAnsi="Calibri" w:cs="Calibri"/>
          <w:sz w:val="22"/>
          <w:szCs w:val="22"/>
          <w:lang w:val="en-US"/>
        </w:rPr>
      </w:pPr>
      <w:r>
        <w:rPr>
          <w:rFonts w:cs="Calibri"/>
          <w:sz w:val="22"/>
          <w:szCs w:val="22"/>
          <w:lang w:val="en-US"/>
        </w:rPr>
      </w:r>
    </w:p>
    <w:p>
      <w:pPr>
        <w:pStyle w:val="Normal"/>
        <w:tabs>
          <w:tab w:val="clear" w:pos="720"/>
          <w:tab w:val="left" w:pos="4095" w:leader="none"/>
        </w:tabs>
        <w:ind w:left="1080" w:hanging="0"/>
        <w:rPr>
          <w:rFonts w:ascii="Calibri" w:hAnsi="Calibri" w:cs="Calibri"/>
          <w:b/>
          <w:b/>
        </w:rPr>
      </w:pPr>
      <w:r>
        <w:rPr>
          <w:rFonts w:cs="Calibri"/>
          <w:b/>
        </w:rPr>
        <w:t>42. Σετ πιάτα</w:t>
      </w:r>
    </w:p>
    <w:tbl>
      <w:tblPr>
        <w:tblW w:w="9416" w:type="dxa"/>
        <w:jc w:val="left"/>
        <w:tblInd w:w="-65" w:type="dxa"/>
        <w:tblLayout w:type="fixed"/>
        <w:tblCellMar>
          <w:top w:w="0" w:type="dxa"/>
          <w:left w:w="108" w:type="dxa"/>
          <w:bottom w:w="0" w:type="dxa"/>
          <w:right w:w="108" w:type="dxa"/>
        </w:tblCellMar>
      </w:tblPr>
      <w:tblGrid>
        <w:gridCol w:w="2428"/>
        <w:gridCol w:w="4370"/>
        <w:gridCol w:w="2618"/>
      </w:tblGrid>
      <w:tr>
        <w:trPr/>
        <w:tc>
          <w:tcPr>
            <w:tcW w:w="2428" w:type="dxa"/>
            <w:tcBorders>
              <w:top w:val="single" w:sz="4" w:space="0" w:color="000000"/>
              <w:left w:val="single" w:sz="4" w:space="0" w:color="000000"/>
              <w:bottom w:val="single" w:sz="4" w:space="0" w:color="000000"/>
            </w:tcBorders>
            <w:shd w:fill="F2F2F2" w:val="clear"/>
          </w:tcPr>
          <w:p>
            <w:pPr>
              <w:pStyle w:val="Style25"/>
              <w:widowControl w:val="false"/>
              <w:tabs>
                <w:tab w:val="clear" w:pos="720"/>
                <w:tab w:val="left" w:pos="-540" w:leader="none"/>
              </w:tabs>
              <w:spacing w:before="0" w:after="240"/>
              <w:jc w:val="left"/>
              <w:rPr>
                <w:rFonts w:ascii="Calibri" w:hAnsi="Calibri" w:eastAsia="Calibri" w:cs="Calibri"/>
                <w:b/>
                <w:b/>
                <w:sz w:val="22"/>
                <w:szCs w:val="22"/>
              </w:rPr>
            </w:pPr>
            <w:r>
              <w:rPr>
                <w:rFonts w:eastAsia="Calibri" w:cs="Calibri"/>
                <w:b/>
                <w:sz w:val="22"/>
                <w:szCs w:val="22"/>
              </w:rPr>
              <w:t>Χαρακτηριστικό</w:t>
            </w:r>
          </w:p>
        </w:tc>
        <w:tc>
          <w:tcPr>
            <w:tcW w:w="4370" w:type="dxa"/>
            <w:tcBorders>
              <w:top w:val="single" w:sz="4" w:space="0" w:color="000000"/>
              <w:left w:val="single" w:sz="4" w:space="0" w:color="000000"/>
              <w:bottom w:val="single" w:sz="4" w:space="0" w:color="000000"/>
            </w:tcBorders>
            <w:shd w:fill="F2F2F2" w:val="clear"/>
          </w:tcPr>
          <w:p>
            <w:pPr>
              <w:pStyle w:val="Style25"/>
              <w:widowControl w:val="false"/>
              <w:tabs>
                <w:tab w:val="clear" w:pos="720"/>
                <w:tab w:val="left" w:pos="-540" w:leader="none"/>
              </w:tabs>
              <w:spacing w:before="0" w:after="240"/>
              <w:jc w:val="left"/>
              <w:rPr>
                <w:rFonts w:ascii="Calibri" w:hAnsi="Calibri" w:eastAsia="Calibri" w:cs="Calibri"/>
                <w:b/>
                <w:b/>
                <w:sz w:val="22"/>
                <w:szCs w:val="22"/>
              </w:rPr>
            </w:pPr>
            <w:r>
              <w:rPr>
                <w:rFonts w:eastAsia="Calibri" w:cs="Calibri"/>
                <w:b/>
                <w:sz w:val="22"/>
                <w:szCs w:val="22"/>
              </w:rPr>
              <w:t>Απαίτηση</w:t>
            </w:r>
          </w:p>
        </w:tc>
        <w:tc>
          <w:tcPr>
            <w:tcW w:w="2618" w:type="dxa"/>
            <w:tcBorders>
              <w:top w:val="single" w:sz="4" w:space="0" w:color="000000"/>
              <w:left w:val="single" w:sz="4" w:space="0" w:color="000000"/>
              <w:bottom w:val="single" w:sz="4" w:space="0" w:color="000000"/>
              <w:right w:val="single" w:sz="4" w:space="0" w:color="000000"/>
            </w:tcBorders>
            <w:shd w:fill="F2F2F2" w:val="clear"/>
          </w:tcPr>
          <w:p>
            <w:pPr>
              <w:pStyle w:val="Style25"/>
              <w:widowControl w:val="false"/>
              <w:tabs>
                <w:tab w:val="clear" w:pos="720"/>
                <w:tab w:val="left" w:pos="-540" w:leader="none"/>
              </w:tabs>
              <w:spacing w:before="0" w:after="240"/>
              <w:jc w:val="left"/>
              <w:rPr>
                <w:rFonts w:ascii="Calibri" w:hAnsi="Calibri" w:eastAsia="Calibri" w:cs="Calibri"/>
                <w:b/>
                <w:b/>
                <w:sz w:val="22"/>
                <w:szCs w:val="22"/>
              </w:rPr>
            </w:pPr>
            <w:r>
              <w:rPr>
                <w:rFonts w:eastAsia="Calibri" w:cs="Calibri"/>
                <w:b/>
                <w:sz w:val="22"/>
                <w:szCs w:val="22"/>
              </w:rPr>
              <w:t>Παρατηρήσεις</w:t>
            </w:r>
          </w:p>
        </w:tc>
      </w:tr>
      <w:tr>
        <w:trPr/>
        <w:tc>
          <w:tcPr>
            <w:tcW w:w="2428" w:type="dxa"/>
            <w:tcBorders>
              <w:top w:val="single" w:sz="4" w:space="0" w:color="000000"/>
              <w:left w:val="single" w:sz="4" w:space="0" w:color="000000"/>
              <w:bottom w:val="single" w:sz="4" w:space="0" w:color="000000"/>
            </w:tcBorders>
          </w:tcPr>
          <w:p>
            <w:pPr>
              <w:pStyle w:val="Normal"/>
              <w:widowControl w:val="false"/>
              <w:snapToGrid w:val="false"/>
              <w:spacing w:before="0" w:after="120"/>
              <w:rPr>
                <w:rFonts w:ascii="Calibri" w:hAnsi="Calibri" w:cs="Calibri"/>
                <w:sz w:val="22"/>
                <w:szCs w:val="22"/>
              </w:rPr>
            </w:pPr>
            <w:r>
              <w:rPr>
                <w:rFonts w:cs="Calibri"/>
                <w:sz w:val="22"/>
                <w:szCs w:val="22"/>
              </w:rPr>
              <w:t>Τεμάχια</w:t>
            </w:r>
          </w:p>
        </w:tc>
        <w:tc>
          <w:tcPr>
            <w:tcW w:w="4370" w:type="dxa"/>
            <w:tcBorders>
              <w:top w:val="single" w:sz="4" w:space="0" w:color="000000"/>
              <w:left w:val="single" w:sz="4" w:space="0" w:color="000000"/>
              <w:bottom w:val="single" w:sz="4" w:space="0" w:color="000000"/>
            </w:tcBorders>
            <w:vAlign w:val="center"/>
          </w:tcPr>
          <w:p>
            <w:pPr>
              <w:pStyle w:val="Normal"/>
              <w:widowControl w:val="false"/>
              <w:snapToGrid w:val="false"/>
              <w:spacing w:before="0" w:after="120"/>
              <w:rPr>
                <w:rFonts w:ascii="Calibri" w:hAnsi="Calibri" w:cs="Calibri"/>
                <w:sz w:val="22"/>
                <w:szCs w:val="22"/>
              </w:rPr>
            </w:pPr>
            <w:r>
              <w:rPr>
                <w:rFonts w:cs="Calibri"/>
                <w:sz w:val="22"/>
                <w:szCs w:val="22"/>
              </w:rPr>
              <w:t>20</w:t>
            </w:r>
          </w:p>
        </w:tc>
        <w:tc>
          <w:tcPr>
            <w:tcW w:w="2618" w:type="dxa"/>
            <w:tcBorders>
              <w:top w:val="single" w:sz="4" w:space="0" w:color="000000"/>
              <w:left w:val="single" w:sz="4" w:space="0" w:color="000000"/>
              <w:bottom w:val="single" w:sz="4" w:space="0" w:color="000000"/>
              <w:right w:val="single" w:sz="4" w:space="0" w:color="000000"/>
            </w:tcBorders>
          </w:tcPr>
          <w:p>
            <w:pPr>
              <w:pStyle w:val="Style25"/>
              <w:widowControl w:val="false"/>
              <w:tabs>
                <w:tab w:val="clear" w:pos="720"/>
                <w:tab w:val="left" w:pos="-540" w:leader="none"/>
              </w:tabs>
              <w:snapToGrid w:val="false"/>
              <w:spacing w:before="0" w:after="240"/>
              <w:jc w:val="left"/>
              <w:rPr>
                <w:rFonts w:ascii="Calibri" w:hAnsi="Calibri" w:cs="Calibri"/>
                <w:sz w:val="22"/>
                <w:szCs w:val="22"/>
              </w:rPr>
            </w:pPr>
            <w:r>
              <w:rPr>
                <w:rFonts w:cs="Calibri"/>
                <w:sz w:val="22"/>
                <w:szCs w:val="22"/>
              </w:rPr>
            </w:r>
          </w:p>
        </w:tc>
      </w:tr>
      <w:tr>
        <w:trPr/>
        <w:tc>
          <w:tcPr>
            <w:tcW w:w="2428" w:type="dxa"/>
            <w:tcBorders>
              <w:top w:val="single" w:sz="4" w:space="0" w:color="000000"/>
              <w:left w:val="single" w:sz="4" w:space="0" w:color="000000"/>
              <w:bottom w:val="single" w:sz="4" w:space="0" w:color="000000"/>
            </w:tcBorders>
          </w:tcPr>
          <w:p>
            <w:pPr>
              <w:pStyle w:val="Normal"/>
              <w:widowControl w:val="false"/>
              <w:snapToGrid w:val="false"/>
              <w:spacing w:before="0" w:after="120"/>
              <w:rPr>
                <w:rFonts w:ascii="Calibri" w:hAnsi="Calibri" w:cs="Calibri"/>
                <w:sz w:val="22"/>
                <w:szCs w:val="22"/>
              </w:rPr>
            </w:pPr>
            <w:r>
              <w:rPr>
                <w:rFonts w:cs="Calibri"/>
                <w:sz w:val="22"/>
                <w:szCs w:val="22"/>
              </w:rPr>
              <w:t>Ρηχά πιάτα φαγητού</w:t>
            </w:r>
          </w:p>
        </w:tc>
        <w:tc>
          <w:tcPr>
            <w:tcW w:w="4370" w:type="dxa"/>
            <w:tcBorders>
              <w:top w:val="single" w:sz="4" w:space="0" w:color="000000"/>
              <w:left w:val="single" w:sz="4" w:space="0" w:color="000000"/>
              <w:bottom w:val="single" w:sz="4" w:space="0" w:color="000000"/>
            </w:tcBorders>
            <w:vAlign w:val="center"/>
          </w:tcPr>
          <w:p>
            <w:pPr>
              <w:pStyle w:val="Normal"/>
              <w:widowControl w:val="false"/>
              <w:snapToGrid w:val="false"/>
              <w:spacing w:before="0" w:after="120"/>
              <w:rPr>
                <w:rFonts w:ascii="Calibri" w:hAnsi="Calibri" w:cs="Calibri"/>
                <w:sz w:val="22"/>
                <w:szCs w:val="22"/>
              </w:rPr>
            </w:pPr>
            <w:r>
              <w:rPr>
                <w:rFonts w:cs="Calibri"/>
                <w:sz w:val="22"/>
                <w:szCs w:val="22"/>
              </w:rPr>
              <w:t>6</w:t>
            </w:r>
          </w:p>
        </w:tc>
        <w:tc>
          <w:tcPr>
            <w:tcW w:w="2618" w:type="dxa"/>
            <w:tcBorders>
              <w:top w:val="single" w:sz="4" w:space="0" w:color="000000"/>
              <w:left w:val="single" w:sz="4" w:space="0" w:color="000000"/>
              <w:bottom w:val="single" w:sz="4" w:space="0" w:color="000000"/>
              <w:right w:val="single" w:sz="4" w:space="0" w:color="000000"/>
            </w:tcBorders>
          </w:tcPr>
          <w:p>
            <w:pPr>
              <w:pStyle w:val="Style25"/>
              <w:widowControl w:val="false"/>
              <w:tabs>
                <w:tab w:val="clear" w:pos="720"/>
                <w:tab w:val="left" w:pos="-540" w:leader="none"/>
              </w:tabs>
              <w:snapToGrid w:val="false"/>
              <w:spacing w:before="0" w:after="240"/>
              <w:jc w:val="left"/>
              <w:rPr>
                <w:rFonts w:ascii="Calibri" w:hAnsi="Calibri" w:cs="Calibri"/>
                <w:sz w:val="22"/>
                <w:szCs w:val="22"/>
              </w:rPr>
            </w:pPr>
            <w:r>
              <w:rPr>
                <w:rFonts w:cs="Calibri"/>
                <w:sz w:val="22"/>
                <w:szCs w:val="22"/>
              </w:rPr>
            </w:r>
          </w:p>
        </w:tc>
      </w:tr>
      <w:tr>
        <w:trPr/>
        <w:tc>
          <w:tcPr>
            <w:tcW w:w="2428" w:type="dxa"/>
            <w:tcBorders>
              <w:top w:val="single" w:sz="4" w:space="0" w:color="000000"/>
              <w:left w:val="single" w:sz="4" w:space="0" w:color="000000"/>
              <w:bottom w:val="single" w:sz="4" w:space="0" w:color="000000"/>
            </w:tcBorders>
          </w:tcPr>
          <w:p>
            <w:pPr>
              <w:pStyle w:val="Normal"/>
              <w:widowControl w:val="false"/>
              <w:snapToGrid w:val="false"/>
              <w:spacing w:before="0" w:after="120"/>
              <w:rPr>
                <w:rFonts w:ascii="Calibri" w:hAnsi="Calibri" w:cs="Calibri"/>
                <w:sz w:val="22"/>
                <w:szCs w:val="22"/>
              </w:rPr>
            </w:pPr>
            <w:r>
              <w:rPr>
                <w:rFonts w:cs="Calibri"/>
                <w:sz w:val="22"/>
                <w:szCs w:val="22"/>
              </w:rPr>
              <w:t>Βαθιά πιάτα φαγητού</w:t>
            </w:r>
          </w:p>
        </w:tc>
        <w:tc>
          <w:tcPr>
            <w:tcW w:w="4370" w:type="dxa"/>
            <w:tcBorders>
              <w:top w:val="single" w:sz="4" w:space="0" w:color="000000"/>
              <w:left w:val="single" w:sz="4" w:space="0" w:color="000000"/>
              <w:bottom w:val="single" w:sz="4" w:space="0" w:color="000000"/>
            </w:tcBorders>
            <w:vAlign w:val="center"/>
          </w:tcPr>
          <w:p>
            <w:pPr>
              <w:pStyle w:val="Normal"/>
              <w:widowControl w:val="false"/>
              <w:snapToGrid w:val="false"/>
              <w:spacing w:before="0" w:after="120"/>
              <w:rPr>
                <w:rFonts w:ascii="Calibri" w:hAnsi="Calibri" w:cs="Calibri"/>
                <w:sz w:val="22"/>
                <w:szCs w:val="22"/>
              </w:rPr>
            </w:pPr>
            <w:r>
              <w:rPr>
                <w:rFonts w:cs="Calibri"/>
                <w:sz w:val="22"/>
                <w:szCs w:val="22"/>
              </w:rPr>
              <w:t>6</w:t>
            </w:r>
          </w:p>
        </w:tc>
        <w:tc>
          <w:tcPr>
            <w:tcW w:w="2618" w:type="dxa"/>
            <w:tcBorders>
              <w:top w:val="single" w:sz="4" w:space="0" w:color="000000"/>
              <w:left w:val="single" w:sz="4" w:space="0" w:color="000000"/>
              <w:bottom w:val="single" w:sz="4" w:space="0" w:color="000000"/>
              <w:right w:val="single" w:sz="4" w:space="0" w:color="000000"/>
            </w:tcBorders>
          </w:tcPr>
          <w:p>
            <w:pPr>
              <w:pStyle w:val="Style25"/>
              <w:widowControl w:val="false"/>
              <w:tabs>
                <w:tab w:val="clear" w:pos="720"/>
                <w:tab w:val="left" w:pos="-540" w:leader="none"/>
              </w:tabs>
              <w:snapToGrid w:val="false"/>
              <w:spacing w:before="0" w:after="240"/>
              <w:jc w:val="left"/>
              <w:rPr>
                <w:rFonts w:ascii="Calibri" w:hAnsi="Calibri" w:cs="Calibri"/>
                <w:sz w:val="22"/>
                <w:szCs w:val="22"/>
              </w:rPr>
            </w:pPr>
            <w:r>
              <w:rPr>
                <w:rFonts w:cs="Calibri"/>
                <w:sz w:val="22"/>
                <w:szCs w:val="22"/>
              </w:rPr>
            </w:r>
          </w:p>
        </w:tc>
      </w:tr>
      <w:tr>
        <w:trPr/>
        <w:tc>
          <w:tcPr>
            <w:tcW w:w="2428" w:type="dxa"/>
            <w:tcBorders>
              <w:top w:val="single" w:sz="4" w:space="0" w:color="000000"/>
              <w:left w:val="single" w:sz="4" w:space="0" w:color="000000"/>
              <w:bottom w:val="single" w:sz="4" w:space="0" w:color="000000"/>
            </w:tcBorders>
          </w:tcPr>
          <w:p>
            <w:pPr>
              <w:pStyle w:val="Normal"/>
              <w:widowControl w:val="false"/>
              <w:snapToGrid w:val="false"/>
              <w:spacing w:before="0" w:after="120"/>
              <w:rPr>
                <w:rFonts w:ascii="Calibri" w:hAnsi="Calibri" w:cs="Calibri"/>
                <w:sz w:val="22"/>
                <w:szCs w:val="22"/>
              </w:rPr>
            </w:pPr>
            <w:r>
              <w:rPr>
                <w:rFonts w:cs="Calibri"/>
                <w:sz w:val="22"/>
                <w:szCs w:val="22"/>
              </w:rPr>
              <w:t>Πιάτα φρούτου</w:t>
            </w:r>
          </w:p>
        </w:tc>
        <w:tc>
          <w:tcPr>
            <w:tcW w:w="4370" w:type="dxa"/>
            <w:tcBorders>
              <w:top w:val="single" w:sz="4" w:space="0" w:color="000000"/>
              <w:left w:val="single" w:sz="4" w:space="0" w:color="000000"/>
              <w:bottom w:val="single" w:sz="4" w:space="0" w:color="000000"/>
            </w:tcBorders>
            <w:vAlign w:val="center"/>
          </w:tcPr>
          <w:p>
            <w:pPr>
              <w:pStyle w:val="Normal"/>
              <w:widowControl w:val="false"/>
              <w:snapToGrid w:val="false"/>
              <w:spacing w:before="0" w:after="120"/>
              <w:rPr>
                <w:rFonts w:ascii="Calibri" w:hAnsi="Calibri" w:cs="Calibri"/>
                <w:sz w:val="22"/>
                <w:szCs w:val="22"/>
              </w:rPr>
            </w:pPr>
            <w:r>
              <w:rPr>
                <w:rFonts w:cs="Calibri"/>
                <w:sz w:val="22"/>
                <w:szCs w:val="22"/>
              </w:rPr>
              <w:t>6</w:t>
            </w:r>
          </w:p>
        </w:tc>
        <w:tc>
          <w:tcPr>
            <w:tcW w:w="2618" w:type="dxa"/>
            <w:tcBorders>
              <w:top w:val="single" w:sz="4" w:space="0" w:color="000000"/>
              <w:left w:val="single" w:sz="4" w:space="0" w:color="000000"/>
              <w:bottom w:val="single" w:sz="4" w:space="0" w:color="000000"/>
              <w:right w:val="single" w:sz="4" w:space="0" w:color="000000"/>
            </w:tcBorders>
          </w:tcPr>
          <w:p>
            <w:pPr>
              <w:pStyle w:val="Style25"/>
              <w:widowControl w:val="false"/>
              <w:tabs>
                <w:tab w:val="clear" w:pos="720"/>
                <w:tab w:val="left" w:pos="-540" w:leader="none"/>
              </w:tabs>
              <w:snapToGrid w:val="false"/>
              <w:spacing w:before="0" w:after="240"/>
              <w:jc w:val="left"/>
              <w:rPr>
                <w:rFonts w:ascii="Calibri" w:hAnsi="Calibri" w:cs="Calibri"/>
                <w:sz w:val="22"/>
                <w:szCs w:val="22"/>
              </w:rPr>
            </w:pPr>
            <w:r>
              <w:rPr>
                <w:rFonts w:cs="Calibri"/>
                <w:sz w:val="22"/>
                <w:szCs w:val="22"/>
              </w:rPr>
            </w:r>
          </w:p>
        </w:tc>
      </w:tr>
      <w:tr>
        <w:trPr/>
        <w:tc>
          <w:tcPr>
            <w:tcW w:w="2428" w:type="dxa"/>
            <w:tcBorders>
              <w:top w:val="single" w:sz="4" w:space="0" w:color="000000"/>
              <w:left w:val="single" w:sz="4" w:space="0" w:color="000000"/>
              <w:bottom w:val="single" w:sz="4" w:space="0" w:color="000000"/>
            </w:tcBorders>
          </w:tcPr>
          <w:p>
            <w:pPr>
              <w:pStyle w:val="Normal"/>
              <w:widowControl w:val="false"/>
              <w:snapToGrid w:val="false"/>
              <w:spacing w:before="0" w:after="120"/>
              <w:rPr>
                <w:rFonts w:ascii="Calibri" w:hAnsi="Calibri" w:cs="Calibri"/>
                <w:sz w:val="22"/>
                <w:szCs w:val="22"/>
              </w:rPr>
            </w:pPr>
            <w:r>
              <w:rPr>
                <w:rFonts w:cs="Calibri"/>
                <w:sz w:val="22"/>
                <w:szCs w:val="22"/>
              </w:rPr>
              <w:t>Σαλατιέρα</w:t>
            </w:r>
          </w:p>
        </w:tc>
        <w:tc>
          <w:tcPr>
            <w:tcW w:w="4370" w:type="dxa"/>
            <w:tcBorders>
              <w:top w:val="single" w:sz="4" w:space="0" w:color="000000"/>
              <w:left w:val="single" w:sz="4" w:space="0" w:color="000000"/>
              <w:bottom w:val="single" w:sz="4" w:space="0" w:color="000000"/>
            </w:tcBorders>
            <w:vAlign w:val="center"/>
          </w:tcPr>
          <w:p>
            <w:pPr>
              <w:pStyle w:val="Normal"/>
              <w:widowControl w:val="false"/>
              <w:snapToGrid w:val="false"/>
              <w:spacing w:before="0" w:after="120"/>
              <w:rPr>
                <w:rFonts w:ascii="Calibri" w:hAnsi="Calibri" w:cs="Calibri"/>
                <w:sz w:val="22"/>
                <w:szCs w:val="22"/>
              </w:rPr>
            </w:pPr>
            <w:r>
              <w:rPr>
                <w:rFonts w:cs="Calibri"/>
                <w:sz w:val="22"/>
                <w:szCs w:val="22"/>
              </w:rPr>
              <w:t>1</w:t>
            </w:r>
          </w:p>
        </w:tc>
        <w:tc>
          <w:tcPr>
            <w:tcW w:w="2618" w:type="dxa"/>
            <w:tcBorders>
              <w:top w:val="single" w:sz="4" w:space="0" w:color="000000"/>
              <w:left w:val="single" w:sz="4" w:space="0" w:color="000000"/>
              <w:bottom w:val="single" w:sz="4" w:space="0" w:color="000000"/>
              <w:right w:val="single" w:sz="4" w:space="0" w:color="000000"/>
            </w:tcBorders>
          </w:tcPr>
          <w:p>
            <w:pPr>
              <w:pStyle w:val="Style25"/>
              <w:widowControl w:val="false"/>
              <w:tabs>
                <w:tab w:val="clear" w:pos="720"/>
                <w:tab w:val="left" w:pos="-540" w:leader="none"/>
              </w:tabs>
              <w:snapToGrid w:val="false"/>
              <w:spacing w:before="0" w:after="240"/>
              <w:jc w:val="left"/>
              <w:rPr>
                <w:rFonts w:ascii="Calibri" w:hAnsi="Calibri" w:cs="Calibri"/>
                <w:sz w:val="22"/>
                <w:szCs w:val="22"/>
              </w:rPr>
            </w:pPr>
            <w:r>
              <w:rPr>
                <w:rFonts w:cs="Calibri"/>
                <w:sz w:val="22"/>
                <w:szCs w:val="22"/>
              </w:rPr>
            </w:r>
          </w:p>
        </w:tc>
      </w:tr>
      <w:tr>
        <w:trPr/>
        <w:tc>
          <w:tcPr>
            <w:tcW w:w="2428" w:type="dxa"/>
            <w:tcBorders>
              <w:top w:val="single" w:sz="4" w:space="0" w:color="000000"/>
              <w:left w:val="single" w:sz="4" w:space="0" w:color="000000"/>
              <w:bottom w:val="single" w:sz="4" w:space="0" w:color="000000"/>
            </w:tcBorders>
          </w:tcPr>
          <w:p>
            <w:pPr>
              <w:pStyle w:val="Normal"/>
              <w:widowControl w:val="false"/>
              <w:snapToGrid w:val="false"/>
              <w:spacing w:before="0" w:after="120"/>
              <w:rPr>
                <w:rFonts w:ascii="Calibri" w:hAnsi="Calibri" w:cs="Calibri"/>
                <w:sz w:val="22"/>
                <w:szCs w:val="22"/>
              </w:rPr>
            </w:pPr>
            <w:r>
              <w:rPr>
                <w:rFonts w:cs="Calibri"/>
                <w:sz w:val="22"/>
                <w:szCs w:val="22"/>
              </w:rPr>
              <w:t>Πιατέλα</w:t>
            </w:r>
          </w:p>
        </w:tc>
        <w:tc>
          <w:tcPr>
            <w:tcW w:w="4370" w:type="dxa"/>
            <w:tcBorders>
              <w:top w:val="single" w:sz="4" w:space="0" w:color="000000"/>
              <w:left w:val="single" w:sz="4" w:space="0" w:color="000000"/>
              <w:bottom w:val="single" w:sz="4" w:space="0" w:color="000000"/>
            </w:tcBorders>
            <w:vAlign w:val="center"/>
          </w:tcPr>
          <w:p>
            <w:pPr>
              <w:pStyle w:val="Normal"/>
              <w:widowControl w:val="false"/>
              <w:snapToGrid w:val="false"/>
              <w:spacing w:before="0" w:after="120"/>
              <w:rPr>
                <w:rFonts w:ascii="Calibri" w:hAnsi="Calibri" w:cs="Calibri"/>
                <w:sz w:val="22"/>
                <w:szCs w:val="22"/>
              </w:rPr>
            </w:pPr>
            <w:r>
              <w:rPr>
                <w:rFonts w:cs="Calibri"/>
                <w:sz w:val="22"/>
                <w:szCs w:val="22"/>
              </w:rPr>
              <w:t>1</w:t>
            </w:r>
          </w:p>
        </w:tc>
        <w:tc>
          <w:tcPr>
            <w:tcW w:w="2618" w:type="dxa"/>
            <w:tcBorders>
              <w:top w:val="single" w:sz="4" w:space="0" w:color="000000"/>
              <w:left w:val="single" w:sz="4" w:space="0" w:color="000000"/>
              <w:bottom w:val="single" w:sz="4" w:space="0" w:color="000000"/>
              <w:right w:val="single" w:sz="4" w:space="0" w:color="000000"/>
            </w:tcBorders>
          </w:tcPr>
          <w:p>
            <w:pPr>
              <w:pStyle w:val="Style25"/>
              <w:widowControl w:val="false"/>
              <w:tabs>
                <w:tab w:val="clear" w:pos="720"/>
                <w:tab w:val="left" w:pos="-540" w:leader="none"/>
              </w:tabs>
              <w:snapToGrid w:val="false"/>
              <w:spacing w:before="0" w:after="240"/>
              <w:jc w:val="left"/>
              <w:rPr>
                <w:rFonts w:ascii="Calibri" w:hAnsi="Calibri" w:cs="Calibri"/>
                <w:sz w:val="22"/>
                <w:szCs w:val="22"/>
              </w:rPr>
            </w:pPr>
            <w:r>
              <w:rPr>
                <w:rFonts w:cs="Calibri"/>
                <w:sz w:val="22"/>
                <w:szCs w:val="22"/>
              </w:rPr>
            </w:r>
          </w:p>
        </w:tc>
      </w:tr>
      <w:tr>
        <w:trPr/>
        <w:tc>
          <w:tcPr>
            <w:tcW w:w="2428" w:type="dxa"/>
            <w:tcBorders>
              <w:top w:val="single" w:sz="4" w:space="0" w:color="000000"/>
              <w:left w:val="single" w:sz="4" w:space="0" w:color="000000"/>
              <w:bottom w:val="single" w:sz="4" w:space="0" w:color="000000"/>
            </w:tcBorders>
          </w:tcPr>
          <w:p>
            <w:pPr>
              <w:pStyle w:val="Normal"/>
              <w:widowControl w:val="false"/>
              <w:snapToGrid w:val="false"/>
              <w:spacing w:before="0" w:after="120"/>
              <w:rPr>
                <w:rFonts w:ascii="Calibri" w:hAnsi="Calibri" w:cs="Calibri"/>
                <w:sz w:val="22"/>
                <w:szCs w:val="22"/>
              </w:rPr>
            </w:pPr>
            <w:r>
              <w:rPr>
                <w:rFonts w:cs="Calibri"/>
                <w:sz w:val="22"/>
                <w:szCs w:val="22"/>
              </w:rPr>
              <w:t>Υλικό</w:t>
            </w:r>
          </w:p>
        </w:tc>
        <w:tc>
          <w:tcPr>
            <w:tcW w:w="4370" w:type="dxa"/>
            <w:tcBorders>
              <w:top w:val="single" w:sz="4" w:space="0" w:color="000000"/>
              <w:left w:val="single" w:sz="4" w:space="0" w:color="000000"/>
              <w:bottom w:val="single" w:sz="4" w:space="0" w:color="000000"/>
            </w:tcBorders>
            <w:vAlign w:val="center"/>
          </w:tcPr>
          <w:p>
            <w:pPr>
              <w:pStyle w:val="Normal"/>
              <w:widowControl w:val="false"/>
              <w:snapToGrid w:val="false"/>
              <w:spacing w:before="0" w:after="120"/>
              <w:rPr>
                <w:rFonts w:ascii="Calibri" w:hAnsi="Calibri" w:cs="Calibri"/>
                <w:sz w:val="22"/>
                <w:szCs w:val="22"/>
              </w:rPr>
            </w:pPr>
            <w:r>
              <w:rPr>
                <w:rFonts w:cs="Calibri"/>
                <w:sz w:val="22"/>
                <w:szCs w:val="22"/>
              </w:rPr>
              <w:t>Πορσελάνη</w:t>
            </w:r>
          </w:p>
        </w:tc>
        <w:tc>
          <w:tcPr>
            <w:tcW w:w="2618" w:type="dxa"/>
            <w:tcBorders>
              <w:top w:val="single" w:sz="4" w:space="0" w:color="000000"/>
              <w:left w:val="single" w:sz="4" w:space="0" w:color="000000"/>
              <w:bottom w:val="single" w:sz="4" w:space="0" w:color="000000"/>
              <w:right w:val="single" w:sz="4" w:space="0" w:color="000000"/>
            </w:tcBorders>
          </w:tcPr>
          <w:p>
            <w:pPr>
              <w:pStyle w:val="Style25"/>
              <w:widowControl w:val="false"/>
              <w:tabs>
                <w:tab w:val="clear" w:pos="720"/>
                <w:tab w:val="left" w:pos="-540" w:leader="none"/>
              </w:tabs>
              <w:snapToGrid w:val="false"/>
              <w:spacing w:before="0" w:after="240"/>
              <w:jc w:val="left"/>
              <w:rPr>
                <w:rFonts w:ascii="Calibri" w:hAnsi="Calibri" w:cs="Calibri"/>
                <w:sz w:val="22"/>
                <w:szCs w:val="22"/>
              </w:rPr>
            </w:pPr>
            <w:r>
              <w:rPr>
                <w:rFonts w:cs="Calibri"/>
                <w:sz w:val="22"/>
                <w:szCs w:val="22"/>
              </w:rPr>
            </w:r>
          </w:p>
        </w:tc>
      </w:tr>
    </w:tbl>
    <w:p>
      <w:pPr>
        <w:pStyle w:val="Normal"/>
        <w:tabs>
          <w:tab w:val="clear" w:pos="720"/>
          <w:tab w:val="left" w:pos="4095" w:leader="none"/>
        </w:tabs>
        <w:rPr>
          <w:rFonts w:ascii="Calibri" w:hAnsi="Calibri" w:cs="Calibri"/>
          <w:sz w:val="22"/>
          <w:szCs w:val="22"/>
        </w:rPr>
      </w:pPr>
      <w:r>
        <w:rPr>
          <w:rFonts w:cs="Calibri"/>
          <w:sz w:val="22"/>
          <w:szCs w:val="22"/>
        </w:rPr>
      </w:r>
    </w:p>
    <w:p>
      <w:pPr>
        <w:pStyle w:val="Normal"/>
        <w:tabs>
          <w:tab w:val="clear" w:pos="720"/>
          <w:tab w:val="left" w:pos="4800" w:leader="none"/>
        </w:tabs>
        <w:ind w:left="1077" w:hanging="0"/>
        <w:rPr>
          <w:rFonts w:ascii="Calibri" w:hAnsi="Calibri" w:cs="Calibri"/>
          <w:b/>
          <w:b/>
        </w:rPr>
      </w:pPr>
      <w:r>
        <w:rPr>
          <w:rFonts w:cs="Calibri"/>
          <w:b/>
        </w:rPr>
        <w:t>43. Σετ Ποτήρια νερού</w:t>
      </w:r>
    </w:p>
    <w:tbl>
      <w:tblPr>
        <w:tblW w:w="9416" w:type="dxa"/>
        <w:jc w:val="left"/>
        <w:tblInd w:w="-65" w:type="dxa"/>
        <w:tblLayout w:type="fixed"/>
        <w:tblCellMar>
          <w:top w:w="0" w:type="dxa"/>
          <w:left w:w="108" w:type="dxa"/>
          <w:bottom w:w="0" w:type="dxa"/>
          <w:right w:w="108" w:type="dxa"/>
        </w:tblCellMar>
      </w:tblPr>
      <w:tblGrid>
        <w:gridCol w:w="2434"/>
        <w:gridCol w:w="4353"/>
        <w:gridCol w:w="2629"/>
      </w:tblGrid>
      <w:tr>
        <w:trPr/>
        <w:tc>
          <w:tcPr>
            <w:tcW w:w="2434" w:type="dxa"/>
            <w:tcBorders>
              <w:top w:val="single" w:sz="4" w:space="0" w:color="000000"/>
              <w:left w:val="single" w:sz="4" w:space="0" w:color="000000"/>
              <w:bottom w:val="single" w:sz="4" w:space="0" w:color="000000"/>
            </w:tcBorders>
            <w:shd w:fill="F2F2F2" w:val="clear"/>
          </w:tcPr>
          <w:p>
            <w:pPr>
              <w:pStyle w:val="Style25"/>
              <w:widowControl w:val="false"/>
              <w:tabs>
                <w:tab w:val="clear" w:pos="720"/>
                <w:tab w:val="left" w:pos="-540" w:leader="none"/>
              </w:tabs>
              <w:spacing w:before="0" w:after="240"/>
              <w:jc w:val="left"/>
              <w:rPr>
                <w:rFonts w:ascii="Calibri" w:hAnsi="Calibri" w:eastAsia="Calibri" w:cs="Calibri"/>
                <w:b/>
                <w:b/>
                <w:sz w:val="22"/>
                <w:szCs w:val="22"/>
              </w:rPr>
            </w:pPr>
            <w:r>
              <w:rPr>
                <w:rFonts w:eastAsia="Calibri" w:cs="Calibri"/>
                <w:b/>
                <w:sz w:val="22"/>
                <w:szCs w:val="22"/>
              </w:rPr>
              <w:t>Χαρακτηριστικό</w:t>
            </w:r>
          </w:p>
        </w:tc>
        <w:tc>
          <w:tcPr>
            <w:tcW w:w="4353" w:type="dxa"/>
            <w:tcBorders>
              <w:top w:val="single" w:sz="4" w:space="0" w:color="000000"/>
              <w:left w:val="single" w:sz="4" w:space="0" w:color="000000"/>
              <w:bottom w:val="single" w:sz="4" w:space="0" w:color="000000"/>
            </w:tcBorders>
            <w:shd w:fill="F2F2F2" w:val="clear"/>
          </w:tcPr>
          <w:p>
            <w:pPr>
              <w:pStyle w:val="Style25"/>
              <w:widowControl w:val="false"/>
              <w:tabs>
                <w:tab w:val="clear" w:pos="720"/>
                <w:tab w:val="left" w:pos="-540" w:leader="none"/>
              </w:tabs>
              <w:spacing w:before="0" w:after="240"/>
              <w:jc w:val="left"/>
              <w:rPr>
                <w:rFonts w:ascii="Calibri" w:hAnsi="Calibri" w:eastAsia="Calibri" w:cs="Calibri"/>
                <w:b/>
                <w:b/>
                <w:sz w:val="22"/>
                <w:szCs w:val="22"/>
              </w:rPr>
            </w:pPr>
            <w:r>
              <w:rPr>
                <w:rFonts w:eastAsia="Calibri" w:cs="Calibri"/>
                <w:b/>
                <w:sz w:val="22"/>
                <w:szCs w:val="22"/>
              </w:rPr>
              <w:t>Απαίτηση</w:t>
            </w:r>
          </w:p>
        </w:tc>
        <w:tc>
          <w:tcPr>
            <w:tcW w:w="2629" w:type="dxa"/>
            <w:tcBorders>
              <w:top w:val="single" w:sz="4" w:space="0" w:color="000000"/>
              <w:left w:val="single" w:sz="4" w:space="0" w:color="000000"/>
              <w:bottom w:val="single" w:sz="4" w:space="0" w:color="000000"/>
              <w:right w:val="single" w:sz="4" w:space="0" w:color="000000"/>
            </w:tcBorders>
            <w:shd w:fill="F2F2F2" w:val="clear"/>
          </w:tcPr>
          <w:p>
            <w:pPr>
              <w:pStyle w:val="Style25"/>
              <w:widowControl w:val="false"/>
              <w:tabs>
                <w:tab w:val="clear" w:pos="720"/>
                <w:tab w:val="left" w:pos="-540" w:leader="none"/>
              </w:tabs>
              <w:spacing w:before="0" w:after="240"/>
              <w:jc w:val="left"/>
              <w:rPr>
                <w:rFonts w:ascii="Calibri" w:hAnsi="Calibri" w:eastAsia="Calibri" w:cs="Calibri"/>
                <w:b/>
                <w:b/>
                <w:sz w:val="22"/>
                <w:szCs w:val="22"/>
              </w:rPr>
            </w:pPr>
            <w:r>
              <w:rPr>
                <w:rFonts w:eastAsia="Calibri" w:cs="Calibri"/>
                <w:b/>
                <w:sz w:val="22"/>
                <w:szCs w:val="22"/>
              </w:rPr>
              <w:t>Παρατηρήσεις</w:t>
            </w:r>
          </w:p>
        </w:tc>
      </w:tr>
      <w:tr>
        <w:trPr/>
        <w:tc>
          <w:tcPr>
            <w:tcW w:w="2434" w:type="dxa"/>
            <w:tcBorders>
              <w:top w:val="single" w:sz="4" w:space="0" w:color="000000"/>
              <w:left w:val="single" w:sz="4" w:space="0" w:color="000000"/>
              <w:bottom w:val="single" w:sz="4" w:space="0" w:color="000000"/>
            </w:tcBorders>
          </w:tcPr>
          <w:p>
            <w:pPr>
              <w:pStyle w:val="Normal"/>
              <w:widowControl w:val="false"/>
              <w:snapToGrid w:val="false"/>
              <w:spacing w:before="0" w:after="120"/>
              <w:rPr>
                <w:rFonts w:ascii="Calibri" w:hAnsi="Calibri" w:cs="Calibri"/>
                <w:sz w:val="22"/>
                <w:szCs w:val="22"/>
              </w:rPr>
            </w:pPr>
            <w:r>
              <w:rPr>
                <w:rFonts w:cs="Calibri"/>
                <w:sz w:val="22"/>
                <w:szCs w:val="22"/>
              </w:rPr>
              <w:t>Τεμάχια</w:t>
            </w:r>
          </w:p>
        </w:tc>
        <w:tc>
          <w:tcPr>
            <w:tcW w:w="4353" w:type="dxa"/>
            <w:tcBorders>
              <w:top w:val="single" w:sz="4" w:space="0" w:color="000000"/>
              <w:left w:val="single" w:sz="4" w:space="0" w:color="000000"/>
              <w:bottom w:val="single" w:sz="4" w:space="0" w:color="000000"/>
            </w:tcBorders>
          </w:tcPr>
          <w:p>
            <w:pPr>
              <w:pStyle w:val="Normal"/>
              <w:widowControl w:val="false"/>
              <w:snapToGrid w:val="false"/>
              <w:spacing w:before="0" w:after="120"/>
              <w:rPr>
                <w:rFonts w:ascii="Calibri" w:hAnsi="Calibri" w:cs="Calibri"/>
                <w:sz w:val="22"/>
                <w:szCs w:val="22"/>
              </w:rPr>
            </w:pPr>
            <w:r>
              <w:rPr>
                <w:rFonts w:cs="Calibri"/>
                <w:sz w:val="22"/>
                <w:szCs w:val="22"/>
              </w:rPr>
              <w:t>6</w:t>
            </w:r>
          </w:p>
        </w:tc>
        <w:tc>
          <w:tcPr>
            <w:tcW w:w="2629" w:type="dxa"/>
            <w:tcBorders>
              <w:top w:val="single" w:sz="4" w:space="0" w:color="000000"/>
              <w:left w:val="single" w:sz="4" w:space="0" w:color="000000"/>
              <w:bottom w:val="single" w:sz="4" w:space="0" w:color="000000"/>
              <w:right w:val="single" w:sz="4" w:space="0" w:color="000000"/>
            </w:tcBorders>
          </w:tcPr>
          <w:p>
            <w:pPr>
              <w:pStyle w:val="Style25"/>
              <w:widowControl w:val="false"/>
              <w:tabs>
                <w:tab w:val="clear" w:pos="720"/>
                <w:tab w:val="left" w:pos="-540" w:leader="none"/>
              </w:tabs>
              <w:snapToGrid w:val="false"/>
              <w:spacing w:before="0" w:after="240"/>
              <w:jc w:val="left"/>
              <w:rPr>
                <w:rFonts w:ascii="Calibri" w:hAnsi="Calibri" w:cs="Calibri"/>
                <w:sz w:val="22"/>
                <w:szCs w:val="22"/>
              </w:rPr>
            </w:pPr>
            <w:r>
              <w:rPr>
                <w:rFonts w:cs="Calibri"/>
                <w:sz w:val="22"/>
                <w:szCs w:val="22"/>
              </w:rPr>
            </w:r>
          </w:p>
        </w:tc>
      </w:tr>
      <w:tr>
        <w:trPr/>
        <w:tc>
          <w:tcPr>
            <w:tcW w:w="2434" w:type="dxa"/>
            <w:tcBorders>
              <w:left w:val="single" w:sz="4" w:space="0" w:color="000000"/>
              <w:bottom w:val="single" w:sz="4" w:space="0" w:color="000000"/>
            </w:tcBorders>
          </w:tcPr>
          <w:p>
            <w:pPr>
              <w:pStyle w:val="Normal"/>
              <w:widowControl w:val="false"/>
              <w:snapToGrid w:val="false"/>
              <w:spacing w:before="0" w:after="120"/>
              <w:rPr>
                <w:rFonts w:ascii="Calibri" w:hAnsi="Calibri" w:cs="Calibri"/>
                <w:sz w:val="22"/>
                <w:szCs w:val="22"/>
              </w:rPr>
            </w:pPr>
            <w:r>
              <w:rPr>
                <w:rFonts w:cs="Calibri"/>
                <w:sz w:val="22"/>
                <w:szCs w:val="22"/>
              </w:rPr>
              <w:t>Χωρητικότητα</w:t>
            </w:r>
          </w:p>
        </w:tc>
        <w:tc>
          <w:tcPr>
            <w:tcW w:w="4353" w:type="dxa"/>
            <w:tcBorders>
              <w:left w:val="single" w:sz="4" w:space="0" w:color="000000"/>
              <w:bottom w:val="single" w:sz="4" w:space="0" w:color="000000"/>
            </w:tcBorders>
          </w:tcPr>
          <w:p>
            <w:pPr>
              <w:pStyle w:val="Normal"/>
              <w:widowControl w:val="false"/>
              <w:snapToGrid w:val="false"/>
              <w:spacing w:before="0" w:after="120"/>
              <w:rPr/>
            </w:pPr>
            <w:r>
              <w:rPr>
                <w:rFonts w:cs="Calibri"/>
                <w:sz w:val="22"/>
                <w:szCs w:val="22"/>
              </w:rPr>
              <w:t>Τουλάχιστον 250</w:t>
            </w:r>
            <w:r>
              <w:rPr>
                <w:rFonts w:cs="Calibri"/>
                <w:sz w:val="22"/>
                <w:szCs w:val="22"/>
                <w:lang w:val="en-US"/>
              </w:rPr>
              <w:t>ml</w:t>
            </w:r>
          </w:p>
        </w:tc>
        <w:tc>
          <w:tcPr>
            <w:tcW w:w="2629" w:type="dxa"/>
            <w:tcBorders>
              <w:left w:val="single" w:sz="4" w:space="0" w:color="000000"/>
              <w:bottom w:val="single" w:sz="4" w:space="0" w:color="000000"/>
              <w:right w:val="single" w:sz="4" w:space="0" w:color="000000"/>
            </w:tcBorders>
          </w:tcPr>
          <w:p>
            <w:pPr>
              <w:pStyle w:val="Style25"/>
              <w:widowControl w:val="false"/>
              <w:tabs>
                <w:tab w:val="clear" w:pos="720"/>
                <w:tab w:val="left" w:pos="-540" w:leader="none"/>
              </w:tabs>
              <w:snapToGrid w:val="false"/>
              <w:spacing w:before="0" w:after="240"/>
              <w:jc w:val="left"/>
              <w:rPr>
                <w:rFonts w:ascii="Calibri" w:hAnsi="Calibri" w:cs="Calibri"/>
                <w:sz w:val="22"/>
                <w:szCs w:val="22"/>
              </w:rPr>
            </w:pPr>
            <w:r>
              <w:rPr>
                <w:rFonts w:cs="Calibri"/>
                <w:sz w:val="22"/>
                <w:szCs w:val="22"/>
              </w:rPr>
            </w:r>
          </w:p>
        </w:tc>
      </w:tr>
      <w:tr>
        <w:trPr/>
        <w:tc>
          <w:tcPr>
            <w:tcW w:w="2434" w:type="dxa"/>
            <w:tcBorders>
              <w:left w:val="single" w:sz="4" w:space="0" w:color="000000"/>
              <w:bottom w:val="single" w:sz="4" w:space="0" w:color="000000"/>
            </w:tcBorders>
          </w:tcPr>
          <w:p>
            <w:pPr>
              <w:pStyle w:val="Normal"/>
              <w:widowControl w:val="false"/>
              <w:snapToGrid w:val="false"/>
              <w:spacing w:before="0" w:after="120"/>
              <w:rPr>
                <w:rFonts w:ascii="Calibri" w:hAnsi="Calibri" w:cs="Calibri"/>
                <w:sz w:val="22"/>
                <w:szCs w:val="22"/>
              </w:rPr>
            </w:pPr>
            <w:r>
              <w:rPr>
                <w:rFonts w:cs="Calibri"/>
                <w:sz w:val="22"/>
                <w:szCs w:val="22"/>
              </w:rPr>
              <w:t>Υλικό</w:t>
            </w:r>
          </w:p>
        </w:tc>
        <w:tc>
          <w:tcPr>
            <w:tcW w:w="4353" w:type="dxa"/>
            <w:tcBorders>
              <w:left w:val="single" w:sz="4" w:space="0" w:color="000000"/>
              <w:bottom w:val="single" w:sz="4" w:space="0" w:color="000000"/>
            </w:tcBorders>
          </w:tcPr>
          <w:p>
            <w:pPr>
              <w:pStyle w:val="Normal"/>
              <w:widowControl w:val="false"/>
              <w:snapToGrid w:val="false"/>
              <w:spacing w:before="0" w:after="120"/>
              <w:rPr>
                <w:rFonts w:ascii="Calibri" w:hAnsi="Calibri" w:cs="Calibri"/>
                <w:sz w:val="22"/>
                <w:szCs w:val="22"/>
              </w:rPr>
            </w:pPr>
            <w:r>
              <w:rPr>
                <w:rFonts w:cs="Calibri"/>
                <w:sz w:val="22"/>
                <w:szCs w:val="22"/>
              </w:rPr>
              <w:t>Γυαλί</w:t>
            </w:r>
          </w:p>
        </w:tc>
        <w:tc>
          <w:tcPr>
            <w:tcW w:w="2629" w:type="dxa"/>
            <w:tcBorders>
              <w:left w:val="single" w:sz="4" w:space="0" w:color="000000"/>
              <w:bottom w:val="single" w:sz="4" w:space="0" w:color="000000"/>
              <w:right w:val="single" w:sz="4" w:space="0" w:color="000000"/>
            </w:tcBorders>
          </w:tcPr>
          <w:p>
            <w:pPr>
              <w:pStyle w:val="Style25"/>
              <w:widowControl w:val="false"/>
              <w:tabs>
                <w:tab w:val="clear" w:pos="720"/>
                <w:tab w:val="left" w:pos="-540" w:leader="none"/>
              </w:tabs>
              <w:snapToGrid w:val="false"/>
              <w:spacing w:before="0" w:after="240"/>
              <w:jc w:val="left"/>
              <w:rPr>
                <w:rFonts w:ascii="Calibri" w:hAnsi="Calibri" w:cs="Calibri"/>
                <w:sz w:val="22"/>
                <w:szCs w:val="22"/>
              </w:rPr>
            </w:pPr>
            <w:r>
              <w:rPr>
                <w:rFonts w:cs="Calibri"/>
                <w:sz w:val="22"/>
                <w:szCs w:val="22"/>
              </w:rPr>
            </w:r>
          </w:p>
        </w:tc>
      </w:tr>
    </w:tbl>
    <w:p>
      <w:pPr>
        <w:pStyle w:val="Normal"/>
        <w:tabs>
          <w:tab w:val="clear" w:pos="720"/>
          <w:tab w:val="left" w:pos="4800" w:leader="none"/>
        </w:tabs>
        <w:ind w:left="1077" w:hanging="0"/>
        <w:rPr>
          <w:rFonts w:ascii="Calibri" w:hAnsi="Calibri" w:cs="Calibri"/>
        </w:rPr>
      </w:pPr>
      <w:r>
        <w:rPr>
          <w:rFonts w:cs="Calibri"/>
        </w:rPr>
      </w:r>
    </w:p>
    <w:p>
      <w:pPr>
        <w:pStyle w:val="Normal"/>
        <w:tabs>
          <w:tab w:val="clear" w:pos="720"/>
          <w:tab w:val="left" w:pos="4800" w:leader="none"/>
        </w:tabs>
        <w:ind w:left="1077" w:hanging="0"/>
        <w:rPr>
          <w:rFonts w:ascii="Calibri" w:hAnsi="Calibri" w:cs="Calibri"/>
        </w:rPr>
      </w:pPr>
      <w:r>
        <w:rPr>
          <w:rFonts w:cs="Calibri"/>
          <w:b/>
        </w:rPr>
        <w:t>44. Κούπες</w:t>
      </w:r>
    </w:p>
    <w:tbl>
      <w:tblPr>
        <w:tblW w:w="9416" w:type="dxa"/>
        <w:jc w:val="left"/>
        <w:tblInd w:w="-65" w:type="dxa"/>
        <w:tblLayout w:type="fixed"/>
        <w:tblCellMar>
          <w:top w:w="0" w:type="dxa"/>
          <w:left w:w="108" w:type="dxa"/>
          <w:bottom w:w="0" w:type="dxa"/>
          <w:right w:w="108" w:type="dxa"/>
        </w:tblCellMar>
      </w:tblPr>
      <w:tblGrid>
        <w:gridCol w:w="2434"/>
        <w:gridCol w:w="4353"/>
        <w:gridCol w:w="2629"/>
      </w:tblGrid>
      <w:tr>
        <w:trPr/>
        <w:tc>
          <w:tcPr>
            <w:tcW w:w="2434" w:type="dxa"/>
            <w:tcBorders>
              <w:top w:val="single" w:sz="4" w:space="0" w:color="000000"/>
              <w:left w:val="single" w:sz="4" w:space="0" w:color="000000"/>
              <w:bottom w:val="single" w:sz="4" w:space="0" w:color="000000"/>
            </w:tcBorders>
            <w:shd w:fill="F2F2F2" w:val="clear"/>
          </w:tcPr>
          <w:p>
            <w:pPr>
              <w:pStyle w:val="Style25"/>
              <w:widowControl w:val="false"/>
              <w:tabs>
                <w:tab w:val="clear" w:pos="720"/>
                <w:tab w:val="left" w:pos="-540" w:leader="none"/>
              </w:tabs>
              <w:spacing w:before="0" w:after="240"/>
              <w:jc w:val="left"/>
              <w:rPr>
                <w:rFonts w:ascii="Calibri" w:hAnsi="Calibri" w:eastAsia="Calibri" w:cs="Calibri"/>
                <w:b/>
                <w:b/>
                <w:sz w:val="22"/>
                <w:szCs w:val="22"/>
              </w:rPr>
            </w:pPr>
            <w:r>
              <w:rPr>
                <w:rFonts w:eastAsia="Calibri" w:cs="Calibri"/>
                <w:b/>
                <w:sz w:val="22"/>
                <w:szCs w:val="22"/>
              </w:rPr>
              <w:t>Χαρακτηριστικό</w:t>
            </w:r>
          </w:p>
        </w:tc>
        <w:tc>
          <w:tcPr>
            <w:tcW w:w="4353" w:type="dxa"/>
            <w:tcBorders>
              <w:top w:val="single" w:sz="4" w:space="0" w:color="000000"/>
              <w:left w:val="single" w:sz="4" w:space="0" w:color="000000"/>
              <w:bottom w:val="single" w:sz="4" w:space="0" w:color="000000"/>
            </w:tcBorders>
            <w:shd w:fill="F2F2F2" w:val="clear"/>
          </w:tcPr>
          <w:p>
            <w:pPr>
              <w:pStyle w:val="Style25"/>
              <w:widowControl w:val="false"/>
              <w:tabs>
                <w:tab w:val="clear" w:pos="720"/>
                <w:tab w:val="left" w:pos="-540" w:leader="none"/>
              </w:tabs>
              <w:spacing w:before="0" w:after="240"/>
              <w:jc w:val="left"/>
              <w:rPr>
                <w:rFonts w:ascii="Calibri" w:hAnsi="Calibri" w:eastAsia="Calibri" w:cs="Calibri"/>
                <w:b/>
                <w:b/>
                <w:sz w:val="22"/>
                <w:szCs w:val="22"/>
              </w:rPr>
            </w:pPr>
            <w:r>
              <w:rPr>
                <w:rFonts w:eastAsia="Calibri" w:cs="Calibri"/>
                <w:b/>
                <w:sz w:val="22"/>
                <w:szCs w:val="22"/>
              </w:rPr>
              <w:t>Απαίτηση</w:t>
            </w:r>
          </w:p>
        </w:tc>
        <w:tc>
          <w:tcPr>
            <w:tcW w:w="2629" w:type="dxa"/>
            <w:tcBorders>
              <w:top w:val="single" w:sz="4" w:space="0" w:color="000000"/>
              <w:left w:val="single" w:sz="4" w:space="0" w:color="000000"/>
              <w:bottom w:val="single" w:sz="4" w:space="0" w:color="000000"/>
              <w:right w:val="single" w:sz="4" w:space="0" w:color="000000"/>
            </w:tcBorders>
            <w:shd w:fill="F2F2F2" w:val="clear"/>
          </w:tcPr>
          <w:p>
            <w:pPr>
              <w:pStyle w:val="Style25"/>
              <w:widowControl w:val="false"/>
              <w:tabs>
                <w:tab w:val="clear" w:pos="720"/>
                <w:tab w:val="left" w:pos="-540" w:leader="none"/>
              </w:tabs>
              <w:spacing w:before="0" w:after="240"/>
              <w:jc w:val="left"/>
              <w:rPr>
                <w:rFonts w:ascii="Calibri" w:hAnsi="Calibri" w:eastAsia="Calibri" w:cs="Calibri"/>
                <w:b/>
                <w:b/>
                <w:sz w:val="22"/>
                <w:szCs w:val="22"/>
              </w:rPr>
            </w:pPr>
            <w:r>
              <w:rPr>
                <w:rFonts w:eastAsia="Calibri" w:cs="Calibri"/>
                <w:b/>
                <w:sz w:val="22"/>
                <w:szCs w:val="22"/>
              </w:rPr>
              <w:t>Παρατηρήσεις</w:t>
            </w:r>
          </w:p>
        </w:tc>
      </w:tr>
      <w:tr>
        <w:trPr/>
        <w:tc>
          <w:tcPr>
            <w:tcW w:w="2434" w:type="dxa"/>
            <w:tcBorders>
              <w:top w:val="single" w:sz="4" w:space="0" w:color="000000"/>
              <w:left w:val="single" w:sz="4" w:space="0" w:color="000000"/>
              <w:bottom w:val="single" w:sz="4" w:space="0" w:color="000000"/>
            </w:tcBorders>
          </w:tcPr>
          <w:p>
            <w:pPr>
              <w:pStyle w:val="Normal"/>
              <w:widowControl w:val="false"/>
              <w:snapToGrid w:val="false"/>
              <w:spacing w:before="0" w:after="120"/>
              <w:rPr>
                <w:rFonts w:ascii="Calibri" w:hAnsi="Calibri" w:cs="Calibri"/>
                <w:sz w:val="22"/>
                <w:szCs w:val="22"/>
              </w:rPr>
            </w:pPr>
            <w:r>
              <w:rPr>
                <w:rFonts w:cs="Calibri"/>
                <w:sz w:val="22"/>
                <w:szCs w:val="22"/>
              </w:rPr>
              <w:t>Τεμάχια</w:t>
            </w:r>
          </w:p>
        </w:tc>
        <w:tc>
          <w:tcPr>
            <w:tcW w:w="4353" w:type="dxa"/>
            <w:tcBorders>
              <w:top w:val="single" w:sz="4" w:space="0" w:color="000000"/>
              <w:left w:val="single" w:sz="4" w:space="0" w:color="000000"/>
              <w:bottom w:val="single" w:sz="4" w:space="0" w:color="000000"/>
            </w:tcBorders>
          </w:tcPr>
          <w:p>
            <w:pPr>
              <w:pStyle w:val="Normal"/>
              <w:widowControl w:val="false"/>
              <w:snapToGrid w:val="false"/>
              <w:spacing w:before="0" w:after="120"/>
              <w:rPr>
                <w:rFonts w:ascii="Calibri" w:hAnsi="Calibri" w:cs="Calibri"/>
                <w:sz w:val="22"/>
                <w:szCs w:val="22"/>
              </w:rPr>
            </w:pPr>
            <w:r>
              <w:rPr>
                <w:rFonts w:cs="Calibri"/>
                <w:sz w:val="22"/>
                <w:szCs w:val="22"/>
              </w:rPr>
              <w:t>6</w:t>
            </w:r>
          </w:p>
        </w:tc>
        <w:tc>
          <w:tcPr>
            <w:tcW w:w="2629" w:type="dxa"/>
            <w:tcBorders>
              <w:top w:val="single" w:sz="4" w:space="0" w:color="000000"/>
              <w:left w:val="single" w:sz="4" w:space="0" w:color="000000"/>
              <w:bottom w:val="single" w:sz="4" w:space="0" w:color="000000"/>
              <w:right w:val="single" w:sz="4" w:space="0" w:color="000000"/>
            </w:tcBorders>
          </w:tcPr>
          <w:p>
            <w:pPr>
              <w:pStyle w:val="Style25"/>
              <w:widowControl w:val="false"/>
              <w:tabs>
                <w:tab w:val="clear" w:pos="720"/>
                <w:tab w:val="left" w:pos="-540" w:leader="none"/>
              </w:tabs>
              <w:snapToGrid w:val="false"/>
              <w:spacing w:before="0" w:after="240"/>
              <w:jc w:val="left"/>
              <w:rPr>
                <w:rFonts w:ascii="Calibri" w:hAnsi="Calibri" w:cs="Calibri"/>
                <w:sz w:val="22"/>
                <w:szCs w:val="22"/>
              </w:rPr>
            </w:pPr>
            <w:r>
              <w:rPr>
                <w:rFonts w:cs="Calibri"/>
                <w:sz w:val="22"/>
                <w:szCs w:val="22"/>
              </w:rPr>
            </w:r>
          </w:p>
        </w:tc>
      </w:tr>
      <w:tr>
        <w:trPr/>
        <w:tc>
          <w:tcPr>
            <w:tcW w:w="2434" w:type="dxa"/>
            <w:tcBorders>
              <w:left w:val="single" w:sz="4" w:space="0" w:color="000000"/>
              <w:bottom w:val="single" w:sz="4" w:space="0" w:color="000000"/>
            </w:tcBorders>
          </w:tcPr>
          <w:p>
            <w:pPr>
              <w:pStyle w:val="Normal"/>
              <w:widowControl w:val="false"/>
              <w:snapToGrid w:val="false"/>
              <w:spacing w:before="0" w:after="120"/>
              <w:rPr>
                <w:rFonts w:ascii="Calibri" w:hAnsi="Calibri" w:cs="Calibri"/>
                <w:sz w:val="22"/>
                <w:szCs w:val="22"/>
              </w:rPr>
            </w:pPr>
            <w:r>
              <w:rPr>
                <w:rFonts w:cs="Calibri"/>
                <w:sz w:val="22"/>
                <w:szCs w:val="22"/>
              </w:rPr>
              <w:t>Χωρητικότητα</w:t>
            </w:r>
          </w:p>
        </w:tc>
        <w:tc>
          <w:tcPr>
            <w:tcW w:w="4353" w:type="dxa"/>
            <w:tcBorders>
              <w:left w:val="single" w:sz="4" w:space="0" w:color="000000"/>
              <w:bottom w:val="single" w:sz="4" w:space="0" w:color="000000"/>
            </w:tcBorders>
          </w:tcPr>
          <w:p>
            <w:pPr>
              <w:pStyle w:val="Normal"/>
              <w:widowControl w:val="false"/>
              <w:snapToGrid w:val="false"/>
              <w:spacing w:before="0" w:after="120"/>
              <w:rPr/>
            </w:pPr>
            <w:r>
              <w:rPr>
                <w:rFonts w:cs="Calibri"/>
                <w:sz w:val="22"/>
                <w:szCs w:val="22"/>
              </w:rPr>
              <w:t>Τουλάχιστον 300</w:t>
            </w:r>
            <w:r>
              <w:rPr>
                <w:rFonts w:cs="Calibri"/>
                <w:sz w:val="22"/>
                <w:szCs w:val="22"/>
                <w:lang w:val="en-US"/>
              </w:rPr>
              <w:t>ml</w:t>
            </w:r>
          </w:p>
        </w:tc>
        <w:tc>
          <w:tcPr>
            <w:tcW w:w="2629" w:type="dxa"/>
            <w:tcBorders>
              <w:left w:val="single" w:sz="4" w:space="0" w:color="000000"/>
              <w:bottom w:val="single" w:sz="4" w:space="0" w:color="000000"/>
              <w:right w:val="single" w:sz="4" w:space="0" w:color="000000"/>
            </w:tcBorders>
          </w:tcPr>
          <w:p>
            <w:pPr>
              <w:pStyle w:val="Style25"/>
              <w:widowControl w:val="false"/>
              <w:tabs>
                <w:tab w:val="clear" w:pos="720"/>
                <w:tab w:val="left" w:pos="-540" w:leader="none"/>
              </w:tabs>
              <w:snapToGrid w:val="false"/>
              <w:spacing w:before="0" w:after="240"/>
              <w:jc w:val="left"/>
              <w:rPr>
                <w:rFonts w:ascii="Calibri" w:hAnsi="Calibri" w:cs="Calibri"/>
                <w:sz w:val="22"/>
                <w:szCs w:val="22"/>
              </w:rPr>
            </w:pPr>
            <w:r>
              <w:rPr>
                <w:rFonts w:cs="Calibri"/>
                <w:sz w:val="22"/>
                <w:szCs w:val="22"/>
              </w:rPr>
            </w:r>
          </w:p>
        </w:tc>
      </w:tr>
      <w:tr>
        <w:trPr/>
        <w:tc>
          <w:tcPr>
            <w:tcW w:w="2434" w:type="dxa"/>
            <w:tcBorders>
              <w:left w:val="single" w:sz="4" w:space="0" w:color="000000"/>
              <w:bottom w:val="single" w:sz="4" w:space="0" w:color="000000"/>
            </w:tcBorders>
          </w:tcPr>
          <w:p>
            <w:pPr>
              <w:pStyle w:val="Normal"/>
              <w:widowControl w:val="false"/>
              <w:snapToGrid w:val="false"/>
              <w:spacing w:before="0" w:after="120"/>
              <w:rPr>
                <w:rFonts w:ascii="Calibri" w:hAnsi="Calibri" w:cs="Calibri"/>
                <w:sz w:val="22"/>
                <w:szCs w:val="22"/>
              </w:rPr>
            </w:pPr>
            <w:r>
              <w:rPr>
                <w:rFonts w:cs="Calibri"/>
                <w:sz w:val="22"/>
                <w:szCs w:val="22"/>
              </w:rPr>
              <w:t>Υλικό</w:t>
            </w:r>
          </w:p>
        </w:tc>
        <w:tc>
          <w:tcPr>
            <w:tcW w:w="4353" w:type="dxa"/>
            <w:tcBorders>
              <w:left w:val="single" w:sz="4" w:space="0" w:color="000000"/>
              <w:bottom w:val="single" w:sz="4" w:space="0" w:color="000000"/>
            </w:tcBorders>
          </w:tcPr>
          <w:p>
            <w:pPr>
              <w:pStyle w:val="Normal"/>
              <w:widowControl w:val="false"/>
              <w:snapToGrid w:val="false"/>
              <w:spacing w:before="0" w:after="120"/>
              <w:rPr>
                <w:rFonts w:ascii="Calibri" w:hAnsi="Calibri" w:cs="Calibri"/>
                <w:sz w:val="22"/>
                <w:szCs w:val="22"/>
              </w:rPr>
            </w:pPr>
            <w:r>
              <w:rPr>
                <w:rFonts w:cs="Calibri"/>
                <w:sz w:val="22"/>
                <w:szCs w:val="22"/>
              </w:rPr>
              <w:t>Κεραμικές</w:t>
            </w:r>
          </w:p>
        </w:tc>
        <w:tc>
          <w:tcPr>
            <w:tcW w:w="2629" w:type="dxa"/>
            <w:tcBorders>
              <w:left w:val="single" w:sz="4" w:space="0" w:color="000000"/>
              <w:bottom w:val="single" w:sz="4" w:space="0" w:color="000000"/>
              <w:right w:val="single" w:sz="4" w:space="0" w:color="000000"/>
            </w:tcBorders>
          </w:tcPr>
          <w:p>
            <w:pPr>
              <w:pStyle w:val="Style25"/>
              <w:widowControl w:val="false"/>
              <w:tabs>
                <w:tab w:val="clear" w:pos="720"/>
                <w:tab w:val="left" w:pos="-540" w:leader="none"/>
              </w:tabs>
              <w:snapToGrid w:val="false"/>
              <w:spacing w:before="0" w:after="240"/>
              <w:jc w:val="left"/>
              <w:rPr>
                <w:rFonts w:ascii="Calibri" w:hAnsi="Calibri" w:cs="Calibri"/>
                <w:sz w:val="22"/>
                <w:szCs w:val="22"/>
              </w:rPr>
            </w:pPr>
            <w:r>
              <w:rPr>
                <w:rFonts w:cs="Calibri"/>
                <w:sz w:val="22"/>
                <w:szCs w:val="22"/>
              </w:rPr>
            </w:r>
          </w:p>
        </w:tc>
      </w:tr>
    </w:tbl>
    <w:p>
      <w:pPr>
        <w:pStyle w:val="Normal"/>
        <w:tabs>
          <w:tab w:val="clear" w:pos="720"/>
          <w:tab w:val="left" w:pos="4095" w:leader="none"/>
        </w:tabs>
        <w:rPr>
          <w:rFonts w:ascii="Calibri" w:hAnsi="Calibri" w:cs="Calibri"/>
          <w:sz w:val="22"/>
          <w:szCs w:val="22"/>
          <w:lang w:val="en-US"/>
        </w:rPr>
      </w:pPr>
      <w:r>
        <w:rPr>
          <w:rFonts w:cs="Calibri"/>
          <w:sz w:val="22"/>
          <w:szCs w:val="22"/>
          <w:lang w:val="en-US"/>
        </w:rPr>
      </w:r>
    </w:p>
    <w:p>
      <w:pPr>
        <w:pStyle w:val="Normal"/>
        <w:tabs>
          <w:tab w:val="clear" w:pos="720"/>
          <w:tab w:val="left" w:pos="4800" w:leader="none"/>
        </w:tabs>
        <w:ind w:left="1077" w:hanging="0"/>
        <w:rPr>
          <w:rFonts w:ascii="Calibri" w:hAnsi="Calibri" w:cs="Calibri"/>
          <w:b/>
          <w:b/>
          <w:bCs/>
          <w:sz w:val="22"/>
          <w:szCs w:val="22"/>
        </w:rPr>
      </w:pPr>
      <w:r>
        <w:rPr>
          <w:rFonts w:cs="Calibri"/>
          <w:b/>
          <w:bCs/>
          <w:sz w:val="22"/>
          <w:szCs w:val="22"/>
        </w:rPr>
        <w:t>45. Μαχαιροπίρουνα</w:t>
      </w:r>
    </w:p>
    <w:tbl>
      <w:tblPr>
        <w:tblW w:w="9416" w:type="dxa"/>
        <w:jc w:val="left"/>
        <w:tblInd w:w="-65" w:type="dxa"/>
        <w:tblLayout w:type="fixed"/>
        <w:tblCellMar>
          <w:top w:w="0" w:type="dxa"/>
          <w:left w:w="108" w:type="dxa"/>
          <w:bottom w:w="0" w:type="dxa"/>
          <w:right w:w="108" w:type="dxa"/>
        </w:tblCellMar>
      </w:tblPr>
      <w:tblGrid>
        <w:gridCol w:w="2434"/>
        <w:gridCol w:w="4353"/>
        <w:gridCol w:w="2629"/>
      </w:tblGrid>
      <w:tr>
        <w:trPr/>
        <w:tc>
          <w:tcPr>
            <w:tcW w:w="2434" w:type="dxa"/>
            <w:tcBorders>
              <w:top w:val="single" w:sz="4" w:space="0" w:color="000000"/>
              <w:left w:val="single" w:sz="4" w:space="0" w:color="000000"/>
              <w:bottom w:val="single" w:sz="4" w:space="0" w:color="000000"/>
            </w:tcBorders>
            <w:shd w:fill="F2F2F2" w:val="clear"/>
          </w:tcPr>
          <w:p>
            <w:pPr>
              <w:pStyle w:val="Style25"/>
              <w:widowControl w:val="false"/>
              <w:tabs>
                <w:tab w:val="clear" w:pos="720"/>
                <w:tab w:val="left" w:pos="-540" w:leader="none"/>
              </w:tabs>
              <w:spacing w:before="0" w:after="240"/>
              <w:jc w:val="left"/>
              <w:rPr>
                <w:rFonts w:ascii="Calibri" w:hAnsi="Calibri" w:cs="Calibri"/>
                <w:b/>
                <w:b/>
                <w:sz w:val="22"/>
                <w:szCs w:val="22"/>
              </w:rPr>
            </w:pPr>
            <w:r>
              <w:rPr>
                <w:rFonts w:cs="Calibri"/>
                <w:b/>
                <w:sz w:val="22"/>
                <w:szCs w:val="22"/>
              </w:rPr>
              <w:t>Χαρακτηριστικό</w:t>
            </w:r>
          </w:p>
        </w:tc>
        <w:tc>
          <w:tcPr>
            <w:tcW w:w="4353" w:type="dxa"/>
            <w:tcBorders>
              <w:top w:val="single" w:sz="4" w:space="0" w:color="000000"/>
              <w:left w:val="single" w:sz="4" w:space="0" w:color="000000"/>
              <w:bottom w:val="single" w:sz="4" w:space="0" w:color="000000"/>
            </w:tcBorders>
            <w:shd w:fill="F2F2F2" w:val="clear"/>
          </w:tcPr>
          <w:p>
            <w:pPr>
              <w:pStyle w:val="Style25"/>
              <w:widowControl w:val="false"/>
              <w:tabs>
                <w:tab w:val="clear" w:pos="720"/>
                <w:tab w:val="left" w:pos="-540" w:leader="none"/>
              </w:tabs>
              <w:spacing w:before="0" w:after="240"/>
              <w:jc w:val="left"/>
              <w:rPr>
                <w:rFonts w:ascii="Calibri" w:hAnsi="Calibri" w:cs="Calibri"/>
                <w:b/>
                <w:b/>
                <w:sz w:val="22"/>
                <w:szCs w:val="22"/>
              </w:rPr>
            </w:pPr>
            <w:r>
              <w:rPr>
                <w:rFonts w:cs="Calibri"/>
                <w:b/>
                <w:sz w:val="22"/>
                <w:szCs w:val="22"/>
              </w:rPr>
              <w:t>Απαίτηση</w:t>
            </w:r>
          </w:p>
        </w:tc>
        <w:tc>
          <w:tcPr>
            <w:tcW w:w="2629" w:type="dxa"/>
            <w:tcBorders>
              <w:top w:val="single" w:sz="4" w:space="0" w:color="000000"/>
              <w:left w:val="single" w:sz="4" w:space="0" w:color="000000"/>
              <w:bottom w:val="single" w:sz="4" w:space="0" w:color="000000"/>
              <w:right w:val="single" w:sz="4" w:space="0" w:color="000000"/>
            </w:tcBorders>
            <w:shd w:fill="F2F2F2" w:val="clear"/>
          </w:tcPr>
          <w:p>
            <w:pPr>
              <w:pStyle w:val="Style25"/>
              <w:widowControl w:val="false"/>
              <w:tabs>
                <w:tab w:val="clear" w:pos="720"/>
                <w:tab w:val="left" w:pos="-540" w:leader="none"/>
              </w:tabs>
              <w:spacing w:before="0" w:after="240"/>
              <w:jc w:val="left"/>
              <w:rPr>
                <w:rFonts w:ascii="Calibri" w:hAnsi="Calibri" w:cs="Calibri"/>
                <w:b/>
                <w:b/>
                <w:sz w:val="22"/>
                <w:szCs w:val="22"/>
              </w:rPr>
            </w:pPr>
            <w:r>
              <w:rPr>
                <w:rFonts w:cs="Calibri"/>
                <w:b/>
                <w:sz w:val="22"/>
                <w:szCs w:val="22"/>
              </w:rPr>
              <w:t>Παρατηρήσεις</w:t>
            </w:r>
          </w:p>
        </w:tc>
      </w:tr>
      <w:tr>
        <w:trPr/>
        <w:tc>
          <w:tcPr>
            <w:tcW w:w="2434" w:type="dxa"/>
            <w:tcBorders>
              <w:top w:val="single" w:sz="4" w:space="0" w:color="000000"/>
              <w:left w:val="single" w:sz="4" w:space="0" w:color="000000"/>
              <w:bottom w:val="single" w:sz="4" w:space="0" w:color="000000"/>
            </w:tcBorders>
          </w:tcPr>
          <w:p>
            <w:pPr>
              <w:pStyle w:val="Normal"/>
              <w:widowControl w:val="false"/>
              <w:snapToGrid w:val="false"/>
              <w:spacing w:before="0" w:after="120"/>
              <w:rPr>
                <w:rFonts w:ascii="Calibri" w:hAnsi="Calibri" w:cs="Calibri"/>
                <w:sz w:val="22"/>
                <w:szCs w:val="22"/>
              </w:rPr>
            </w:pPr>
            <w:r>
              <w:rPr>
                <w:rFonts w:cs="Calibri"/>
                <w:sz w:val="22"/>
                <w:szCs w:val="22"/>
              </w:rPr>
              <w:t>Τεμάχια</w:t>
            </w:r>
          </w:p>
        </w:tc>
        <w:tc>
          <w:tcPr>
            <w:tcW w:w="4353" w:type="dxa"/>
            <w:tcBorders>
              <w:top w:val="single" w:sz="4" w:space="0" w:color="000000"/>
              <w:left w:val="single" w:sz="4" w:space="0" w:color="000000"/>
              <w:bottom w:val="single" w:sz="4" w:space="0" w:color="000000"/>
            </w:tcBorders>
          </w:tcPr>
          <w:p>
            <w:pPr>
              <w:pStyle w:val="Normal"/>
              <w:widowControl w:val="false"/>
              <w:snapToGrid w:val="false"/>
              <w:spacing w:before="0" w:after="120"/>
              <w:rPr>
                <w:rFonts w:ascii="Calibri" w:hAnsi="Calibri" w:cs="Calibri"/>
                <w:sz w:val="22"/>
                <w:szCs w:val="22"/>
              </w:rPr>
            </w:pPr>
            <w:r>
              <w:rPr>
                <w:rFonts w:cs="Calibri"/>
                <w:sz w:val="22"/>
                <w:szCs w:val="22"/>
              </w:rPr>
              <w:t>24</w:t>
            </w:r>
          </w:p>
        </w:tc>
        <w:tc>
          <w:tcPr>
            <w:tcW w:w="2629" w:type="dxa"/>
            <w:tcBorders>
              <w:top w:val="single" w:sz="4" w:space="0" w:color="000000"/>
              <w:left w:val="single" w:sz="4" w:space="0" w:color="000000"/>
              <w:bottom w:val="single" w:sz="4" w:space="0" w:color="000000"/>
              <w:right w:val="single" w:sz="4" w:space="0" w:color="000000"/>
            </w:tcBorders>
          </w:tcPr>
          <w:p>
            <w:pPr>
              <w:pStyle w:val="Style25"/>
              <w:widowControl w:val="false"/>
              <w:tabs>
                <w:tab w:val="clear" w:pos="720"/>
                <w:tab w:val="left" w:pos="-540" w:leader="none"/>
              </w:tabs>
              <w:snapToGrid w:val="false"/>
              <w:spacing w:before="0" w:after="240"/>
              <w:jc w:val="left"/>
              <w:rPr>
                <w:rFonts w:ascii="Calibri" w:hAnsi="Calibri" w:cs="Calibri"/>
                <w:sz w:val="22"/>
                <w:szCs w:val="22"/>
              </w:rPr>
            </w:pPr>
            <w:r>
              <w:rPr>
                <w:rFonts w:cs="Calibri"/>
                <w:sz w:val="22"/>
                <w:szCs w:val="22"/>
              </w:rPr>
            </w:r>
          </w:p>
        </w:tc>
      </w:tr>
      <w:tr>
        <w:trPr/>
        <w:tc>
          <w:tcPr>
            <w:tcW w:w="2434" w:type="dxa"/>
            <w:tcBorders>
              <w:left w:val="single" w:sz="4" w:space="0" w:color="000000"/>
              <w:bottom w:val="single" w:sz="4" w:space="0" w:color="000000"/>
            </w:tcBorders>
          </w:tcPr>
          <w:p>
            <w:pPr>
              <w:pStyle w:val="Normal"/>
              <w:widowControl w:val="false"/>
              <w:snapToGrid w:val="false"/>
              <w:spacing w:before="0" w:after="120"/>
              <w:rPr>
                <w:rFonts w:ascii="Calibri" w:hAnsi="Calibri" w:cs="Calibri"/>
                <w:sz w:val="22"/>
                <w:szCs w:val="22"/>
              </w:rPr>
            </w:pPr>
            <w:r>
              <w:rPr>
                <w:rFonts w:cs="Calibri"/>
                <w:sz w:val="22"/>
                <w:szCs w:val="22"/>
              </w:rPr>
              <w:t>Μαχαίρια</w:t>
            </w:r>
          </w:p>
        </w:tc>
        <w:tc>
          <w:tcPr>
            <w:tcW w:w="4353" w:type="dxa"/>
            <w:tcBorders>
              <w:left w:val="single" w:sz="4" w:space="0" w:color="000000"/>
              <w:bottom w:val="single" w:sz="4" w:space="0" w:color="000000"/>
            </w:tcBorders>
          </w:tcPr>
          <w:p>
            <w:pPr>
              <w:pStyle w:val="Normal"/>
              <w:widowControl w:val="false"/>
              <w:snapToGrid w:val="false"/>
              <w:spacing w:before="0" w:after="120"/>
              <w:rPr>
                <w:rFonts w:ascii="Calibri" w:hAnsi="Calibri" w:cs="Calibri"/>
                <w:sz w:val="22"/>
                <w:szCs w:val="22"/>
              </w:rPr>
            </w:pPr>
            <w:r>
              <w:rPr>
                <w:rFonts w:cs="Calibri"/>
                <w:sz w:val="22"/>
                <w:szCs w:val="22"/>
              </w:rPr>
              <w:t>6</w:t>
            </w:r>
          </w:p>
        </w:tc>
        <w:tc>
          <w:tcPr>
            <w:tcW w:w="2629" w:type="dxa"/>
            <w:tcBorders>
              <w:left w:val="single" w:sz="4" w:space="0" w:color="000000"/>
              <w:bottom w:val="single" w:sz="4" w:space="0" w:color="000000"/>
              <w:right w:val="single" w:sz="4" w:space="0" w:color="000000"/>
            </w:tcBorders>
          </w:tcPr>
          <w:p>
            <w:pPr>
              <w:pStyle w:val="Style25"/>
              <w:widowControl w:val="false"/>
              <w:tabs>
                <w:tab w:val="clear" w:pos="720"/>
                <w:tab w:val="left" w:pos="-540" w:leader="none"/>
              </w:tabs>
              <w:snapToGrid w:val="false"/>
              <w:spacing w:before="0" w:after="240"/>
              <w:jc w:val="left"/>
              <w:rPr>
                <w:rFonts w:ascii="Calibri" w:hAnsi="Calibri" w:cs="Calibri"/>
                <w:sz w:val="22"/>
                <w:szCs w:val="22"/>
              </w:rPr>
            </w:pPr>
            <w:r>
              <w:rPr>
                <w:rFonts w:cs="Calibri"/>
                <w:sz w:val="22"/>
                <w:szCs w:val="22"/>
              </w:rPr>
            </w:r>
          </w:p>
        </w:tc>
      </w:tr>
      <w:tr>
        <w:trPr/>
        <w:tc>
          <w:tcPr>
            <w:tcW w:w="2434" w:type="dxa"/>
            <w:tcBorders>
              <w:left w:val="single" w:sz="4" w:space="0" w:color="000000"/>
              <w:bottom w:val="single" w:sz="4" w:space="0" w:color="000000"/>
            </w:tcBorders>
          </w:tcPr>
          <w:p>
            <w:pPr>
              <w:pStyle w:val="Normal"/>
              <w:widowControl w:val="false"/>
              <w:snapToGrid w:val="false"/>
              <w:spacing w:before="0" w:after="120"/>
              <w:rPr>
                <w:rFonts w:ascii="Calibri" w:hAnsi="Calibri" w:cs="Calibri"/>
                <w:sz w:val="22"/>
                <w:szCs w:val="22"/>
              </w:rPr>
            </w:pPr>
            <w:r>
              <w:rPr>
                <w:rFonts w:cs="Calibri"/>
                <w:sz w:val="22"/>
                <w:szCs w:val="22"/>
              </w:rPr>
              <w:t>Πιρούνια</w:t>
            </w:r>
          </w:p>
        </w:tc>
        <w:tc>
          <w:tcPr>
            <w:tcW w:w="4353" w:type="dxa"/>
            <w:tcBorders>
              <w:left w:val="single" w:sz="4" w:space="0" w:color="000000"/>
              <w:bottom w:val="single" w:sz="4" w:space="0" w:color="000000"/>
            </w:tcBorders>
          </w:tcPr>
          <w:p>
            <w:pPr>
              <w:pStyle w:val="Normal"/>
              <w:widowControl w:val="false"/>
              <w:snapToGrid w:val="false"/>
              <w:spacing w:before="0" w:after="120"/>
              <w:rPr>
                <w:rFonts w:ascii="Calibri" w:hAnsi="Calibri" w:cs="Calibri"/>
                <w:sz w:val="22"/>
                <w:szCs w:val="22"/>
              </w:rPr>
            </w:pPr>
            <w:r>
              <w:rPr>
                <w:rFonts w:cs="Calibri"/>
                <w:sz w:val="22"/>
                <w:szCs w:val="22"/>
              </w:rPr>
              <w:t>6</w:t>
            </w:r>
          </w:p>
        </w:tc>
        <w:tc>
          <w:tcPr>
            <w:tcW w:w="2629" w:type="dxa"/>
            <w:tcBorders>
              <w:left w:val="single" w:sz="4" w:space="0" w:color="000000"/>
              <w:bottom w:val="single" w:sz="4" w:space="0" w:color="000000"/>
              <w:right w:val="single" w:sz="4" w:space="0" w:color="000000"/>
            </w:tcBorders>
          </w:tcPr>
          <w:p>
            <w:pPr>
              <w:pStyle w:val="Style25"/>
              <w:widowControl w:val="false"/>
              <w:tabs>
                <w:tab w:val="clear" w:pos="720"/>
                <w:tab w:val="left" w:pos="-540" w:leader="none"/>
              </w:tabs>
              <w:snapToGrid w:val="false"/>
              <w:spacing w:before="0" w:after="240"/>
              <w:jc w:val="left"/>
              <w:rPr>
                <w:rFonts w:ascii="Calibri" w:hAnsi="Calibri" w:cs="Calibri"/>
                <w:sz w:val="22"/>
                <w:szCs w:val="22"/>
              </w:rPr>
            </w:pPr>
            <w:r>
              <w:rPr>
                <w:rFonts w:cs="Calibri"/>
                <w:sz w:val="22"/>
                <w:szCs w:val="22"/>
              </w:rPr>
            </w:r>
          </w:p>
        </w:tc>
      </w:tr>
      <w:tr>
        <w:trPr/>
        <w:tc>
          <w:tcPr>
            <w:tcW w:w="2434" w:type="dxa"/>
            <w:tcBorders>
              <w:left w:val="single" w:sz="4" w:space="0" w:color="000000"/>
              <w:bottom w:val="single" w:sz="4" w:space="0" w:color="000000"/>
            </w:tcBorders>
          </w:tcPr>
          <w:p>
            <w:pPr>
              <w:pStyle w:val="Normal"/>
              <w:widowControl w:val="false"/>
              <w:snapToGrid w:val="false"/>
              <w:spacing w:before="0" w:after="120"/>
              <w:rPr>
                <w:rFonts w:ascii="Calibri" w:hAnsi="Calibri" w:cs="Calibri"/>
                <w:sz w:val="22"/>
                <w:szCs w:val="22"/>
              </w:rPr>
            </w:pPr>
            <w:r>
              <w:rPr>
                <w:rFonts w:cs="Calibri"/>
                <w:sz w:val="22"/>
                <w:szCs w:val="22"/>
              </w:rPr>
              <w:t>Κουτάλια</w:t>
            </w:r>
          </w:p>
        </w:tc>
        <w:tc>
          <w:tcPr>
            <w:tcW w:w="4353" w:type="dxa"/>
            <w:tcBorders>
              <w:left w:val="single" w:sz="4" w:space="0" w:color="000000"/>
              <w:bottom w:val="single" w:sz="4" w:space="0" w:color="000000"/>
            </w:tcBorders>
          </w:tcPr>
          <w:p>
            <w:pPr>
              <w:pStyle w:val="Normal"/>
              <w:widowControl w:val="false"/>
              <w:snapToGrid w:val="false"/>
              <w:spacing w:before="0" w:after="120"/>
              <w:rPr>
                <w:rFonts w:ascii="Calibri" w:hAnsi="Calibri" w:cs="Calibri"/>
                <w:sz w:val="22"/>
                <w:szCs w:val="22"/>
              </w:rPr>
            </w:pPr>
            <w:r>
              <w:rPr>
                <w:rFonts w:cs="Calibri"/>
                <w:sz w:val="22"/>
                <w:szCs w:val="22"/>
              </w:rPr>
              <w:t>6</w:t>
            </w:r>
          </w:p>
        </w:tc>
        <w:tc>
          <w:tcPr>
            <w:tcW w:w="2629" w:type="dxa"/>
            <w:tcBorders>
              <w:left w:val="single" w:sz="4" w:space="0" w:color="000000"/>
              <w:bottom w:val="single" w:sz="4" w:space="0" w:color="000000"/>
              <w:right w:val="single" w:sz="4" w:space="0" w:color="000000"/>
            </w:tcBorders>
          </w:tcPr>
          <w:p>
            <w:pPr>
              <w:pStyle w:val="Style25"/>
              <w:widowControl w:val="false"/>
              <w:tabs>
                <w:tab w:val="clear" w:pos="720"/>
                <w:tab w:val="left" w:pos="-540" w:leader="none"/>
              </w:tabs>
              <w:snapToGrid w:val="false"/>
              <w:spacing w:before="0" w:after="240"/>
              <w:jc w:val="left"/>
              <w:rPr>
                <w:rFonts w:ascii="Calibri" w:hAnsi="Calibri" w:cs="Calibri"/>
                <w:sz w:val="22"/>
                <w:szCs w:val="22"/>
              </w:rPr>
            </w:pPr>
            <w:r>
              <w:rPr>
                <w:rFonts w:cs="Calibri"/>
                <w:sz w:val="22"/>
                <w:szCs w:val="22"/>
              </w:rPr>
            </w:r>
          </w:p>
        </w:tc>
      </w:tr>
      <w:tr>
        <w:trPr/>
        <w:tc>
          <w:tcPr>
            <w:tcW w:w="2434" w:type="dxa"/>
            <w:tcBorders>
              <w:left w:val="single" w:sz="4" w:space="0" w:color="000000"/>
              <w:bottom w:val="single" w:sz="4" w:space="0" w:color="000000"/>
            </w:tcBorders>
          </w:tcPr>
          <w:p>
            <w:pPr>
              <w:pStyle w:val="Normal"/>
              <w:widowControl w:val="false"/>
              <w:snapToGrid w:val="false"/>
              <w:spacing w:before="0" w:after="120"/>
              <w:rPr>
                <w:rFonts w:ascii="Calibri" w:hAnsi="Calibri" w:cs="Calibri"/>
                <w:sz w:val="22"/>
                <w:szCs w:val="22"/>
              </w:rPr>
            </w:pPr>
            <w:r>
              <w:rPr>
                <w:rFonts w:cs="Calibri"/>
                <w:sz w:val="22"/>
                <w:szCs w:val="22"/>
              </w:rPr>
              <w:t>Κουτάλια μικρά</w:t>
            </w:r>
          </w:p>
        </w:tc>
        <w:tc>
          <w:tcPr>
            <w:tcW w:w="4353" w:type="dxa"/>
            <w:tcBorders>
              <w:left w:val="single" w:sz="4" w:space="0" w:color="000000"/>
              <w:bottom w:val="single" w:sz="4" w:space="0" w:color="000000"/>
            </w:tcBorders>
          </w:tcPr>
          <w:p>
            <w:pPr>
              <w:pStyle w:val="Normal"/>
              <w:widowControl w:val="false"/>
              <w:snapToGrid w:val="false"/>
              <w:spacing w:before="0" w:after="120"/>
              <w:rPr>
                <w:rFonts w:ascii="Calibri" w:hAnsi="Calibri" w:cs="Calibri"/>
                <w:sz w:val="22"/>
                <w:szCs w:val="22"/>
              </w:rPr>
            </w:pPr>
            <w:r>
              <w:rPr>
                <w:rFonts w:cs="Calibri"/>
                <w:sz w:val="22"/>
                <w:szCs w:val="22"/>
              </w:rPr>
              <w:t>6</w:t>
            </w:r>
          </w:p>
        </w:tc>
        <w:tc>
          <w:tcPr>
            <w:tcW w:w="2629" w:type="dxa"/>
            <w:tcBorders>
              <w:left w:val="single" w:sz="4" w:space="0" w:color="000000"/>
              <w:bottom w:val="single" w:sz="4" w:space="0" w:color="000000"/>
              <w:right w:val="single" w:sz="4" w:space="0" w:color="000000"/>
            </w:tcBorders>
          </w:tcPr>
          <w:p>
            <w:pPr>
              <w:pStyle w:val="Style25"/>
              <w:widowControl w:val="false"/>
              <w:tabs>
                <w:tab w:val="clear" w:pos="720"/>
                <w:tab w:val="left" w:pos="-540" w:leader="none"/>
              </w:tabs>
              <w:snapToGrid w:val="false"/>
              <w:spacing w:before="0" w:after="240"/>
              <w:jc w:val="left"/>
              <w:rPr>
                <w:rFonts w:ascii="Calibri" w:hAnsi="Calibri" w:cs="Calibri"/>
                <w:sz w:val="22"/>
                <w:szCs w:val="22"/>
              </w:rPr>
            </w:pPr>
            <w:r>
              <w:rPr>
                <w:rFonts w:cs="Calibri"/>
                <w:sz w:val="22"/>
                <w:szCs w:val="22"/>
              </w:rPr>
            </w:r>
          </w:p>
        </w:tc>
      </w:tr>
      <w:tr>
        <w:trPr/>
        <w:tc>
          <w:tcPr>
            <w:tcW w:w="2434" w:type="dxa"/>
            <w:tcBorders>
              <w:left w:val="single" w:sz="4" w:space="0" w:color="000000"/>
              <w:bottom w:val="single" w:sz="4" w:space="0" w:color="000000"/>
            </w:tcBorders>
          </w:tcPr>
          <w:p>
            <w:pPr>
              <w:pStyle w:val="Normal"/>
              <w:widowControl w:val="false"/>
              <w:snapToGrid w:val="false"/>
              <w:spacing w:before="0" w:after="120"/>
              <w:rPr>
                <w:rFonts w:ascii="Calibri" w:hAnsi="Calibri" w:cs="Calibri"/>
                <w:sz w:val="22"/>
                <w:szCs w:val="22"/>
              </w:rPr>
            </w:pPr>
            <w:r>
              <w:rPr>
                <w:rFonts w:cs="Calibri"/>
                <w:sz w:val="22"/>
                <w:szCs w:val="22"/>
              </w:rPr>
              <w:t>Υλικό</w:t>
            </w:r>
          </w:p>
        </w:tc>
        <w:tc>
          <w:tcPr>
            <w:tcW w:w="4353" w:type="dxa"/>
            <w:tcBorders>
              <w:left w:val="single" w:sz="4" w:space="0" w:color="000000"/>
              <w:bottom w:val="single" w:sz="4" w:space="0" w:color="000000"/>
            </w:tcBorders>
          </w:tcPr>
          <w:p>
            <w:pPr>
              <w:pStyle w:val="Normal"/>
              <w:widowControl w:val="false"/>
              <w:snapToGrid w:val="false"/>
              <w:spacing w:before="0" w:after="120"/>
              <w:rPr>
                <w:rFonts w:ascii="Calibri" w:hAnsi="Calibri" w:cs="Calibri"/>
                <w:sz w:val="22"/>
                <w:szCs w:val="22"/>
              </w:rPr>
            </w:pPr>
            <w:r>
              <w:rPr>
                <w:rFonts w:cs="Calibri"/>
                <w:sz w:val="22"/>
                <w:szCs w:val="22"/>
              </w:rPr>
              <w:t>Ανοξείδωτο ατσάλι</w:t>
            </w:r>
          </w:p>
        </w:tc>
        <w:tc>
          <w:tcPr>
            <w:tcW w:w="2629" w:type="dxa"/>
            <w:tcBorders>
              <w:left w:val="single" w:sz="4" w:space="0" w:color="000000"/>
              <w:bottom w:val="single" w:sz="4" w:space="0" w:color="000000"/>
              <w:right w:val="single" w:sz="4" w:space="0" w:color="000000"/>
            </w:tcBorders>
          </w:tcPr>
          <w:p>
            <w:pPr>
              <w:pStyle w:val="Style25"/>
              <w:widowControl w:val="false"/>
              <w:tabs>
                <w:tab w:val="clear" w:pos="720"/>
                <w:tab w:val="left" w:pos="-540" w:leader="none"/>
              </w:tabs>
              <w:snapToGrid w:val="false"/>
              <w:spacing w:before="0" w:after="240"/>
              <w:jc w:val="left"/>
              <w:rPr>
                <w:rFonts w:ascii="Calibri" w:hAnsi="Calibri" w:cs="Calibri"/>
                <w:sz w:val="22"/>
                <w:szCs w:val="22"/>
              </w:rPr>
            </w:pPr>
            <w:r>
              <w:rPr>
                <w:rFonts w:cs="Calibri"/>
                <w:sz w:val="22"/>
                <w:szCs w:val="22"/>
              </w:rPr>
            </w:r>
          </w:p>
        </w:tc>
      </w:tr>
    </w:tbl>
    <w:p>
      <w:pPr>
        <w:pStyle w:val="Normal"/>
        <w:tabs>
          <w:tab w:val="clear" w:pos="720"/>
          <w:tab w:val="left" w:pos="4095" w:leader="none"/>
        </w:tabs>
        <w:rPr>
          <w:rFonts w:ascii="Calibri" w:hAnsi="Calibri" w:cs="Calibri"/>
          <w:sz w:val="22"/>
          <w:szCs w:val="22"/>
          <w:lang w:val="en-US"/>
        </w:rPr>
      </w:pPr>
      <w:r>
        <w:rPr>
          <w:rFonts w:cs="Calibri"/>
          <w:sz w:val="22"/>
          <w:szCs w:val="22"/>
          <w:lang w:val="en-US"/>
        </w:rPr>
      </w:r>
    </w:p>
    <w:p>
      <w:pPr>
        <w:pStyle w:val="Normal"/>
        <w:tabs>
          <w:tab w:val="clear" w:pos="720"/>
          <w:tab w:val="left" w:pos="4800" w:leader="none"/>
        </w:tabs>
        <w:ind w:left="1077" w:hanging="0"/>
        <w:rPr>
          <w:rFonts w:ascii="Calibri" w:hAnsi="Calibri" w:cs="Calibri"/>
          <w:b/>
          <w:b/>
          <w:bCs/>
          <w:sz w:val="22"/>
          <w:szCs w:val="22"/>
        </w:rPr>
      </w:pPr>
      <w:r>
        <w:rPr>
          <w:rFonts w:cs="Calibri"/>
          <w:b/>
          <w:bCs/>
          <w:sz w:val="22"/>
          <w:szCs w:val="22"/>
        </w:rPr>
        <w:t>46. Πιατοθήκη</w:t>
      </w:r>
    </w:p>
    <w:tbl>
      <w:tblPr>
        <w:tblW w:w="9416" w:type="dxa"/>
        <w:jc w:val="left"/>
        <w:tblInd w:w="-65" w:type="dxa"/>
        <w:tblLayout w:type="fixed"/>
        <w:tblCellMar>
          <w:top w:w="0" w:type="dxa"/>
          <w:left w:w="108" w:type="dxa"/>
          <w:bottom w:w="0" w:type="dxa"/>
          <w:right w:w="108" w:type="dxa"/>
        </w:tblCellMar>
      </w:tblPr>
      <w:tblGrid>
        <w:gridCol w:w="2434"/>
        <w:gridCol w:w="4353"/>
        <w:gridCol w:w="2629"/>
      </w:tblGrid>
      <w:tr>
        <w:trPr/>
        <w:tc>
          <w:tcPr>
            <w:tcW w:w="2434" w:type="dxa"/>
            <w:tcBorders>
              <w:top w:val="single" w:sz="4" w:space="0" w:color="000000"/>
              <w:left w:val="single" w:sz="4" w:space="0" w:color="000000"/>
              <w:bottom w:val="single" w:sz="4" w:space="0" w:color="000000"/>
            </w:tcBorders>
            <w:shd w:fill="F2F2F2" w:val="clear"/>
          </w:tcPr>
          <w:p>
            <w:pPr>
              <w:pStyle w:val="Style25"/>
              <w:widowControl w:val="false"/>
              <w:tabs>
                <w:tab w:val="clear" w:pos="720"/>
                <w:tab w:val="left" w:pos="-540" w:leader="none"/>
              </w:tabs>
              <w:spacing w:before="0" w:after="240"/>
              <w:jc w:val="left"/>
              <w:rPr>
                <w:rFonts w:ascii="Calibri" w:hAnsi="Calibri" w:cs="Calibri"/>
                <w:b/>
                <w:b/>
                <w:sz w:val="22"/>
                <w:szCs w:val="22"/>
              </w:rPr>
            </w:pPr>
            <w:r>
              <w:rPr>
                <w:rFonts w:cs="Calibri"/>
                <w:b/>
                <w:sz w:val="22"/>
                <w:szCs w:val="22"/>
              </w:rPr>
              <w:t>Χαρακτηριστικό</w:t>
            </w:r>
          </w:p>
        </w:tc>
        <w:tc>
          <w:tcPr>
            <w:tcW w:w="4353" w:type="dxa"/>
            <w:tcBorders>
              <w:top w:val="single" w:sz="4" w:space="0" w:color="000000"/>
              <w:left w:val="single" w:sz="4" w:space="0" w:color="000000"/>
              <w:bottom w:val="single" w:sz="4" w:space="0" w:color="000000"/>
            </w:tcBorders>
            <w:shd w:fill="F2F2F2" w:val="clear"/>
          </w:tcPr>
          <w:p>
            <w:pPr>
              <w:pStyle w:val="Style25"/>
              <w:widowControl w:val="false"/>
              <w:tabs>
                <w:tab w:val="clear" w:pos="720"/>
                <w:tab w:val="left" w:pos="-540" w:leader="none"/>
              </w:tabs>
              <w:spacing w:before="0" w:after="240"/>
              <w:jc w:val="left"/>
              <w:rPr>
                <w:rFonts w:ascii="Calibri" w:hAnsi="Calibri" w:cs="Calibri"/>
                <w:b/>
                <w:b/>
                <w:sz w:val="22"/>
                <w:szCs w:val="22"/>
              </w:rPr>
            </w:pPr>
            <w:r>
              <w:rPr>
                <w:rFonts w:cs="Calibri"/>
                <w:b/>
                <w:sz w:val="22"/>
                <w:szCs w:val="22"/>
              </w:rPr>
              <w:t>Απαίτηση</w:t>
            </w:r>
          </w:p>
        </w:tc>
        <w:tc>
          <w:tcPr>
            <w:tcW w:w="2629" w:type="dxa"/>
            <w:tcBorders>
              <w:top w:val="single" w:sz="4" w:space="0" w:color="000000"/>
              <w:left w:val="single" w:sz="4" w:space="0" w:color="000000"/>
              <w:bottom w:val="single" w:sz="4" w:space="0" w:color="000000"/>
              <w:right w:val="single" w:sz="4" w:space="0" w:color="000000"/>
            </w:tcBorders>
            <w:shd w:fill="F2F2F2" w:val="clear"/>
          </w:tcPr>
          <w:p>
            <w:pPr>
              <w:pStyle w:val="Style25"/>
              <w:widowControl w:val="false"/>
              <w:tabs>
                <w:tab w:val="clear" w:pos="720"/>
                <w:tab w:val="left" w:pos="-540" w:leader="none"/>
              </w:tabs>
              <w:spacing w:before="0" w:after="240"/>
              <w:jc w:val="left"/>
              <w:rPr>
                <w:rFonts w:ascii="Calibri" w:hAnsi="Calibri" w:cs="Calibri"/>
                <w:b/>
                <w:b/>
                <w:sz w:val="22"/>
                <w:szCs w:val="22"/>
              </w:rPr>
            </w:pPr>
            <w:r>
              <w:rPr>
                <w:rFonts w:cs="Calibri"/>
                <w:b/>
                <w:sz w:val="22"/>
                <w:szCs w:val="22"/>
              </w:rPr>
              <w:t>Παρατηρήσεις</w:t>
            </w:r>
          </w:p>
        </w:tc>
      </w:tr>
      <w:tr>
        <w:trPr/>
        <w:tc>
          <w:tcPr>
            <w:tcW w:w="2434" w:type="dxa"/>
            <w:tcBorders>
              <w:top w:val="single" w:sz="4" w:space="0" w:color="000000"/>
              <w:left w:val="single" w:sz="4" w:space="0" w:color="000000"/>
              <w:bottom w:val="single" w:sz="4" w:space="0" w:color="000000"/>
            </w:tcBorders>
          </w:tcPr>
          <w:p>
            <w:pPr>
              <w:pStyle w:val="Normal"/>
              <w:widowControl w:val="false"/>
              <w:snapToGrid w:val="false"/>
              <w:spacing w:before="0" w:after="120"/>
              <w:rPr>
                <w:rFonts w:ascii="Calibri" w:hAnsi="Calibri" w:cs="Calibri"/>
                <w:sz w:val="22"/>
                <w:szCs w:val="22"/>
              </w:rPr>
            </w:pPr>
            <w:r>
              <w:rPr>
                <w:rFonts w:cs="Calibri"/>
                <w:sz w:val="22"/>
                <w:szCs w:val="22"/>
              </w:rPr>
              <w:t>Διαστάσεις</w:t>
            </w:r>
          </w:p>
        </w:tc>
        <w:tc>
          <w:tcPr>
            <w:tcW w:w="4353" w:type="dxa"/>
            <w:tcBorders>
              <w:top w:val="single" w:sz="4" w:space="0" w:color="000000"/>
              <w:left w:val="single" w:sz="4" w:space="0" w:color="000000"/>
              <w:bottom w:val="single" w:sz="4" w:space="0" w:color="000000"/>
            </w:tcBorders>
          </w:tcPr>
          <w:p>
            <w:pPr>
              <w:pStyle w:val="Normal"/>
              <w:widowControl w:val="false"/>
              <w:snapToGrid w:val="false"/>
              <w:spacing w:before="0" w:after="120"/>
              <w:rPr/>
            </w:pPr>
            <w:r>
              <w:rPr>
                <w:rFonts w:cs="Calibri"/>
                <w:sz w:val="22"/>
                <w:szCs w:val="22"/>
              </w:rPr>
              <w:t>Τουλάχιστον 45</w:t>
            </w:r>
            <w:r>
              <w:rPr>
                <w:rFonts w:cs="Calibri"/>
                <w:sz w:val="22"/>
                <w:szCs w:val="22"/>
                <w:lang w:val="en-US"/>
              </w:rPr>
              <w:t>x35x9cm</w:t>
            </w:r>
          </w:p>
        </w:tc>
        <w:tc>
          <w:tcPr>
            <w:tcW w:w="2629" w:type="dxa"/>
            <w:tcBorders>
              <w:top w:val="single" w:sz="4" w:space="0" w:color="000000"/>
              <w:left w:val="single" w:sz="4" w:space="0" w:color="000000"/>
              <w:bottom w:val="single" w:sz="4" w:space="0" w:color="000000"/>
              <w:right w:val="single" w:sz="4" w:space="0" w:color="000000"/>
            </w:tcBorders>
          </w:tcPr>
          <w:p>
            <w:pPr>
              <w:pStyle w:val="Style25"/>
              <w:widowControl w:val="false"/>
              <w:tabs>
                <w:tab w:val="clear" w:pos="720"/>
                <w:tab w:val="left" w:pos="-540" w:leader="none"/>
              </w:tabs>
              <w:snapToGrid w:val="false"/>
              <w:spacing w:before="0" w:after="240"/>
              <w:jc w:val="left"/>
              <w:rPr>
                <w:rFonts w:ascii="Calibri" w:hAnsi="Calibri" w:cs="Calibri"/>
                <w:sz w:val="22"/>
                <w:szCs w:val="22"/>
              </w:rPr>
            </w:pPr>
            <w:r>
              <w:rPr>
                <w:rFonts w:cs="Calibri"/>
                <w:sz w:val="22"/>
                <w:szCs w:val="22"/>
              </w:rPr>
            </w:r>
          </w:p>
        </w:tc>
      </w:tr>
      <w:tr>
        <w:trPr/>
        <w:tc>
          <w:tcPr>
            <w:tcW w:w="2434" w:type="dxa"/>
            <w:tcBorders>
              <w:left w:val="single" w:sz="4" w:space="0" w:color="000000"/>
              <w:bottom w:val="single" w:sz="4" w:space="0" w:color="000000"/>
            </w:tcBorders>
          </w:tcPr>
          <w:p>
            <w:pPr>
              <w:pStyle w:val="Normal"/>
              <w:widowControl w:val="false"/>
              <w:snapToGrid w:val="false"/>
              <w:spacing w:before="0" w:after="120"/>
              <w:rPr>
                <w:rFonts w:ascii="Calibri" w:hAnsi="Calibri" w:cs="Calibri"/>
                <w:sz w:val="22"/>
                <w:szCs w:val="22"/>
              </w:rPr>
            </w:pPr>
            <w:r>
              <w:rPr>
                <w:rFonts w:cs="Calibri"/>
                <w:sz w:val="22"/>
                <w:szCs w:val="22"/>
              </w:rPr>
              <w:t>Υλικό</w:t>
            </w:r>
          </w:p>
        </w:tc>
        <w:tc>
          <w:tcPr>
            <w:tcW w:w="4353" w:type="dxa"/>
            <w:tcBorders>
              <w:left w:val="single" w:sz="4" w:space="0" w:color="000000"/>
              <w:bottom w:val="single" w:sz="4" w:space="0" w:color="000000"/>
            </w:tcBorders>
          </w:tcPr>
          <w:p>
            <w:pPr>
              <w:pStyle w:val="Normal"/>
              <w:widowControl w:val="false"/>
              <w:snapToGrid w:val="false"/>
              <w:spacing w:before="0" w:after="120"/>
              <w:rPr>
                <w:rFonts w:ascii="Calibri" w:hAnsi="Calibri" w:cs="Calibri"/>
                <w:sz w:val="22"/>
                <w:szCs w:val="22"/>
              </w:rPr>
            </w:pPr>
            <w:r>
              <w:rPr>
                <w:rFonts w:cs="Calibri"/>
                <w:sz w:val="22"/>
                <w:szCs w:val="22"/>
              </w:rPr>
              <w:t>Πλαστικό</w:t>
            </w:r>
          </w:p>
        </w:tc>
        <w:tc>
          <w:tcPr>
            <w:tcW w:w="2629" w:type="dxa"/>
            <w:tcBorders>
              <w:left w:val="single" w:sz="4" w:space="0" w:color="000000"/>
              <w:bottom w:val="single" w:sz="4" w:space="0" w:color="000000"/>
              <w:right w:val="single" w:sz="4" w:space="0" w:color="000000"/>
            </w:tcBorders>
          </w:tcPr>
          <w:p>
            <w:pPr>
              <w:pStyle w:val="Style25"/>
              <w:widowControl w:val="false"/>
              <w:tabs>
                <w:tab w:val="clear" w:pos="720"/>
                <w:tab w:val="left" w:pos="-540" w:leader="none"/>
              </w:tabs>
              <w:snapToGrid w:val="false"/>
              <w:spacing w:before="0" w:after="240"/>
              <w:jc w:val="left"/>
              <w:rPr>
                <w:rFonts w:ascii="Calibri" w:hAnsi="Calibri" w:cs="Calibri"/>
                <w:sz w:val="22"/>
                <w:szCs w:val="22"/>
              </w:rPr>
            </w:pPr>
            <w:r>
              <w:rPr>
                <w:rFonts w:cs="Calibri"/>
                <w:sz w:val="22"/>
                <w:szCs w:val="22"/>
              </w:rPr>
            </w:r>
          </w:p>
        </w:tc>
      </w:tr>
      <w:tr>
        <w:trPr/>
        <w:tc>
          <w:tcPr>
            <w:tcW w:w="2434" w:type="dxa"/>
            <w:tcBorders>
              <w:left w:val="single" w:sz="4" w:space="0" w:color="000000"/>
              <w:bottom w:val="single" w:sz="4" w:space="0" w:color="000000"/>
            </w:tcBorders>
          </w:tcPr>
          <w:p>
            <w:pPr>
              <w:pStyle w:val="Normal"/>
              <w:widowControl w:val="false"/>
              <w:snapToGrid w:val="false"/>
              <w:spacing w:before="0" w:after="120"/>
              <w:rPr>
                <w:rFonts w:ascii="Calibri" w:hAnsi="Calibri" w:cs="Calibri"/>
                <w:sz w:val="22"/>
                <w:szCs w:val="22"/>
              </w:rPr>
            </w:pPr>
            <w:r>
              <w:rPr>
                <w:rFonts w:cs="Calibri"/>
                <w:sz w:val="22"/>
                <w:szCs w:val="22"/>
              </w:rPr>
              <w:t>Δίσκος σαν βάση</w:t>
            </w:r>
          </w:p>
        </w:tc>
        <w:tc>
          <w:tcPr>
            <w:tcW w:w="4353" w:type="dxa"/>
            <w:tcBorders>
              <w:left w:val="single" w:sz="4" w:space="0" w:color="000000"/>
              <w:bottom w:val="single" w:sz="4" w:space="0" w:color="000000"/>
            </w:tcBorders>
          </w:tcPr>
          <w:p>
            <w:pPr>
              <w:pStyle w:val="Normal"/>
              <w:widowControl w:val="false"/>
              <w:snapToGrid w:val="false"/>
              <w:spacing w:before="0" w:after="120"/>
              <w:rPr>
                <w:rFonts w:ascii="Calibri" w:hAnsi="Calibri" w:cs="Calibri"/>
                <w:sz w:val="22"/>
                <w:szCs w:val="22"/>
              </w:rPr>
            </w:pPr>
            <w:r>
              <w:rPr>
                <w:rFonts w:cs="Calibri"/>
                <w:sz w:val="22"/>
                <w:szCs w:val="22"/>
              </w:rPr>
              <w:t>Ναι</w:t>
            </w:r>
          </w:p>
        </w:tc>
        <w:tc>
          <w:tcPr>
            <w:tcW w:w="2629" w:type="dxa"/>
            <w:tcBorders>
              <w:left w:val="single" w:sz="4" w:space="0" w:color="000000"/>
              <w:bottom w:val="single" w:sz="4" w:space="0" w:color="000000"/>
              <w:right w:val="single" w:sz="4" w:space="0" w:color="000000"/>
            </w:tcBorders>
          </w:tcPr>
          <w:p>
            <w:pPr>
              <w:pStyle w:val="Style25"/>
              <w:widowControl w:val="false"/>
              <w:tabs>
                <w:tab w:val="clear" w:pos="720"/>
                <w:tab w:val="left" w:pos="-540" w:leader="none"/>
              </w:tabs>
              <w:snapToGrid w:val="false"/>
              <w:spacing w:before="0" w:after="240"/>
              <w:jc w:val="left"/>
              <w:rPr>
                <w:rFonts w:ascii="Calibri" w:hAnsi="Calibri" w:cs="Calibri"/>
                <w:sz w:val="22"/>
                <w:szCs w:val="22"/>
              </w:rPr>
            </w:pPr>
            <w:r>
              <w:rPr>
                <w:rFonts w:cs="Calibri"/>
                <w:sz w:val="22"/>
                <w:szCs w:val="22"/>
              </w:rPr>
            </w:r>
          </w:p>
        </w:tc>
      </w:tr>
    </w:tbl>
    <w:p>
      <w:pPr>
        <w:pStyle w:val="Normal"/>
        <w:tabs>
          <w:tab w:val="clear" w:pos="720"/>
          <w:tab w:val="left" w:pos="4095" w:leader="none"/>
        </w:tabs>
        <w:rPr>
          <w:rFonts w:ascii="Calibri" w:hAnsi="Calibri" w:cs="Calibri"/>
          <w:sz w:val="22"/>
          <w:szCs w:val="22"/>
        </w:rPr>
      </w:pPr>
      <w:r>
        <w:rPr>
          <w:rFonts w:cs="Calibri"/>
          <w:sz w:val="22"/>
          <w:szCs w:val="22"/>
        </w:rPr>
      </w:r>
    </w:p>
    <w:p>
      <w:pPr>
        <w:pStyle w:val="Normal"/>
        <w:tabs>
          <w:tab w:val="clear" w:pos="720"/>
          <w:tab w:val="left" w:pos="4800" w:leader="none"/>
        </w:tabs>
        <w:ind w:left="1077" w:hanging="0"/>
        <w:rPr>
          <w:rFonts w:ascii="Calibri" w:hAnsi="Calibri" w:cs="Calibri"/>
          <w:b/>
          <w:b/>
          <w:bCs/>
          <w:sz w:val="22"/>
          <w:szCs w:val="22"/>
        </w:rPr>
      </w:pPr>
      <w:r>
        <w:rPr>
          <w:rFonts w:cs="Calibri"/>
          <w:b/>
          <w:bCs/>
          <w:sz w:val="22"/>
          <w:szCs w:val="22"/>
        </w:rPr>
        <w:t>47. Σετ δοχεία τροφίμων</w:t>
      </w:r>
    </w:p>
    <w:tbl>
      <w:tblPr>
        <w:tblW w:w="9416" w:type="dxa"/>
        <w:jc w:val="left"/>
        <w:tblInd w:w="-65" w:type="dxa"/>
        <w:tblLayout w:type="fixed"/>
        <w:tblCellMar>
          <w:top w:w="0" w:type="dxa"/>
          <w:left w:w="108" w:type="dxa"/>
          <w:bottom w:w="0" w:type="dxa"/>
          <w:right w:w="108" w:type="dxa"/>
        </w:tblCellMar>
      </w:tblPr>
      <w:tblGrid>
        <w:gridCol w:w="2434"/>
        <w:gridCol w:w="4353"/>
        <w:gridCol w:w="2629"/>
      </w:tblGrid>
      <w:tr>
        <w:trPr/>
        <w:tc>
          <w:tcPr>
            <w:tcW w:w="2434" w:type="dxa"/>
            <w:tcBorders>
              <w:top w:val="single" w:sz="4" w:space="0" w:color="000000"/>
              <w:left w:val="single" w:sz="4" w:space="0" w:color="000000"/>
              <w:bottom w:val="single" w:sz="4" w:space="0" w:color="000000"/>
            </w:tcBorders>
            <w:shd w:fill="F2F2F2" w:val="clear"/>
          </w:tcPr>
          <w:p>
            <w:pPr>
              <w:pStyle w:val="Style25"/>
              <w:widowControl w:val="false"/>
              <w:tabs>
                <w:tab w:val="clear" w:pos="720"/>
                <w:tab w:val="left" w:pos="-540" w:leader="none"/>
              </w:tabs>
              <w:spacing w:before="0" w:after="240"/>
              <w:jc w:val="left"/>
              <w:rPr>
                <w:rFonts w:ascii="Calibri" w:hAnsi="Calibri" w:cs="Calibri"/>
                <w:b/>
                <w:b/>
                <w:sz w:val="22"/>
                <w:szCs w:val="22"/>
              </w:rPr>
            </w:pPr>
            <w:r>
              <w:rPr>
                <w:rFonts w:cs="Calibri"/>
                <w:b/>
                <w:sz w:val="22"/>
                <w:szCs w:val="22"/>
              </w:rPr>
              <w:t>Χαρακτηριστικό</w:t>
            </w:r>
          </w:p>
        </w:tc>
        <w:tc>
          <w:tcPr>
            <w:tcW w:w="4353" w:type="dxa"/>
            <w:tcBorders>
              <w:top w:val="single" w:sz="4" w:space="0" w:color="000000"/>
              <w:left w:val="single" w:sz="4" w:space="0" w:color="000000"/>
              <w:bottom w:val="single" w:sz="4" w:space="0" w:color="000000"/>
            </w:tcBorders>
            <w:shd w:fill="F2F2F2" w:val="clear"/>
          </w:tcPr>
          <w:p>
            <w:pPr>
              <w:pStyle w:val="Style25"/>
              <w:widowControl w:val="false"/>
              <w:tabs>
                <w:tab w:val="clear" w:pos="720"/>
                <w:tab w:val="left" w:pos="-540" w:leader="none"/>
              </w:tabs>
              <w:spacing w:before="0" w:after="240"/>
              <w:jc w:val="left"/>
              <w:rPr>
                <w:rFonts w:ascii="Calibri" w:hAnsi="Calibri" w:cs="Calibri"/>
                <w:b/>
                <w:b/>
                <w:sz w:val="22"/>
                <w:szCs w:val="22"/>
              </w:rPr>
            </w:pPr>
            <w:r>
              <w:rPr>
                <w:rFonts w:cs="Calibri"/>
                <w:b/>
                <w:sz w:val="22"/>
                <w:szCs w:val="22"/>
              </w:rPr>
              <w:t>Απαίτηση</w:t>
            </w:r>
          </w:p>
        </w:tc>
        <w:tc>
          <w:tcPr>
            <w:tcW w:w="2629" w:type="dxa"/>
            <w:tcBorders>
              <w:top w:val="single" w:sz="4" w:space="0" w:color="000000"/>
              <w:left w:val="single" w:sz="4" w:space="0" w:color="000000"/>
              <w:bottom w:val="single" w:sz="4" w:space="0" w:color="000000"/>
              <w:right w:val="single" w:sz="4" w:space="0" w:color="000000"/>
            </w:tcBorders>
            <w:shd w:fill="F2F2F2" w:val="clear"/>
          </w:tcPr>
          <w:p>
            <w:pPr>
              <w:pStyle w:val="Style25"/>
              <w:widowControl w:val="false"/>
              <w:tabs>
                <w:tab w:val="clear" w:pos="720"/>
                <w:tab w:val="left" w:pos="-540" w:leader="none"/>
              </w:tabs>
              <w:spacing w:before="0" w:after="240"/>
              <w:jc w:val="left"/>
              <w:rPr>
                <w:rFonts w:ascii="Calibri" w:hAnsi="Calibri" w:cs="Calibri"/>
                <w:b/>
                <w:b/>
                <w:sz w:val="22"/>
                <w:szCs w:val="22"/>
              </w:rPr>
            </w:pPr>
            <w:r>
              <w:rPr>
                <w:rFonts w:cs="Calibri"/>
                <w:b/>
                <w:sz w:val="22"/>
                <w:szCs w:val="22"/>
              </w:rPr>
              <w:t>Παρατηρήσεις</w:t>
            </w:r>
          </w:p>
        </w:tc>
      </w:tr>
      <w:tr>
        <w:trPr/>
        <w:tc>
          <w:tcPr>
            <w:tcW w:w="2434" w:type="dxa"/>
            <w:tcBorders>
              <w:top w:val="single" w:sz="4" w:space="0" w:color="000000"/>
              <w:left w:val="single" w:sz="4" w:space="0" w:color="000000"/>
              <w:bottom w:val="single" w:sz="4" w:space="0" w:color="000000"/>
            </w:tcBorders>
          </w:tcPr>
          <w:p>
            <w:pPr>
              <w:pStyle w:val="Normal"/>
              <w:widowControl w:val="false"/>
              <w:snapToGrid w:val="false"/>
              <w:spacing w:before="0" w:after="120"/>
              <w:rPr>
                <w:rFonts w:ascii="Calibri" w:hAnsi="Calibri" w:cs="Calibri"/>
                <w:sz w:val="22"/>
                <w:szCs w:val="22"/>
              </w:rPr>
            </w:pPr>
            <w:r>
              <w:rPr>
                <w:rFonts w:cs="Calibri"/>
                <w:sz w:val="22"/>
                <w:szCs w:val="22"/>
              </w:rPr>
              <w:t>Τεμάχια</w:t>
            </w:r>
          </w:p>
        </w:tc>
        <w:tc>
          <w:tcPr>
            <w:tcW w:w="4353" w:type="dxa"/>
            <w:tcBorders>
              <w:top w:val="single" w:sz="4" w:space="0" w:color="000000"/>
              <w:left w:val="single" w:sz="4" w:space="0" w:color="000000"/>
              <w:bottom w:val="single" w:sz="4" w:space="0" w:color="000000"/>
            </w:tcBorders>
          </w:tcPr>
          <w:p>
            <w:pPr>
              <w:pStyle w:val="Normal"/>
              <w:widowControl w:val="false"/>
              <w:snapToGrid w:val="false"/>
              <w:spacing w:before="0" w:after="120"/>
              <w:rPr>
                <w:rFonts w:ascii="Calibri" w:hAnsi="Calibri" w:cs="Calibri"/>
                <w:sz w:val="22"/>
                <w:szCs w:val="22"/>
              </w:rPr>
            </w:pPr>
            <w:r>
              <w:rPr>
                <w:rFonts w:cs="Calibri"/>
                <w:sz w:val="22"/>
                <w:szCs w:val="22"/>
              </w:rPr>
              <w:t>Τουλάχιστον 4</w:t>
            </w:r>
          </w:p>
        </w:tc>
        <w:tc>
          <w:tcPr>
            <w:tcW w:w="2629" w:type="dxa"/>
            <w:tcBorders>
              <w:top w:val="single" w:sz="4" w:space="0" w:color="000000"/>
              <w:left w:val="single" w:sz="4" w:space="0" w:color="000000"/>
              <w:bottom w:val="single" w:sz="4" w:space="0" w:color="000000"/>
              <w:right w:val="single" w:sz="4" w:space="0" w:color="000000"/>
            </w:tcBorders>
          </w:tcPr>
          <w:p>
            <w:pPr>
              <w:pStyle w:val="Style25"/>
              <w:widowControl w:val="false"/>
              <w:tabs>
                <w:tab w:val="clear" w:pos="720"/>
                <w:tab w:val="left" w:pos="-540" w:leader="none"/>
              </w:tabs>
              <w:snapToGrid w:val="false"/>
              <w:spacing w:before="0" w:after="240"/>
              <w:jc w:val="left"/>
              <w:rPr>
                <w:rFonts w:ascii="Calibri" w:hAnsi="Calibri" w:cs="Calibri"/>
                <w:sz w:val="22"/>
                <w:szCs w:val="22"/>
              </w:rPr>
            </w:pPr>
            <w:r>
              <w:rPr>
                <w:rFonts w:cs="Calibri"/>
                <w:sz w:val="22"/>
                <w:szCs w:val="22"/>
              </w:rPr>
              <w:t>Με τα καπάκια τους</w:t>
            </w:r>
          </w:p>
        </w:tc>
      </w:tr>
      <w:tr>
        <w:trPr/>
        <w:tc>
          <w:tcPr>
            <w:tcW w:w="2434" w:type="dxa"/>
            <w:tcBorders>
              <w:left w:val="single" w:sz="4" w:space="0" w:color="000000"/>
              <w:bottom w:val="single" w:sz="4" w:space="0" w:color="000000"/>
            </w:tcBorders>
          </w:tcPr>
          <w:p>
            <w:pPr>
              <w:pStyle w:val="Normal"/>
              <w:widowControl w:val="false"/>
              <w:snapToGrid w:val="false"/>
              <w:spacing w:before="0" w:after="120"/>
              <w:rPr>
                <w:rFonts w:ascii="Calibri" w:hAnsi="Calibri" w:cs="Calibri"/>
                <w:sz w:val="22"/>
                <w:szCs w:val="22"/>
              </w:rPr>
            </w:pPr>
            <w:r>
              <w:rPr>
                <w:rFonts w:cs="Calibri"/>
                <w:sz w:val="22"/>
                <w:szCs w:val="22"/>
              </w:rPr>
              <w:t>Χωρητικότητα</w:t>
            </w:r>
          </w:p>
        </w:tc>
        <w:tc>
          <w:tcPr>
            <w:tcW w:w="4353" w:type="dxa"/>
            <w:tcBorders>
              <w:left w:val="single" w:sz="4" w:space="0" w:color="000000"/>
              <w:bottom w:val="single" w:sz="4" w:space="0" w:color="000000"/>
            </w:tcBorders>
          </w:tcPr>
          <w:p>
            <w:pPr>
              <w:pStyle w:val="Normal"/>
              <w:widowControl w:val="false"/>
              <w:snapToGrid w:val="false"/>
              <w:spacing w:before="0" w:after="120"/>
              <w:rPr/>
            </w:pPr>
            <w:r>
              <w:rPr>
                <w:rFonts w:cs="Calibri"/>
                <w:sz w:val="22"/>
                <w:szCs w:val="22"/>
              </w:rPr>
              <w:t xml:space="preserve">Διαφορετικού μεγέθους, από 0.3 έως 4 </w:t>
            </w:r>
            <w:r>
              <w:rPr>
                <w:rFonts w:cs="Calibri"/>
                <w:sz w:val="22"/>
                <w:szCs w:val="22"/>
                <w:lang w:val="en-US"/>
              </w:rPr>
              <w:t>Lt</w:t>
            </w:r>
          </w:p>
        </w:tc>
        <w:tc>
          <w:tcPr>
            <w:tcW w:w="2629" w:type="dxa"/>
            <w:tcBorders>
              <w:left w:val="single" w:sz="4" w:space="0" w:color="000000"/>
              <w:bottom w:val="single" w:sz="4" w:space="0" w:color="000000"/>
              <w:right w:val="single" w:sz="4" w:space="0" w:color="000000"/>
            </w:tcBorders>
          </w:tcPr>
          <w:p>
            <w:pPr>
              <w:pStyle w:val="Style25"/>
              <w:widowControl w:val="false"/>
              <w:tabs>
                <w:tab w:val="clear" w:pos="720"/>
                <w:tab w:val="left" w:pos="-540" w:leader="none"/>
              </w:tabs>
              <w:snapToGrid w:val="false"/>
              <w:spacing w:before="0" w:after="240"/>
              <w:jc w:val="left"/>
              <w:rPr>
                <w:rFonts w:ascii="Calibri" w:hAnsi="Calibri" w:cs="Calibri"/>
                <w:sz w:val="22"/>
                <w:szCs w:val="22"/>
              </w:rPr>
            </w:pPr>
            <w:r>
              <w:rPr>
                <w:rFonts w:cs="Calibri"/>
                <w:sz w:val="22"/>
                <w:szCs w:val="22"/>
              </w:rPr>
            </w:r>
          </w:p>
        </w:tc>
      </w:tr>
      <w:tr>
        <w:trPr/>
        <w:tc>
          <w:tcPr>
            <w:tcW w:w="2434" w:type="dxa"/>
            <w:tcBorders>
              <w:left w:val="single" w:sz="4" w:space="0" w:color="000000"/>
              <w:bottom w:val="single" w:sz="4" w:space="0" w:color="000000"/>
            </w:tcBorders>
          </w:tcPr>
          <w:p>
            <w:pPr>
              <w:pStyle w:val="Normal"/>
              <w:widowControl w:val="false"/>
              <w:snapToGrid w:val="false"/>
              <w:spacing w:before="0" w:after="120"/>
              <w:rPr>
                <w:rFonts w:ascii="Calibri" w:hAnsi="Calibri" w:cs="Calibri"/>
                <w:sz w:val="22"/>
                <w:szCs w:val="22"/>
              </w:rPr>
            </w:pPr>
            <w:r>
              <w:rPr>
                <w:rFonts w:cs="Calibri"/>
                <w:sz w:val="22"/>
                <w:szCs w:val="22"/>
              </w:rPr>
              <w:t>Υλικό</w:t>
            </w:r>
          </w:p>
        </w:tc>
        <w:tc>
          <w:tcPr>
            <w:tcW w:w="4353" w:type="dxa"/>
            <w:tcBorders>
              <w:left w:val="single" w:sz="4" w:space="0" w:color="000000"/>
              <w:bottom w:val="single" w:sz="4" w:space="0" w:color="000000"/>
            </w:tcBorders>
          </w:tcPr>
          <w:p>
            <w:pPr>
              <w:pStyle w:val="Normal"/>
              <w:widowControl w:val="false"/>
              <w:snapToGrid w:val="false"/>
              <w:spacing w:before="0" w:after="120"/>
              <w:rPr>
                <w:rFonts w:ascii="Calibri" w:hAnsi="Calibri" w:cs="Calibri"/>
                <w:sz w:val="22"/>
                <w:szCs w:val="22"/>
              </w:rPr>
            </w:pPr>
            <w:r>
              <w:rPr>
                <w:rFonts w:cs="Calibri"/>
                <w:sz w:val="22"/>
                <w:szCs w:val="22"/>
              </w:rPr>
              <w:t>Πλαστικό</w:t>
            </w:r>
          </w:p>
        </w:tc>
        <w:tc>
          <w:tcPr>
            <w:tcW w:w="2629" w:type="dxa"/>
            <w:tcBorders>
              <w:left w:val="single" w:sz="4" w:space="0" w:color="000000"/>
              <w:bottom w:val="single" w:sz="4" w:space="0" w:color="000000"/>
              <w:right w:val="single" w:sz="4" w:space="0" w:color="000000"/>
            </w:tcBorders>
          </w:tcPr>
          <w:p>
            <w:pPr>
              <w:pStyle w:val="Style25"/>
              <w:widowControl w:val="false"/>
              <w:tabs>
                <w:tab w:val="clear" w:pos="720"/>
                <w:tab w:val="left" w:pos="-540" w:leader="none"/>
              </w:tabs>
              <w:snapToGrid w:val="false"/>
              <w:spacing w:before="0" w:after="240"/>
              <w:jc w:val="left"/>
              <w:rPr>
                <w:rFonts w:ascii="Calibri" w:hAnsi="Calibri" w:cs="Calibri"/>
                <w:sz w:val="22"/>
                <w:szCs w:val="22"/>
              </w:rPr>
            </w:pPr>
            <w:r>
              <w:rPr>
                <w:rFonts w:cs="Calibri"/>
                <w:sz w:val="22"/>
                <w:szCs w:val="22"/>
              </w:rPr>
              <w:t>Κατάλληλο για τρόφιμα</w:t>
            </w:r>
          </w:p>
        </w:tc>
      </w:tr>
    </w:tbl>
    <w:p>
      <w:pPr>
        <w:pStyle w:val="Normal"/>
        <w:tabs>
          <w:tab w:val="clear" w:pos="720"/>
          <w:tab w:val="left" w:pos="4095" w:leader="none"/>
        </w:tabs>
        <w:rPr>
          <w:rFonts w:ascii="Calibri" w:hAnsi="Calibri" w:cs="Calibri"/>
          <w:sz w:val="22"/>
          <w:szCs w:val="22"/>
        </w:rPr>
      </w:pPr>
      <w:r>
        <w:rPr>
          <w:rFonts w:cs="Calibri"/>
          <w:sz w:val="22"/>
          <w:szCs w:val="22"/>
        </w:rPr>
      </w:r>
    </w:p>
    <w:p>
      <w:pPr>
        <w:pStyle w:val="Normal"/>
        <w:tabs>
          <w:tab w:val="clear" w:pos="720"/>
          <w:tab w:val="left" w:pos="4800" w:leader="none"/>
        </w:tabs>
        <w:ind w:left="1077" w:hanging="0"/>
        <w:rPr>
          <w:rFonts w:ascii="Calibri" w:hAnsi="Calibri" w:cs="Calibri"/>
          <w:b/>
          <w:b/>
          <w:bCs/>
          <w:sz w:val="22"/>
          <w:szCs w:val="22"/>
        </w:rPr>
      </w:pPr>
      <w:r>
        <w:rPr>
          <w:rFonts w:cs="Calibri"/>
          <w:b/>
          <w:bCs/>
          <w:sz w:val="22"/>
          <w:szCs w:val="22"/>
        </w:rPr>
        <w:t>48. Σετ μαγειρικά σκεύη</w:t>
      </w:r>
    </w:p>
    <w:tbl>
      <w:tblPr>
        <w:tblW w:w="9416" w:type="dxa"/>
        <w:jc w:val="left"/>
        <w:tblInd w:w="-65" w:type="dxa"/>
        <w:tblLayout w:type="fixed"/>
        <w:tblCellMar>
          <w:top w:w="0" w:type="dxa"/>
          <w:left w:w="108" w:type="dxa"/>
          <w:bottom w:w="0" w:type="dxa"/>
          <w:right w:w="108" w:type="dxa"/>
        </w:tblCellMar>
      </w:tblPr>
      <w:tblGrid>
        <w:gridCol w:w="2434"/>
        <w:gridCol w:w="4353"/>
        <w:gridCol w:w="2629"/>
      </w:tblGrid>
      <w:tr>
        <w:trPr/>
        <w:tc>
          <w:tcPr>
            <w:tcW w:w="2434" w:type="dxa"/>
            <w:tcBorders>
              <w:top w:val="single" w:sz="4" w:space="0" w:color="000000"/>
              <w:left w:val="single" w:sz="4" w:space="0" w:color="000000"/>
              <w:bottom w:val="single" w:sz="4" w:space="0" w:color="000000"/>
            </w:tcBorders>
            <w:shd w:fill="F2F2F2" w:val="clear"/>
          </w:tcPr>
          <w:p>
            <w:pPr>
              <w:pStyle w:val="Style25"/>
              <w:widowControl w:val="false"/>
              <w:tabs>
                <w:tab w:val="clear" w:pos="720"/>
                <w:tab w:val="left" w:pos="-540" w:leader="none"/>
              </w:tabs>
              <w:spacing w:before="0" w:after="240"/>
              <w:jc w:val="left"/>
              <w:rPr>
                <w:rFonts w:ascii="Calibri" w:hAnsi="Calibri" w:cs="Calibri"/>
                <w:b/>
                <w:b/>
                <w:sz w:val="22"/>
                <w:szCs w:val="22"/>
              </w:rPr>
            </w:pPr>
            <w:r>
              <w:rPr>
                <w:rFonts w:cs="Calibri"/>
                <w:b/>
                <w:sz w:val="22"/>
                <w:szCs w:val="22"/>
              </w:rPr>
              <w:t>Χαρακτηριστικό</w:t>
            </w:r>
          </w:p>
        </w:tc>
        <w:tc>
          <w:tcPr>
            <w:tcW w:w="4353" w:type="dxa"/>
            <w:tcBorders>
              <w:top w:val="single" w:sz="4" w:space="0" w:color="000000"/>
              <w:left w:val="single" w:sz="4" w:space="0" w:color="000000"/>
              <w:bottom w:val="single" w:sz="4" w:space="0" w:color="000000"/>
            </w:tcBorders>
            <w:shd w:fill="F2F2F2" w:val="clear"/>
          </w:tcPr>
          <w:p>
            <w:pPr>
              <w:pStyle w:val="Style25"/>
              <w:widowControl w:val="false"/>
              <w:tabs>
                <w:tab w:val="clear" w:pos="720"/>
                <w:tab w:val="left" w:pos="-540" w:leader="none"/>
              </w:tabs>
              <w:spacing w:before="0" w:after="240"/>
              <w:jc w:val="left"/>
              <w:rPr>
                <w:rFonts w:ascii="Calibri" w:hAnsi="Calibri" w:cs="Calibri"/>
                <w:b/>
                <w:b/>
                <w:sz w:val="22"/>
                <w:szCs w:val="22"/>
              </w:rPr>
            </w:pPr>
            <w:r>
              <w:rPr>
                <w:rFonts w:cs="Calibri"/>
                <w:b/>
                <w:sz w:val="22"/>
                <w:szCs w:val="22"/>
              </w:rPr>
              <w:t>Απαίτηση</w:t>
            </w:r>
          </w:p>
        </w:tc>
        <w:tc>
          <w:tcPr>
            <w:tcW w:w="2629" w:type="dxa"/>
            <w:tcBorders>
              <w:top w:val="single" w:sz="4" w:space="0" w:color="000000"/>
              <w:left w:val="single" w:sz="4" w:space="0" w:color="000000"/>
              <w:bottom w:val="single" w:sz="4" w:space="0" w:color="000000"/>
              <w:right w:val="single" w:sz="4" w:space="0" w:color="000000"/>
            </w:tcBorders>
            <w:shd w:fill="F2F2F2" w:val="clear"/>
          </w:tcPr>
          <w:p>
            <w:pPr>
              <w:pStyle w:val="Style25"/>
              <w:widowControl w:val="false"/>
              <w:tabs>
                <w:tab w:val="clear" w:pos="720"/>
                <w:tab w:val="left" w:pos="-540" w:leader="none"/>
              </w:tabs>
              <w:spacing w:before="0" w:after="240"/>
              <w:jc w:val="left"/>
              <w:rPr>
                <w:rFonts w:ascii="Calibri" w:hAnsi="Calibri" w:cs="Calibri"/>
                <w:b/>
                <w:b/>
                <w:sz w:val="22"/>
                <w:szCs w:val="22"/>
              </w:rPr>
            </w:pPr>
            <w:r>
              <w:rPr>
                <w:rFonts w:cs="Calibri"/>
                <w:b/>
                <w:sz w:val="22"/>
                <w:szCs w:val="22"/>
              </w:rPr>
              <w:t>Παρατηρήσεις</w:t>
            </w:r>
          </w:p>
        </w:tc>
      </w:tr>
      <w:tr>
        <w:trPr/>
        <w:tc>
          <w:tcPr>
            <w:tcW w:w="2434" w:type="dxa"/>
            <w:tcBorders>
              <w:top w:val="single" w:sz="4" w:space="0" w:color="000000"/>
              <w:left w:val="single" w:sz="4" w:space="0" w:color="000000"/>
              <w:bottom w:val="single" w:sz="4" w:space="0" w:color="000000"/>
            </w:tcBorders>
          </w:tcPr>
          <w:p>
            <w:pPr>
              <w:pStyle w:val="Normal"/>
              <w:widowControl w:val="false"/>
              <w:snapToGrid w:val="false"/>
              <w:spacing w:before="0" w:after="120"/>
              <w:rPr>
                <w:rFonts w:ascii="Calibri" w:hAnsi="Calibri" w:cs="Calibri"/>
                <w:sz w:val="22"/>
                <w:szCs w:val="22"/>
              </w:rPr>
            </w:pPr>
            <w:r>
              <w:rPr>
                <w:rFonts w:cs="Calibri"/>
                <w:sz w:val="22"/>
                <w:szCs w:val="22"/>
              </w:rPr>
              <w:t>Τεμάχια: κατσαρόλες</w:t>
            </w:r>
          </w:p>
        </w:tc>
        <w:tc>
          <w:tcPr>
            <w:tcW w:w="4353" w:type="dxa"/>
            <w:tcBorders>
              <w:top w:val="single" w:sz="4" w:space="0" w:color="000000"/>
              <w:left w:val="single" w:sz="4" w:space="0" w:color="000000"/>
              <w:bottom w:val="single" w:sz="4" w:space="0" w:color="000000"/>
            </w:tcBorders>
          </w:tcPr>
          <w:p>
            <w:pPr>
              <w:pStyle w:val="Normal"/>
              <w:widowControl w:val="false"/>
              <w:snapToGrid w:val="false"/>
              <w:spacing w:before="0" w:after="120"/>
              <w:rPr/>
            </w:pPr>
            <w:r>
              <w:rPr>
                <w:rFonts w:cs="Calibri"/>
                <w:sz w:val="22"/>
                <w:szCs w:val="22"/>
              </w:rPr>
              <w:t>Τουλάχιστον 3, διαφορετικού μεγέθους χωρητικότητας από 1.5 έως 4.5</w:t>
            </w:r>
            <w:r>
              <w:rPr>
                <w:rFonts w:cs="Calibri"/>
                <w:sz w:val="22"/>
                <w:szCs w:val="22"/>
                <w:lang w:val="en-US"/>
              </w:rPr>
              <w:t>Lt</w:t>
            </w:r>
          </w:p>
        </w:tc>
        <w:tc>
          <w:tcPr>
            <w:tcW w:w="2629" w:type="dxa"/>
            <w:tcBorders>
              <w:top w:val="single" w:sz="4" w:space="0" w:color="000000"/>
              <w:left w:val="single" w:sz="4" w:space="0" w:color="000000"/>
              <w:bottom w:val="single" w:sz="4" w:space="0" w:color="000000"/>
              <w:right w:val="single" w:sz="4" w:space="0" w:color="000000"/>
            </w:tcBorders>
          </w:tcPr>
          <w:p>
            <w:pPr>
              <w:pStyle w:val="Style25"/>
              <w:widowControl w:val="false"/>
              <w:tabs>
                <w:tab w:val="clear" w:pos="720"/>
                <w:tab w:val="left" w:pos="-540" w:leader="none"/>
              </w:tabs>
              <w:snapToGrid w:val="false"/>
              <w:spacing w:before="0" w:after="240"/>
              <w:jc w:val="left"/>
              <w:rPr>
                <w:rFonts w:ascii="Calibri" w:hAnsi="Calibri" w:cs="Calibri"/>
                <w:sz w:val="22"/>
                <w:szCs w:val="22"/>
              </w:rPr>
            </w:pPr>
            <w:r>
              <w:rPr>
                <w:rFonts w:cs="Calibri"/>
                <w:sz w:val="22"/>
                <w:szCs w:val="22"/>
              </w:rPr>
              <w:t>Με το καπάκι τους</w:t>
            </w:r>
          </w:p>
        </w:tc>
      </w:tr>
      <w:tr>
        <w:trPr/>
        <w:tc>
          <w:tcPr>
            <w:tcW w:w="2434" w:type="dxa"/>
            <w:tcBorders>
              <w:left w:val="single" w:sz="4" w:space="0" w:color="000000"/>
              <w:bottom w:val="single" w:sz="4" w:space="0" w:color="000000"/>
            </w:tcBorders>
          </w:tcPr>
          <w:p>
            <w:pPr>
              <w:pStyle w:val="Normal"/>
              <w:widowControl w:val="false"/>
              <w:snapToGrid w:val="false"/>
              <w:spacing w:before="0" w:after="120"/>
              <w:rPr/>
            </w:pPr>
            <w:r>
              <w:rPr>
                <w:rFonts w:eastAsia="Calibri" w:cs="Calibri"/>
                <w:sz w:val="22"/>
                <w:szCs w:val="22"/>
              </w:rPr>
              <w:t xml:space="preserve">                 </w:t>
            </w:r>
            <w:r>
              <w:rPr>
                <w:rFonts w:cs="Calibri"/>
                <w:sz w:val="22"/>
                <w:szCs w:val="22"/>
              </w:rPr>
              <w:t>τηγάνια</w:t>
            </w:r>
          </w:p>
        </w:tc>
        <w:tc>
          <w:tcPr>
            <w:tcW w:w="4353" w:type="dxa"/>
            <w:tcBorders>
              <w:left w:val="single" w:sz="4" w:space="0" w:color="000000"/>
              <w:bottom w:val="single" w:sz="4" w:space="0" w:color="000000"/>
            </w:tcBorders>
          </w:tcPr>
          <w:p>
            <w:pPr>
              <w:pStyle w:val="Normal"/>
              <w:widowControl w:val="false"/>
              <w:snapToGrid w:val="false"/>
              <w:spacing w:before="0" w:after="120"/>
              <w:rPr/>
            </w:pPr>
            <w:r>
              <w:rPr>
                <w:rFonts w:cs="Calibri"/>
                <w:sz w:val="22"/>
                <w:szCs w:val="22"/>
              </w:rPr>
              <w:t xml:space="preserve">Τουλάχιστον 2, διαφορετικής διαμέτρου από 20 έως 25 </w:t>
            </w:r>
            <w:r>
              <w:rPr>
                <w:rFonts w:cs="Calibri"/>
                <w:sz w:val="22"/>
                <w:szCs w:val="22"/>
                <w:lang w:val="en-US"/>
              </w:rPr>
              <w:t>cm</w:t>
            </w:r>
            <w:r>
              <w:rPr>
                <w:rFonts w:cs="Calibri"/>
                <w:sz w:val="22"/>
                <w:szCs w:val="22"/>
              </w:rPr>
              <w:t xml:space="preserve"> και βάθους τουλάχιστον 4 </w:t>
            </w:r>
            <w:r>
              <w:rPr>
                <w:rFonts w:cs="Calibri"/>
                <w:sz w:val="22"/>
                <w:szCs w:val="22"/>
                <w:lang w:val="en-US"/>
              </w:rPr>
              <w:t>cm</w:t>
            </w:r>
          </w:p>
        </w:tc>
        <w:tc>
          <w:tcPr>
            <w:tcW w:w="2629" w:type="dxa"/>
            <w:tcBorders>
              <w:left w:val="single" w:sz="4" w:space="0" w:color="000000"/>
              <w:bottom w:val="single" w:sz="4" w:space="0" w:color="000000"/>
              <w:right w:val="single" w:sz="4" w:space="0" w:color="000000"/>
            </w:tcBorders>
          </w:tcPr>
          <w:p>
            <w:pPr>
              <w:pStyle w:val="Style25"/>
              <w:widowControl w:val="false"/>
              <w:tabs>
                <w:tab w:val="clear" w:pos="720"/>
                <w:tab w:val="left" w:pos="-540" w:leader="none"/>
              </w:tabs>
              <w:snapToGrid w:val="false"/>
              <w:spacing w:before="0" w:after="240"/>
              <w:jc w:val="left"/>
              <w:rPr>
                <w:rFonts w:ascii="Calibri" w:hAnsi="Calibri" w:cs="Calibri"/>
                <w:sz w:val="22"/>
                <w:szCs w:val="22"/>
              </w:rPr>
            </w:pPr>
            <w:r>
              <w:rPr>
                <w:rFonts w:cs="Calibri"/>
                <w:sz w:val="22"/>
                <w:szCs w:val="22"/>
              </w:rPr>
            </w:r>
          </w:p>
        </w:tc>
      </w:tr>
      <w:tr>
        <w:trPr/>
        <w:tc>
          <w:tcPr>
            <w:tcW w:w="2434" w:type="dxa"/>
            <w:tcBorders>
              <w:left w:val="single" w:sz="4" w:space="0" w:color="000000"/>
              <w:bottom w:val="single" w:sz="4" w:space="0" w:color="000000"/>
            </w:tcBorders>
          </w:tcPr>
          <w:p>
            <w:pPr>
              <w:pStyle w:val="Normal"/>
              <w:widowControl w:val="false"/>
              <w:snapToGrid w:val="false"/>
              <w:spacing w:before="0" w:after="120"/>
              <w:rPr/>
            </w:pPr>
            <w:r>
              <w:rPr>
                <w:rFonts w:eastAsia="Calibri" w:cs="Calibri"/>
                <w:sz w:val="22"/>
                <w:szCs w:val="22"/>
              </w:rPr>
              <w:t xml:space="preserve">           </w:t>
            </w:r>
            <w:r>
              <w:rPr>
                <w:rFonts w:cs="Calibri"/>
                <w:sz w:val="22"/>
                <w:szCs w:val="22"/>
              </w:rPr>
              <w:t>εργαλεία κουζίνας</w:t>
            </w:r>
          </w:p>
        </w:tc>
        <w:tc>
          <w:tcPr>
            <w:tcW w:w="4353" w:type="dxa"/>
            <w:tcBorders>
              <w:left w:val="single" w:sz="4" w:space="0" w:color="000000"/>
              <w:bottom w:val="single" w:sz="4" w:space="0" w:color="000000"/>
            </w:tcBorders>
          </w:tcPr>
          <w:p>
            <w:pPr>
              <w:pStyle w:val="Normal"/>
              <w:widowControl w:val="false"/>
              <w:snapToGrid w:val="false"/>
              <w:spacing w:before="0" w:after="120"/>
              <w:rPr>
                <w:rFonts w:ascii="Calibri" w:hAnsi="Calibri" w:cs="Calibri"/>
                <w:sz w:val="22"/>
                <w:szCs w:val="22"/>
              </w:rPr>
            </w:pPr>
            <w:r>
              <w:rPr>
                <w:rFonts w:cs="Calibri"/>
                <w:sz w:val="22"/>
                <w:szCs w:val="22"/>
              </w:rPr>
              <w:t>Τουλάχιστον 2</w:t>
            </w:r>
          </w:p>
        </w:tc>
        <w:tc>
          <w:tcPr>
            <w:tcW w:w="2629" w:type="dxa"/>
            <w:tcBorders>
              <w:left w:val="single" w:sz="4" w:space="0" w:color="000000"/>
              <w:bottom w:val="single" w:sz="4" w:space="0" w:color="000000"/>
              <w:right w:val="single" w:sz="4" w:space="0" w:color="000000"/>
            </w:tcBorders>
          </w:tcPr>
          <w:p>
            <w:pPr>
              <w:pStyle w:val="Style25"/>
              <w:widowControl w:val="false"/>
              <w:tabs>
                <w:tab w:val="clear" w:pos="720"/>
                <w:tab w:val="left" w:pos="-540" w:leader="none"/>
              </w:tabs>
              <w:snapToGrid w:val="false"/>
              <w:spacing w:before="0" w:after="240"/>
              <w:jc w:val="left"/>
              <w:rPr>
                <w:rFonts w:ascii="Calibri" w:hAnsi="Calibri" w:cs="Calibri"/>
                <w:sz w:val="22"/>
                <w:szCs w:val="22"/>
              </w:rPr>
            </w:pPr>
            <w:r>
              <w:rPr>
                <w:rFonts w:cs="Calibri"/>
                <w:sz w:val="22"/>
                <w:szCs w:val="22"/>
              </w:rPr>
              <w:t>Κουτάλα, σπάτουλα</w:t>
            </w:r>
          </w:p>
        </w:tc>
      </w:tr>
      <w:tr>
        <w:trPr/>
        <w:tc>
          <w:tcPr>
            <w:tcW w:w="2434" w:type="dxa"/>
            <w:tcBorders>
              <w:left w:val="single" w:sz="4" w:space="0" w:color="000000"/>
              <w:bottom w:val="single" w:sz="4" w:space="0" w:color="000000"/>
            </w:tcBorders>
          </w:tcPr>
          <w:p>
            <w:pPr>
              <w:pStyle w:val="Normal"/>
              <w:widowControl w:val="false"/>
              <w:snapToGrid w:val="false"/>
              <w:spacing w:before="0" w:after="120"/>
              <w:rPr>
                <w:rFonts w:ascii="Calibri" w:hAnsi="Calibri" w:cs="Calibri"/>
                <w:sz w:val="22"/>
                <w:szCs w:val="22"/>
              </w:rPr>
            </w:pPr>
            <w:r>
              <w:rPr>
                <w:rFonts w:cs="Calibri"/>
                <w:sz w:val="22"/>
                <w:szCs w:val="22"/>
              </w:rPr>
              <w:t>Αντικολλητική εσωτερική επίστρωση</w:t>
            </w:r>
          </w:p>
        </w:tc>
        <w:tc>
          <w:tcPr>
            <w:tcW w:w="4353" w:type="dxa"/>
            <w:tcBorders>
              <w:left w:val="single" w:sz="4" w:space="0" w:color="000000"/>
              <w:bottom w:val="single" w:sz="4" w:space="0" w:color="000000"/>
            </w:tcBorders>
          </w:tcPr>
          <w:p>
            <w:pPr>
              <w:pStyle w:val="Normal"/>
              <w:widowControl w:val="false"/>
              <w:snapToGrid w:val="false"/>
              <w:spacing w:before="0" w:after="120"/>
              <w:rPr>
                <w:rFonts w:ascii="Calibri" w:hAnsi="Calibri" w:cs="Calibri"/>
                <w:sz w:val="22"/>
                <w:szCs w:val="22"/>
              </w:rPr>
            </w:pPr>
            <w:r>
              <w:rPr>
                <w:rFonts w:cs="Calibri"/>
                <w:sz w:val="22"/>
                <w:szCs w:val="22"/>
              </w:rPr>
              <w:t>Ναι</w:t>
            </w:r>
          </w:p>
        </w:tc>
        <w:tc>
          <w:tcPr>
            <w:tcW w:w="2629" w:type="dxa"/>
            <w:tcBorders>
              <w:left w:val="single" w:sz="4" w:space="0" w:color="000000"/>
              <w:bottom w:val="single" w:sz="4" w:space="0" w:color="000000"/>
              <w:right w:val="single" w:sz="4" w:space="0" w:color="000000"/>
            </w:tcBorders>
          </w:tcPr>
          <w:p>
            <w:pPr>
              <w:pStyle w:val="Style25"/>
              <w:widowControl w:val="false"/>
              <w:tabs>
                <w:tab w:val="clear" w:pos="720"/>
                <w:tab w:val="left" w:pos="-540" w:leader="none"/>
              </w:tabs>
              <w:snapToGrid w:val="false"/>
              <w:spacing w:before="0" w:after="240"/>
              <w:jc w:val="left"/>
              <w:rPr/>
            </w:pPr>
            <w:r>
              <w:rPr>
                <w:rFonts w:cs="Calibri"/>
                <w:sz w:val="22"/>
                <w:szCs w:val="22"/>
              </w:rPr>
              <w:t xml:space="preserve">Χωρίς μόλυβδο, κάδμιο ή </w:t>
            </w:r>
            <w:r>
              <w:rPr>
                <w:rFonts w:cs="Calibri"/>
                <w:sz w:val="22"/>
                <w:szCs w:val="22"/>
                <w:lang w:val="en-US"/>
              </w:rPr>
              <w:t>PFOA</w:t>
            </w:r>
          </w:p>
        </w:tc>
      </w:tr>
      <w:tr>
        <w:trPr/>
        <w:tc>
          <w:tcPr>
            <w:tcW w:w="2434" w:type="dxa"/>
            <w:tcBorders>
              <w:left w:val="single" w:sz="4" w:space="0" w:color="000000"/>
              <w:bottom w:val="single" w:sz="4" w:space="0" w:color="000000"/>
            </w:tcBorders>
          </w:tcPr>
          <w:p>
            <w:pPr>
              <w:pStyle w:val="Normal"/>
              <w:widowControl w:val="false"/>
              <w:snapToGrid w:val="false"/>
              <w:spacing w:before="0" w:after="120"/>
              <w:rPr>
                <w:rFonts w:ascii="Calibri" w:hAnsi="Calibri" w:cs="Calibri"/>
                <w:sz w:val="22"/>
                <w:szCs w:val="22"/>
              </w:rPr>
            </w:pPr>
            <w:r>
              <w:rPr>
                <w:rFonts w:cs="Calibri"/>
                <w:sz w:val="22"/>
                <w:szCs w:val="22"/>
              </w:rPr>
              <w:t>Θερμοανθεκτικές λαβές</w:t>
            </w:r>
          </w:p>
        </w:tc>
        <w:tc>
          <w:tcPr>
            <w:tcW w:w="4353" w:type="dxa"/>
            <w:tcBorders>
              <w:left w:val="single" w:sz="4" w:space="0" w:color="000000"/>
              <w:bottom w:val="single" w:sz="4" w:space="0" w:color="000000"/>
            </w:tcBorders>
          </w:tcPr>
          <w:p>
            <w:pPr>
              <w:pStyle w:val="Normal"/>
              <w:widowControl w:val="false"/>
              <w:snapToGrid w:val="false"/>
              <w:spacing w:before="0" w:after="120"/>
              <w:rPr>
                <w:rFonts w:ascii="Calibri" w:hAnsi="Calibri" w:cs="Calibri"/>
                <w:sz w:val="22"/>
                <w:szCs w:val="22"/>
              </w:rPr>
            </w:pPr>
            <w:r>
              <w:rPr>
                <w:rFonts w:cs="Calibri"/>
                <w:sz w:val="22"/>
                <w:szCs w:val="22"/>
              </w:rPr>
              <w:t>Ναι</w:t>
            </w:r>
          </w:p>
        </w:tc>
        <w:tc>
          <w:tcPr>
            <w:tcW w:w="2629" w:type="dxa"/>
            <w:tcBorders>
              <w:left w:val="single" w:sz="4" w:space="0" w:color="000000"/>
              <w:bottom w:val="single" w:sz="4" w:space="0" w:color="000000"/>
              <w:right w:val="single" w:sz="4" w:space="0" w:color="000000"/>
            </w:tcBorders>
          </w:tcPr>
          <w:p>
            <w:pPr>
              <w:pStyle w:val="Style25"/>
              <w:widowControl w:val="false"/>
              <w:tabs>
                <w:tab w:val="clear" w:pos="720"/>
                <w:tab w:val="left" w:pos="-540" w:leader="none"/>
              </w:tabs>
              <w:snapToGrid w:val="false"/>
              <w:spacing w:before="0" w:after="240"/>
              <w:jc w:val="left"/>
              <w:rPr>
                <w:rFonts w:ascii="Calibri" w:hAnsi="Calibri" w:cs="Calibri"/>
                <w:sz w:val="22"/>
                <w:szCs w:val="22"/>
              </w:rPr>
            </w:pPr>
            <w:r>
              <w:rPr>
                <w:rFonts w:cs="Calibri"/>
                <w:sz w:val="22"/>
                <w:szCs w:val="22"/>
              </w:rPr>
            </w:r>
          </w:p>
        </w:tc>
      </w:tr>
      <w:tr>
        <w:trPr/>
        <w:tc>
          <w:tcPr>
            <w:tcW w:w="2434" w:type="dxa"/>
            <w:tcBorders>
              <w:left w:val="single" w:sz="4" w:space="0" w:color="000000"/>
              <w:bottom w:val="single" w:sz="4" w:space="0" w:color="000000"/>
            </w:tcBorders>
          </w:tcPr>
          <w:p>
            <w:pPr>
              <w:pStyle w:val="Normal"/>
              <w:widowControl w:val="false"/>
              <w:snapToGrid w:val="false"/>
              <w:spacing w:before="0" w:after="120"/>
              <w:rPr>
                <w:rFonts w:ascii="Calibri" w:hAnsi="Calibri" w:cs="Calibri"/>
                <w:sz w:val="22"/>
                <w:szCs w:val="22"/>
              </w:rPr>
            </w:pPr>
            <w:r>
              <w:rPr>
                <w:rFonts w:cs="Calibri"/>
                <w:sz w:val="22"/>
                <w:szCs w:val="22"/>
              </w:rPr>
              <w:t>Εξωτερικό υλικό</w:t>
            </w:r>
          </w:p>
        </w:tc>
        <w:tc>
          <w:tcPr>
            <w:tcW w:w="4353" w:type="dxa"/>
            <w:tcBorders>
              <w:left w:val="single" w:sz="4" w:space="0" w:color="000000"/>
              <w:bottom w:val="single" w:sz="4" w:space="0" w:color="000000"/>
            </w:tcBorders>
          </w:tcPr>
          <w:p>
            <w:pPr>
              <w:pStyle w:val="Normal"/>
              <w:widowControl w:val="false"/>
              <w:snapToGrid w:val="false"/>
              <w:spacing w:before="0" w:after="120"/>
              <w:rPr>
                <w:rFonts w:ascii="Calibri" w:hAnsi="Calibri" w:cs="Calibri"/>
                <w:sz w:val="22"/>
                <w:szCs w:val="22"/>
              </w:rPr>
            </w:pPr>
            <w:r>
              <w:rPr>
                <w:rFonts w:cs="Calibri"/>
                <w:sz w:val="22"/>
                <w:szCs w:val="22"/>
              </w:rPr>
              <w:t>Ανοξείδωτο ατσάλι ή αλουμίνιο</w:t>
            </w:r>
          </w:p>
        </w:tc>
        <w:tc>
          <w:tcPr>
            <w:tcW w:w="2629" w:type="dxa"/>
            <w:tcBorders>
              <w:left w:val="single" w:sz="4" w:space="0" w:color="000000"/>
              <w:bottom w:val="single" w:sz="4" w:space="0" w:color="000000"/>
              <w:right w:val="single" w:sz="4" w:space="0" w:color="000000"/>
            </w:tcBorders>
          </w:tcPr>
          <w:p>
            <w:pPr>
              <w:pStyle w:val="Style25"/>
              <w:widowControl w:val="false"/>
              <w:tabs>
                <w:tab w:val="clear" w:pos="720"/>
                <w:tab w:val="left" w:pos="-540" w:leader="none"/>
              </w:tabs>
              <w:snapToGrid w:val="false"/>
              <w:spacing w:before="0" w:after="240"/>
              <w:jc w:val="left"/>
              <w:rPr>
                <w:rFonts w:ascii="Calibri" w:hAnsi="Calibri" w:cs="Calibri"/>
                <w:sz w:val="22"/>
                <w:szCs w:val="22"/>
              </w:rPr>
            </w:pPr>
            <w:r>
              <w:rPr>
                <w:rFonts w:cs="Calibri"/>
                <w:sz w:val="22"/>
                <w:szCs w:val="22"/>
              </w:rPr>
            </w:r>
          </w:p>
        </w:tc>
      </w:tr>
      <w:tr>
        <w:trPr/>
        <w:tc>
          <w:tcPr>
            <w:tcW w:w="2434" w:type="dxa"/>
            <w:tcBorders>
              <w:left w:val="single" w:sz="4" w:space="0" w:color="000000"/>
              <w:bottom w:val="single" w:sz="4" w:space="0" w:color="000000"/>
            </w:tcBorders>
          </w:tcPr>
          <w:p>
            <w:pPr>
              <w:pStyle w:val="Normal"/>
              <w:widowControl w:val="false"/>
              <w:snapToGrid w:val="false"/>
              <w:spacing w:before="0" w:after="120"/>
              <w:rPr>
                <w:rFonts w:ascii="Calibri" w:hAnsi="Calibri" w:cs="Calibri"/>
                <w:sz w:val="22"/>
                <w:szCs w:val="22"/>
              </w:rPr>
            </w:pPr>
            <w:r>
              <w:rPr>
                <w:rFonts w:cs="Calibri"/>
                <w:sz w:val="22"/>
                <w:szCs w:val="22"/>
              </w:rPr>
              <w:t>Κατάλληλα για</w:t>
            </w:r>
          </w:p>
        </w:tc>
        <w:tc>
          <w:tcPr>
            <w:tcW w:w="4353" w:type="dxa"/>
            <w:tcBorders>
              <w:left w:val="single" w:sz="4" w:space="0" w:color="000000"/>
              <w:bottom w:val="single" w:sz="4" w:space="0" w:color="000000"/>
            </w:tcBorders>
          </w:tcPr>
          <w:p>
            <w:pPr>
              <w:pStyle w:val="Normal"/>
              <w:widowControl w:val="false"/>
              <w:snapToGrid w:val="false"/>
              <w:spacing w:before="0" w:after="120"/>
              <w:rPr>
                <w:rFonts w:ascii="Calibri" w:hAnsi="Calibri" w:cs="Calibri"/>
                <w:sz w:val="22"/>
                <w:szCs w:val="22"/>
              </w:rPr>
            </w:pPr>
            <w:r>
              <w:rPr>
                <w:rFonts w:cs="Calibri"/>
                <w:sz w:val="22"/>
                <w:szCs w:val="22"/>
              </w:rPr>
              <w:t>Όλες τις εστίες</w:t>
            </w:r>
          </w:p>
        </w:tc>
        <w:tc>
          <w:tcPr>
            <w:tcW w:w="2629" w:type="dxa"/>
            <w:tcBorders>
              <w:left w:val="single" w:sz="4" w:space="0" w:color="000000"/>
              <w:bottom w:val="single" w:sz="4" w:space="0" w:color="000000"/>
              <w:right w:val="single" w:sz="4" w:space="0" w:color="000000"/>
            </w:tcBorders>
          </w:tcPr>
          <w:p>
            <w:pPr>
              <w:pStyle w:val="Style25"/>
              <w:widowControl w:val="false"/>
              <w:tabs>
                <w:tab w:val="clear" w:pos="720"/>
                <w:tab w:val="left" w:pos="-540" w:leader="none"/>
              </w:tabs>
              <w:snapToGrid w:val="false"/>
              <w:spacing w:before="0" w:after="240"/>
              <w:jc w:val="left"/>
              <w:rPr>
                <w:rFonts w:ascii="Calibri" w:hAnsi="Calibri" w:cs="Calibri"/>
                <w:sz w:val="22"/>
                <w:szCs w:val="22"/>
              </w:rPr>
            </w:pPr>
            <w:r>
              <w:rPr>
                <w:rFonts w:cs="Calibri"/>
                <w:sz w:val="22"/>
                <w:szCs w:val="22"/>
              </w:rPr>
            </w:r>
          </w:p>
        </w:tc>
      </w:tr>
    </w:tbl>
    <w:p>
      <w:pPr>
        <w:pStyle w:val="Normal"/>
        <w:tabs>
          <w:tab w:val="clear" w:pos="720"/>
          <w:tab w:val="left" w:pos="4095" w:leader="none"/>
        </w:tabs>
        <w:rPr>
          <w:rFonts w:ascii="Calibri" w:hAnsi="Calibri" w:cs="Calibri"/>
          <w:sz w:val="22"/>
          <w:szCs w:val="22"/>
        </w:rPr>
      </w:pPr>
      <w:r>
        <w:rPr>
          <w:rFonts w:cs="Calibri"/>
          <w:sz w:val="22"/>
          <w:szCs w:val="22"/>
        </w:rPr>
      </w:r>
    </w:p>
    <w:p>
      <w:pPr>
        <w:pStyle w:val="Normal"/>
        <w:tabs>
          <w:tab w:val="clear" w:pos="720"/>
          <w:tab w:val="left" w:pos="4800" w:leader="none"/>
        </w:tabs>
        <w:ind w:left="1077" w:hanging="0"/>
        <w:rPr>
          <w:rFonts w:ascii="Calibri" w:hAnsi="Calibri" w:cs="Calibri"/>
          <w:b/>
          <w:b/>
          <w:bCs/>
          <w:sz w:val="22"/>
          <w:szCs w:val="22"/>
        </w:rPr>
      </w:pPr>
      <w:r>
        <w:rPr>
          <w:rFonts w:cs="Calibri"/>
          <w:b/>
          <w:bCs/>
          <w:sz w:val="22"/>
          <w:szCs w:val="22"/>
        </w:rPr>
        <w:t xml:space="preserve">49. Μπρίκι </w:t>
      </w:r>
    </w:p>
    <w:tbl>
      <w:tblPr>
        <w:tblW w:w="9416" w:type="dxa"/>
        <w:jc w:val="left"/>
        <w:tblInd w:w="-65" w:type="dxa"/>
        <w:tblLayout w:type="fixed"/>
        <w:tblCellMar>
          <w:top w:w="0" w:type="dxa"/>
          <w:left w:w="108" w:type="dxa"/>
          <w:bottom w:w="0" w:type="dxa"/>
          <w:right w:w="108" w:type="dxa"/>
        </w:tblCellMar>
      </w:tblPr>
      <w:tblGrid>
        <w:gridCol w:w="2434"/>
        <w:gridCol w:w="4353"/>
        <w:gridCol w:w="2629"/>
      </w:tblGrid>
      <w:tr>
        <w:trPr/>
        <w:tc>
          <w:tcPr>
            <w:tcW w:w="2434" w:type="dxa"/>
            <w:tcBorders>
              <w:top w:val="single" w:sz="4" w:space="0" w:color="000000"/>
              <w:left w:val="single" w:sz="4" w:space="0" w:color="000000"/>
              <w:bottom w:val="single" w:sz="4" w:space="0" w:color="000000"/>
            </w:tcBorders>
            <w:shd w:fill="F2F2F2" w:val="clear"/>
          </w:tcPr>
          <w:p>
            <w:pPr>
              <w:pStyle w:val="Style25"/>
              <w:widowControl w:val="false"/>
              <w:tabs>
                <w:tab w:val="clear" w:pos="720"/>
                <w:tab w:val="left" w:pos="-540" w:leader="none"/>
              </w:tabs>
              <w:spacing w:before="0" w:after="240"/>
              <w:jc w:val="left"/>
              <w:rPr>
                <w:rFonts w:ascii="Calibri" w:hAnsi="Calibri" w:cs="Calibri"/>
                <w:b/>
                <w:b/>
                <w:sz w:val="22"/>
                <w:szCs w:val="22"/>
              </w:rPr>
            </w:pPr>
            <w:r>
              <w:rPr>
                <w:rFonts w:cs="Calibri"/>
                <w:b/>
                <w:sz w:val="22"/>
                <w:szCs w:val="22"/>
              </w:rPr>
              <w:t>Χαρακτηριστικό</w:t>
            </w:r>
          </w:p>
        </w:tc>
        <w:tc>
          <w:tcPr>
            <w:tcW w:w="4353" w:type="dxa"/>
            <w:tcBorders>
              <w:top w:val="single" w:sz="4" w:space="0" w:color="000000"/>
              <w:left w:val="single" w:sz="4" w:space="0" w:color="000000"/>
              <w:bottom w:val="single" w:sz="4" w:space="0" w:color="000000"/>
            </w:tcBorders>
            <w:shd w:fill="F2F2F2" w:val="clear"/>
          </w:tcPr>
          <w:p>
            <w:pPr>
              <w:pStyle w:val="Style25"/>
              <w:widowControl w:val="false"/>
              <w:tabs>
                <w:tab w:val="clear" w:pos="720"/>
                <w:tab w:val="left" w:pos="-540" w:leader="none"/>
              </w:tabs>
              <w:spacing w:before="0" w:after="240"/>
              <w:jc w:val="left"/>
              <w:rPr>
                <w:rFonts w:ascii="Calibri" w:hAnsi="Calibri" w:cs="Calibri"/>
                <w:b/>
                <w:b/>
                <w:sz w:val="22"/>
                <w:szCs w:val="22"/>
              </w:rPr>
            </w:pPr>
            <w:r>
              <w:rPr>
                <w:rFonts w:cs="Calibri"/>
                <w:b/>
                <w:sz w:val="22"/>
                <w:szCs w:val="22"/>
              </w:rPr>
              <w:t>Απαίτηση</w:t>
            </w:r>
          </w:p>
        </w:tc>
        <w:tc>
          <w:tcPr>
            <w:tcW w:w="2629" w:type="dxa"/>
            <w:tcBorders>
              <w:top w:val="single" w:sz="4" w:space="0" w:color="000000"/>
              <w:left w:val="single" w:sz="4" w:space="0" w:color="000000"/>
              <w:bottom w:val="single" w:sz="4" w:space="0" w:color="000000"/>
              <w:right w:val="single" w:sz="4" w:space="0" w:color="000000"/>
            </w:tcBorders>
            <w:shd w:fill="F2F2F2" w:val="clear"/>
          </w:tcPr>
          <w:p>
            <w:pPr>
              <w:pStyle w:val="Style25"/>
              <w:widowControl w:val="false"/>
              <w:tabs>
                <w:tab w:val="clear" w:pos="720"/>
                <w:tab w:val="left" w:pos="-540" w:leader="none"/>
              </w:tabs>
              <w:spacing w:before="0" w:after="240"/>
              <w:jc w:val="left"/>
              <w:rPr>
                <w:rFonts w:ascii="Calibri" w:hAnsi="Calibri" w:cs="Calibri"/>
                <w:b/>
                <w:b/>
                <w:sz w:val="22"/>
                <w:szCs w:val="22"/>
              </w:rPr>
            </w:pPr>
            <w:r>
              <w:rPr>
                <w:rFonts w:cs="Calibri"/>
                <w:b/>
                <w:sz w:val="22"/>
                <w:szCs w:val="22"/>
              </w:rPr>
              <w:t>Παρατηρήσεις</w:t>
            </w:r>
          </w:p>
        </w:tc>
      </w:tr>
      <w:tr>
        <w:trPr/>
        <w:tc>
          <w:tcPr>
            <w:tcW w:w="2434" w:type="dxa"/>
            <w:tcBorders>
              <w:top w:val="single" w:sz="4" w:space="0" w:color="000000"/>
              <w:left w:val="single" w:sz="4" w:space="0" w:color="000000"/>
              <w:bottom w:val="single" w:sz="4" w:space="0" w:color="000000"/>
            </w:tcBorders>
          </w:tcPr>
          <w:p>
            <w:pPr>
              <w:pStyle w:val="Normal"/>
              <w:widowControl w:val="false"/>
              <w:snapToGrid w:val="false"/>
              <w:spacing w:before="0" w:after="120"/>
              <w:rPr>
                <w:rFonts w:ascii="Calibri" w:hAnsi="Calibri" w:cs="Calibri"/>
                <w:sz w:val="22"/>
                <w:szCs w:val="22"/>
              </w:rPr>
            </w:pPr>
            <w:r>
              <w:rPr>
                <w:rFonts w:cs="Calibri"/>
                <w:sz w:val="22"/>
                <w:szCs w:val="22"/>
              </w:rPr>
              <w:t>Κατάλληλο για</w:t>
            </w:r>
          </w:p>
        </w:tc>
        <w:tc>
          <w:tcPr>
            <w:tcW w:w="4353" w:type="dxa"/>
            <w:tcBorders>
              <w:top w:val="single" w:sz="4" w:space="0" w:color="000000"/>
              <w:left w:val="single" w:sz="4" w:space="0" w:color="000000"/>
              <w:bottom w:val="single" w:sz="4" w:space="0" w:color="000000"/>
            </w:tcBorders>
          </w:tcPr>
          <w:p>
            <w:pPr>
              <w:pStyle w:val="Normal"/>
              <w:widowControl w:val="false"/>
              <w:snapToGrid w:val="false"/>
              <w:spacing w:before="0" w:after="120"/>
              <w:rPr>
                <w:rFonts w:ascii="Calibri" w:hAnsi="Calibri" w:cs="Calibri"/>
                <w:sz w:val="22"/>
                <w:szCs w:val="22"/>
              </w:rPr>
            </w:pPr>
            <w:r>
              <w:rPr>
                <w:rFonts w:cs="Calibri"/>
                <w:sz w:val="22"/>
                <w:szCs w:val="22"/>
              </w:rPr>
              <w:t>Ηλεκτρική κουζίνα</w:t>
            </w:r>
          </w:p>
        </w:tc>
        <w:tc>
          <w:tcPr>
            <w:tcW w:w="2629" w:type="dxa"/>
            <w:tcBorders>
              <w:top w:val="single" w:sz="4" w:space="0" w:color="000000"/>
              <w:left w:val="single" w:sz="4" w:space="0" w:color="000000"/>
              <w:bottom w:val="single" w:sz="4" w:space="0" w:color="000000"/>
              <w:right w:val="single" w:sz="4" w:space="0" w:color="000000"/>
            </w:tcBorders>
          </w:tcPr>
          <w:p>
            <w:pPr>
              <w:pStyle w:val="Style25"/>
              <w:widowControl w:val="false"/>
              <w:tabs>
                <w:tab w:val="clear" w:pos="720"/>
                <w:tab w:val="left" w:pos="-540" w:leader="none"/>
              </w:tabs>
              <w:snapToGrid w:val="false"/>
              <w:spacing w:before="0" w:after="240"/>
              <w:jc w:val="left"/>
              <w:rPr>
                <w:rFonts w:ascii="Calibri" w:hAnsi="Calibri" w:cs="Calibri"/>
                <w:sz w:val="22"/>
                <w:szCs w:val="22"/>
              </w:rPr>
            </w:pPr>
            <w:r>
              <w:rPr>
                <w:rFonts w:cs="Calibri"/>
                <w:sz w:val="22"/>
                <w:szCs w:val="22"/>
              </w:rPr>
            </w:r>
          </w:p>
        </w:tc>
      </w:tr>
      <w:tr>
        <w:trPr/>
        <w:tc>
          <w:tcPr>
            <w:tcW w:w="2434" w:type="dxa"/>
            <w:tcBorders>
              <w:left w:val="single" w:sz="4" w:space="0" w:color="000000"/>
              <w:bottom w:val="single" w:sz="4" w:space="0" w:color="000000"/>
            </w:tcBorders>
          </w:tcPr>
          <w:p>
            <w:pPr>
              <w:pStyle w:val="Normal"/>
              <w:widowControl w:val="false"/>
              <w:snapToGrid w:val="false"/>
              <w:spacing w:before="0" w:after="120"/>
              <w:rPr>
                <w:rFonts w:ascii="Calibri" w:hAnsi="Calibri" w:cs="Calibri"/>
                <w:sz w:val="22"/>
                <w:szCs w:val="22"/>
              </w:rPr>
            </w:pPr>
            <w:r>
              <w:rPr>
                <w:rFonts w:cs="Calibri"/>
                <w:sz w:val="22"/>
                <w:szCs w:val="22"/>
              </w:rPr>
              <w:t>Χωρητικότητα</w:t>
            </w:r>
          </w:p>
        </w:tc>
        <w:tc>
          <w:tcPr>
            <w:tcW w:w="4353" w:type="dxa"/>
            <w:tcBorders>
              <w:left w:val="single" w:sz="4" w:space="0" w:color="000000"/>
              <w:bottom w:val="single" w:sz="4" w:space="0" w:color="000000"/>
            </w:tcBorders>
          </w:tcPr>
          <w:p>
            <w:pPr>
              <w:pStyle w:val="Normal"/>
              <w:widowControl w:val="false"/>
              <w:snapToGrid w:val="false"/>
              <w:spacing w:before="0" w:after="120"/>
              <w:rPr/>
            </w:pPr>
            <w:r>
              <w:rPr>
                <w:rFonts w:cs="Calibri"/>
                <w:sz w:val="22"/>
                <w:szCs w:val="22"/>
              </w:rPr>
              <w:t>Νο 3, τουλάχιστον 200</w:t>
            </w:r>
            <w:r>
              <w:rPr>
                <w:rFonts w:cs="Calibri"/>
                <w:sz w:val="22"/>
                <w:szCs w:val="22"/>
                <w:lang w:val="en-US"/>
              </w:rPr>
              <w:t>ml</w:t>
            </w:r>
          </w:p>
        </w:tc>
        <w:tc>
          <w:tcPr>
            <w:tcW w:w="2629" w:type="dxa"/>
            <w:tcBorders>
              <w:left w:val="single" w:sz="4" w:space="0" w:color="000000"/>
              <w:bottom w:val="single" w:sz="4" w:space="0" w:color="000000"/>
              <w:right w:val="single" w:sz="4" w:space="0" w:color="000000"/>
            </w:tcBorders>
          </w:tcPr>
          <w:p>
            <w:pPr>
              <w:pStyle w:val="Style25"/>
              <w:widowControl w:val="false"/>
              <w:tabs>
                <w:tab w:val="clear" w:pos="720"/>
                <w:tab w:val="left" w:pos="-540" w:leader="none"/>
              </w:tabs>
              <w:snapToGrid w:val="false"/>
              <w:spacing w:before="0" w:after="240"/>
              <w:jc w:val="left"/>
              <w:rPr>
                <w:rFonts w:ascii="Calibri" w:hAnsi="Calibri" w:cs="Calibri"/>
                <w:sz w:val="22"/>
                <w:szCs w:val="22"/>
              </w:rPr>
            </w:pPr>
            <w:r>
              <w:rPr>
                <w:rFonts w:cs="Calibri"/>
                <w:sz w:val="22"/>
                <w:szCs w:val="22"/>
              </w:rPr>
            </w:r>
          </w:p>
        </w:tc>
      </w:tr>
      <w:tr>
        <w:trPr/>
        <w:tc>
          <w:tcPr>
            <w:tcW w:w="2434" w:type="dxa"/>
            <w:tcBorders>
              <w:left w:val="single" w:sz="4" w:space="0" w:color="000000"/>
              <w:bottom w:val="single" w:sz="4" w:space="0" w:color="000000"/>
            </w:tcBorders>
          </w:tcPr>
          <w:p>
            <w:pPr>
              <w:pStyle w:val="Normal"/>
              <w:widowControl w:val="false"/>
              <w:snapToGrid w:val="false"/>
              <w:spacing w:before="0" w:after="120"/>
              <w:rPr>
                <w:rFonts w:ascii="Calibri" w:hAnsi="Calibri" w:cs="Calibri"/>
                <w:sz w:val="22"/>
                <w:szCs w:val="22"/>
              </w:rPr>
            </w:pPr>
            <w:r>
              <w:rPr>
                <w:rFonts w:cs="Calibri"/>
                <w:sz w:val="22"/>
                <w:szCs w:val="22"/>
              </w:rPr>
              <w:t>Υλικό</w:t>
            </w:r>
          </w:p>
        </w:tc>
        <w:tc>
          <w:tcPr>
            <w:tcW w:w="4353" w:type="dxa"/>
            <w:tcBorders>
              <w:left w:val="single" w:sz="4" w:space="0" w:color="000000"/>
              <w:bottom w:val="single" w:sz="4" w:space="0" w:color="000000"/>
            </w:tcBorders>
          </w:tcPr>
          <w:p>
            <w:pPr>
              <w:pStyle w:val="Normal"/>
              <w:widowControl w:val="false"/>
              <w:snapToGrid w:val="false"/>
              <w:spacing w:before="0" w:after="120"/>
              <w:rPr>
                <w:rFonts w:ascii="Calibri" w:hAnsi="Calibri" w:cs="Calibri"/>
                <w:sz w:val="22"/>
                <w:szCs w:val="22"/>
              </w:rPr>
            </w:pPr>
            <w:r>
              <w:rPr>
                <w:rFonts w:cs="Calibri"/>
                <w:sz w:val="22"/>
                <w:szCs w:val="22"/>
              </w:rPr>
              <w:t>Ανοξείδωτο ατσάλι</w:t>
            </w:r>
          </w:p>
        </w:tc>
        <w:tc>
          <w:tcPr>
            <w:tcW w:w="2629" w:type="dxa"/>
            <w:tcBorders>
              <w:left w:val="single" w:sz="4" w:space="0" w:color="000000"/>
              <w:bottom w:val="single" w:sz="4" w:space="0" w:color="000000"/>
              <w:right w:val="single" w:sz="4" w:space="0" w:color="000000"/>
            </w:tcBorders>
          </w:tcPr>
          <w:p>
            <w:pPr>
              <w:pStyle w:val="Style25"/>
              <w:widowControl w:val="false"/>
              <w:tabs>
                <w:tab w:val="clear" w:pos="720"/>
                <w:tab w:val="left" w:pos="-540" w:leader="none"/>
              </w:tabs>
              <w:snapToGrid w:val="false"/>
              <w:spacing w:before="0" w:after="240"/>
              <w:jc w:val="left"/>
              <w:rPr>
                <w:rFonts w:ascii="Calibri" w:hAnsi="Calibri" w:cs="Calibri"/>
                <w:sz w:val="22"/>
                <w:szCs w:val="22"/>
              </w:rPr>
            </w:pPr>
            <w:r>
              <w:rPr>
                <w:rFonts w:cs="Calibri"/>
                <w:sz w:val="22"/>
                <w:szCs w:val="22"/>
              </w:rPr>
            </w:r>
          </w:p>
        </w:tc>
      </w:tr>
      <w:tr>
        <w:trPr/>
        <w:tc>
          <w:tcPr>
            <w:tcW w:w="2434" w:type="dxa"/>
            <w:tcBorders>
              <w:left w:val="single" w:sz="4" w:space="0" w:color="000000"/>
              <w:bottom w:val="single" w:sz="4" w:space="0" w:color="000000"/>
            </w:tcBorders>
          </w:tcPr>
          <w:p>
            <w:pPr>
              <w:pStyle w:val="Normal"/>
              <w:widowControl w:val="false"/>
              <w:snapToGrid w:val="false"/>
              <w:spacing w:before="0" w:after="120"/>
              <w:rPr>
                <w:rFonts w:ascii="Calibri" w:hAnsi="Calibri" w:cs="Calibri"/>
                <w:sz w:val="22"/>
                <w:szCs w:val="22"/>
              </w:rPr>
            </w:pPr>
            <w:r>
              <w:rPr>
                <w:rFonts w:cs="Calibri"/>
                <w:sz w:val="22"/>
                <w:szCs w:val="22"/>
              </w:rPr>
              <w:t>Θερμομονωτική λαβή</w:t>
            </w:r>
          </w:p>
        </w:tc>
        <w:tc>
          <w:tcPr>
            <w:tcW w:w="4353" w:type="dxa"/>
            <w:tcBorders>
              <w:left w:val="single" w:sz="4" w:space="0" w:color="000000"/>
              <w:bottom w:val="single" w:sz="4" w:space="0" w:color="000000"/>
            </w:tcBorders>
          </w:tcPr>
          <w:p>
            <w:pPr>
              <w:pStyle w:val="Normal"/>
              <w:widowControl w:val="false"/>
              <w:snapToGrid w:val="false"/>
              <w:spacing w:before="0" w:after="120"/>
              <w:rPr>
                <w:rFonts w:ascii="Calibri" w:hAnsi="Calibri" w:cs="Calibri"/>
                <w:sz w:val="22"/>
                <w:szCs w:val="22"/>
              </w:rPr>
            </w:pPr>
            <w:r>
              <w:rPr>
                <w:rFonts w:cs="Calibri"/>
                <w:sz w:val="22"/>
                <w:szCs w:val="22"/>
              </w:rPr>
              <w:t>Ναι</w:t>
            </w:r>
          </w:p>
        </w:tc>
        <w:tc>
          <w:tcPr>
            <w:tcW w:w="2629" w:type="dxa"/>
            <w:tcBorders>
              <w:left w:val="single" w:sz="4" w:space="0" w:color="000000"/>
              <w:bottom w:val="single" w:sz="4" w:space="0" w:color="000000"/>
              <w:right w:val="single" w:sz="4" w:space="0" w:color="000000"/>
            </w:tcBorders>
          </w:tcPr>
          <w:p>
            <w:pPr>
              <w:pStyle w:val="Style25"/>
              <w:widowControl w:val="false"/>
              <w:tabs>
                <w:tab w:val="clear" w:pos="720"/>
                <w:tab w:val="left" w:pos="-540" w:leader="none"/>
              </w:tabs>
              <w:snapToGrid w:val="false"/>
              <w:spacing w:before="0" w:after="240"/>
              <w:jc w:val="left"/>
              <w:rPr>
                <w:rFonts w:ascii="Calibri" w:hAnsi="Calibri" w:cs="Calibri"/>
                <w:sz w:val="22"/>
                <w:szCs w:val="22"/>
              </w:rPr>
            </w:pPr>
            <w:r>
              <w:rPr>
                <w:rFonts w:cs="Calibri"/>
                <w:sz w:val="22"/>
                <w:szCs w:val="22"/>
              </w:rPr>
            </w:r>
          </w:p>
        </w:tc>
      </w:tr>
    </w:tbl>
    <w:p>
      <w:pPr>
        <w:pStyle w:val="Normal"/>
        <w:tabs>
          <w:tab w:val="clear" w:pos="720"/>
          <w:tab w:val="left" w:pos="4095" w:leader="none"/>
        </w:tabs>
        <w:rPr>
          <w:rFonts w:ascii="Calibri" w:hAnsi="Calibri" w:cs="Calibri"/>
          <w:sz w:val="22"/>
          <w:szCs w:val="22"/>
        </w:rPr>
      </w:pPr>
      <w:r>
        <w:rPr>
          <w:rFonts w:cs="Calibri"/>
          <w:sz w:val="22"/>
          <w:szCs w:val="22"/>
        </w:rPr>
      </w:r>
    </w:p>
    <w:p>
      <w:pPr>
        <w:pStyle w:val="Normal"/>
        <w:tabs>
          <w:tab w:val="clear" w:pos="720"/>
          <w:tab w:val="left" w:pos="4800" w:leader="none"/>
        </w:tabs>
        <w:ind w:left="1077" w:hanging="0"/>
        <w:rPr>
          <w:rFonts w:ascii="Calibri" w:hAnsi="Calibri" w:cs="Calibri"/>
          <w:b/>
          <w:b/>
          <w:bCs/>
          <w:sz w:val="22"/>
          <w:szCs w:val="22"/>
        </w:rPr>
      </w:pPr>
      <w:r>
        <w:rPr>
          <w:rFonts w:cs="Calibri"/>
          <w:b/>
          <w:bCs/>
          <w:sz w:val="22"/>
          <w:szCs w:val="22"/>
        </w:rPr>
        <w:t>50. Κρεμάστρες</w:t>
      </w:r>
    </w:p>
    <w:tbl>
      <w:tblPr>
        <w:tblW w:w="9416" w:type="dxa"/>
        <w:jc w:val="left"/>
        <w:tblInd w:w="-65" w:type="dxa"/>
        <w:tblLayout w:type="fixed"/>
        <w:tblCellMar>
          <w:top w:w="0" w:type="dxa"/>
          <w:left w:w="108" w:type="dxa"/>
          <w:bottom w:w="0" w:type="dxa"/>
          <w:right w:w="108" w:type="dxa"/>
        </w:tblCellMar>
      </w:tblPr>
      <w:tblGrid>
        <w:gridCol w:w="2434"/>
        <w:gridCol w:w="4353"/>
        <w:gridCol w:w="2629"/>
      </w:tblGrid>
      <w:tr>
        <w:trPr/>
        <w:tc>
          <w:tcPr>
            <w:tcW w:w="2434" w:type="dxa"/>
            <w:tcBorders>
              <w:top w:val="single" w:sz="4" w:space="0" w:color="000000"/>
              <w:left w:val="single" w:sz="4" w:space="0" w:color="000000"/>
              <w:bottom w:val="single" w:sz="4" w:space="0" w:color="000000"/>
            </w:tcBorders>
            <w:shd w:fill="F2F2F2" w:val="clear"/>
          </w:tcPr>
          <w:p>
            <w:pPr>
              <w:pStyle w:val="Style25"/>
              <w:widowControl w:val="false"/>
              <w:tabs>
                <w:tab w:val="clear" w:pos="720"/>
                <w:tab w:val="left" w:pos="-540" w:leader="none"/>
              </w:tabs>
              <w:spacing w:before="0" w:after="240"/>
              <w:jc w:val="left"/>
              <w:rPr>
                <w:rFonts w:ascii="Calibri" w:hAnsi="Calibri" w:cs="Calibri"/>
                <w:b/>
                <w:b/>
                <w:sz w:val="22"/>
                <w:szCs w:val="22"/>
              </w:rPr>
            </w:pPr>
            <w:r>
              <w:rPr>
                <w:rFonts w:cs="Calibri"/>
                <w:b/>
                <w:sz w:val="22"/>
                <w:szCs w:val="22"/>
              </w:rPr>
              <w:t>Χαρακτηριστικό</w:t>
            </w:r>
          </w:p>
        </w:tc>
        <w:tc>
          <w:tcPr>
            <w:tcW w:w="4353" w:type="dxa"/>
            <w:tcBorders>
              <w:top w:val="single" w:sz="4" w:space="0" w:color="000000"/>
              <w:left w:val="single" w:sz="4" w:space="0" w:color="000000"/>
              <w:bottom w:val="single" w:sz="4" w:space="0" w:color="000000"/>
            </w:tcBorders>
            <w:shd w:fill="F2F2F2" w:val="clear"/>
          </w:tcPr>
          <w:p>
            <w:pPr>
              <w:pStyle w:val="Style25"/>
              <w:widowControl w:val="false"/>
              <w:tabs>
                <w:tab w:val="clear" w:pos="720"/>
                <w:tab w:val="left" w:pos="-540" w:leader="none"/>
              </w:tabs>
              <w:spacing w:before="0" w:after="240"/>
              <w:jc w:val="left"/>
              <w:rPr>
                <w:rFonts w:ascii="Calibri" w:hAnsi="Calibri" w:cs="Calibri"/>
                <w:b/>
                <w:b/>
                <w:sz w:val="22"/>
                <w:szCs w:val="22"/>
              </w:rPr>
            </w:pPr>
            <w:r>
              <w:rPr>
                <w:rFonts w:cs="Calibri"/>
                <w:b/>
                <w:sz w:val="22"/>
                <w:szCs w:val="22"/>
              </w:rPr>
              <w:t>Απαίτηση</w:t>
            </w:r>
          </w:p>
        </w:tc>
        <w:tc>
          <w:tcPr>
            <w:tcW w:w="2629" w:type="dxa"/>
            <w:tcBorders>
              <w:top w:val="single" w:sz="4" w:space="0" w:color="000000"/>
              <w:left w:val="single" w:sz="4" w:space="0" w:color="000000"/>
              <w:bottom w:val="single" w:sz="4" w:space="0" w:color="000000"/>
              <w:right w:val="single" w:sz="4" w:space="0" w:color="000000"/>
            </w:tcBorders>
            <w:shd w:fill="F2F2F2" w:val="clear"/>
          </w:tcPr>
          <w:p>
            <w:pPr>
              <w:pStyle w:val="Style25"/>
              <w:widowControl w:val="false"/>
              <w:tabs>
                <w:tab w:val="clear" w:pos="720"/>
                <w:tab w:val="left" w:pos="-540" w:leader="none"/>
              </w:tabs>
              <w:spacing w:before="0" w:after="240"/>
              <w:jc w:val="left"/>
              <w:rPr>
                <w:rFonts w:ascii="Calibri" w:hAnsi="Calibri" w:cs="Calibri"/>
                <w:b/>
                <w:b/>
                <w:sz w:val="22"/>
                <w:szCs w:val="22"/>
              </w:rPr>
            </w:pPr>
            <w:r>
              <w:rPr>
                <w:rFonts w:cs="Calibri"/>
                <w:b/>
                <w:sz w:val="22"/>
                <w:szCs w:val="22"/>
              </w:rPr>
              <w:t>Παρατηρήσεις</w:t>
            </w:r>
          </w:p>
        </w:tc>
      </w:tr>
      <w:tr>
        <w:trPr/>
        <w:tc>
          <w:tcPr>
            <w:tcW w:w="2434" w:type="dxa"/>
            <w:tcBorders>
              <w:top w:val="single" w:sz="4" w:space="0" w:color="000000"/>
              <w:left w:val="single" w:sz="4" w:space="0" w:color="000000"/>
              <w:bottom w:val="single" w:sz="4" w:space="0" w:color="000000"/>
            </w:tcBorders>
          </w:tcPr>
          <w:p>
            <w:pPr>
              <w:pStyle w:val="Normal"/>
              <w:widowControl w:val="false"/>
              <w:snapToGrid w:val="false"/>
              <w:spacing w:before="0" w:after="120"/>
              <w:rPr>
                <w:rFonts w:ascii="Calibri" w:hAnsi="Calibri" w:cs="Calibri"/>
                <w:sz w:val="22"/>
                <w:szCs w:val="22"/>
              </w:rPr>
            </w:pPr>
            <w:r>
              <w:rPr>
                <w:rFonts w:cs="Calibri"/>
                <w:sz w:val="22"/>
                <w:szCs w:val="22"/>
              </w:rPr>
              <w:t>Υλικό</w:t>
            </w:r>
          </w:p>
        </w:tc>
        <w:tc>
          <w:tcPr>
            <w:tcW w:w="4353" w:type="dxa"/>
            <w:tcBorders>
              <w:top w:val="single" w:sz="4" w:space="0" w:color="000000"/>
              <w:left w:val="single" w:sz="4" w:space="0" w:color="000000"/>
              <w:bottom w:val="single" w:sz="4" w:space="0" w:color="000000"/>
            </w:tcBorders>
          </w:tcPr>
          <w:p>
            <w:pPr>
              <w:pStyle w:val="Normal"/>
              <w:widowControl w:val="false"/>
              <w:snapToGrid w:val="false"/>
              <w:spacing w:before="0" w:after="120"/>
              <w:rPr>
                <w:rFonts w:ascii="Calibri" w:hAnsi="Calibri" w:cs="Calibri"/>
                <w:sz w:val="22"/>
                <w:szCs w:val="22"/>
              </w:rPr>
            </w:pPr>
            <w:r>
              <w:rPr>
                <w:rFonts w:cs="Calibri"/>
                <w:sz w:val="22"/>
                <w:szCs w:val="22"/>
              </w:rPr>
              <w:t>Πλαστικό</w:t>
            </w:r>
          </w:p>
        </w:tc>
        <w:tc>
          <w:tcPr>
            <w:tcW w:w="2629" w:type="dxa"/>
            <w:tcBorders>
              <w:top w:val="single" w:sz="4" w:space="0" w:color="000000"/>
              <w:left w:val="single" w:sz="4" w:space="0" w:color="000000"/>
              <w:bottom w:val="single" w:sz="4" w:space="0" w:color="000000"/>
              <w:right w:val="single" w:sz="4" w:space="0" w:color="000000"/>
            </w:tcBorders>
          </w:tcPr>
          <w:p>
            <w:pPr>
              <w:pStyle w:val="Style25"/>
              <w:widowControl w:val="false"/>
              <w:tabs>
                <w:tab w:val="clear" w:pos="720"/>
                <w:tab w:val="left" w:pos="-540" w:leader="none"/>
              </w:tabs>
              <w:snapToGrid w:val="false"/>
              <w:spacing w:before="0" w:after="240"/>
              <w:jc w:val="left"/>
              <w:rPr>
                <w:rFonts w:ascii="Calibri" w:hAnsi="Calibri" w:cs="Calibri"/>
                <w:sz w:val="22"/>
                <w:szCs w:val="22"/>
              </w:rPr>
            </w:pPr>
            <w:r>
              <w:rPr>
                <w:rFonts w:cs="Calibri"/>
                <w:sz w:val="22"/>
                <w:szCs w:val="22"/>
              </w:rPr>
            </w:r>
          </w:p>
        </w:tc>
      </w:tr>
      <w:tr>
        <w:trPr/>
        <w:tc>
          <w:tcPr>
            <w:tcW w:w="2434" w:type="dxa"/>
            <w:tcBorders>
              <w:left w:val="single" w:sz="4" w:space="0" w:color="000000"/>
              <w:bottom w:val="single" w:sz="4" w:space="0" w:color="000000"/>
            </w:tcBorders>
          </w:tcPr>
          <w:p>
            <w:pPr>
              <w:pStyle w:val="Normal"/>
              <w:widowControl w:val="false"/>
              <w:snapToGrid w:val="false"/>
              <w:spacing w:before="0" w:after="120"/>
              <w:rPr>
                <w:rFonts w:ascii="Calibri" w:hAnsi="Calibri" w:cs="Calibri"/>
                <w:sz w:val="22"/>
                <w:szCs w:val="22"/>
              </w:rPr>
            </w:pPr>
            <w:r>
              <w:rPr>
                <w:rFonts w:cs="Calibri"/>
                <w:sz w:val="22"/>
                <w:szCs w:val="22"/>
              </w:rPr>
              <w:t>Περιστρεφόμενος γάντζος</w:t>
            </w:r>
          </w:p>
        </w:tc>
        <w:tc>
          <w:tcPr>
            <w:tcW w:w="4353" w:type="dxa"/>
            <w:tcBorders>
              <w:left w:val="single" w:sz="4" w:space="0" w:color="000000"/>
              <w:bottom w:val="single" w:sz="4" w:space="0" w:color="000000"/>
            </w:tcBorders>
          </w:tcPr>
          <w:p>
            <w:pPr>
              <w:pStyle w:val="Normal"/>
              <w:widowControl w:val="false"/>
              <w:snapToGrid w:val="false"/>
              <w:spacing w:before="0" w:after="120"/>
              <w:rPr>
                <w:rFonts w:ascii="Calibri" w:hAnsi="Calibri" w:cs="Calibri"/>
                <w:sz w:val="22"/>
                <w:szCs w:val="22"/>
              </w:rPr>
            </w:pPr>
            <w:r>
              <w:rPr>
                <w:rFonts w:cs="Calibri"/>
                <w:sz w:val="22"/>
                <w:szCs w:val="22"/>
              </w:rPr>
              <w:t>Ναι</w:t>
            </w:r>
          </w:p>
        </w:tc>
        <w:tc>
          <w:tcPr>
            <w:tcW w:w="2629" w:type="dxa"/>
            <w:tcBorders>
              <w:left w:val="single" w:sz="4" w:space="0" w:color="000000"/>
              <w:bottom w:val="single" w:sz="4" w:space="0" w:color="000000"/>
              <w:right w:val="single" w:sz="4" w:space="0" w:color="000000"/>
            </w:tcBorders>
          </w:tcPr>
          <w:p>
            <w:pPr>
              <w:pStyle w:val="Style25"/>
              <w:widowControl w:val="false"/>
              <w:tabs>
                <w:tab w:val="clear" w:pos="720"/>
                <w:tab w:val="left" w:pos="-540" w:leader="none"/>
              </w:tabs>
              <w:snapToGrid w:val="false"/>
              <w:spacing w:before="0" w:after="240"/>
              <w:jc w:val="left"/>
              <w:rPr>
                <w:rFonts w:ascii="Calibri" w:hAnsi="Calibri" w:cs="Calibri"/>
                <w:sz w:val="22"/>
                <w:szCs w:val="22"/>
              </w:rPr>
            </w:pPr>
            <w:r>
              <w:rPr>
                <w:rFonts w:cs="Calibri"/>
                <w:sz w:val="22"/>
                <w:szCs w:val="22"/>
              </w:rPr>
            </w:r>
          </w:p>
        </w:tc>
      </w:tr>
      <w:tr>
        <w:trPr/>
        <w:tc>
          <w:tcPr>
            <w:tcW w:w="2434" w:type="dxa"/>
            <w:tcBorders>
              <w:left w:val="single" w:sz="4" w:space="0" w:color="000000"/>
              <w:bottom w:val="single" w:sz="4" w:space="0" w:color="000000"/>
            </w:tcBorders>
          </w:tcPr>
          <w:p>
            <w:pPr>
              <w:pStyle w:val="Normal"/>
              <w:widowControl w:val="false"/>
              <w:snapToGrid w:val="false"/>
              <w:spacing w:before="0" w:after="120"/>
              <w:rPr>
                <w:rFonts w:ascii="Calibri" w:hAnsi="Calibri" w:cs="Calibri"/>
                <w:sz w:val="22"/>
                <w:szCs w:val="22"/>
              </w:rPr>
            </w:pPr>
            <w:r>
              <w:rPr>
                <w:rFonts w:cs="Calibri"/>
                <w:sz w:val="22"/>
                <w:szCs w:val="22"/>
              </w:rPr>
              <w:t>Διαστάσεις</w:t>
            </w:r>
          </w:p>
        </w:tc>
        <w:tc>
          <w:tcPr>
            <w:tcW w:w="4353" w:type="dxa"/>
            <w:tcBorders>
              <w:left w:val="single" w:sz="4" w:space="0" w:color="000000"/>
              <w:bottom w:val="single" w:sz="4" w:space="0" w:color="000000"/>
            </w:tcBorders>
          </w:tcPr>
          <w:p>
            <w:pPr>
              <w:pStyle w:val="Normal"/>
              <w:widowControl w:val="false"/>
              <w:snapToGrid w:val="false"/>
              <w:spacing w:before="0" w:after="120"/>
              <w:rPr/>
            </w:pPr>
            <w:r>
              <w:rPr>
                <w:rFonts w:cs="Calibri"/>
                <w:sz w:val="22"/>
                <w:szCs w:val="22"/>
              </w:rPr>
              <w:t>Τουλάχιστον 20</w:t>
            </w:r>
            <w:r>
              <w:rPr>
                <w:rFonts w:cs="Calibri"/>
                <w:sz w:val="22"/>
                <w:szCs w:val="22"/>
                <w:lang w:val="en-US"/>
              </w:rPr>
              <w:t>x30cm</w:t>
            </w:r>
          </w:p>
        </w:tc>
        <w:tc>
          <w:tcPr>
            <w:tcW w:w="2629" w:type="dxa"/>
            <w:tcBorders>
              <w:left w:val="single" w:sz="4" w:space="0" w:color="000000"/>
              <w:bottom w:val="single" w:sz="4" w:space="0" w:color="000000"/>
              <w:right w:val="single" w:sz="4" w:space="0" w:color="000000"/>
            </w:tcBorders>
          </w:tcPr>
          <w:p>
            <w:pPr>
              <w:pStyle w:val="Style25"/>
              <w:widowControl w:val="false"/>
              <w:tabs>
                <w:tab w:val="clear" w:pos="720"/>
                <w:tab w:val="left" w:pos="-540" w:leader="none"/>
              </w:tabs>
              <w:snapToGrid w:val="false"/>
              <w:spacing w:before="0" w:after="240"/>
              <w:jc w:val="left"/>
              <w:rPr>
                <w:rFonts w:ascii="Calibri" w:hAnsi="Calibri" w:cs="Calibri"/>
                <w:sz w:val="22"/>
                <w:szCs w:val="22"/>
              </w:rPr>
            </w:pPr>
            <w:r>
              <w:rPr>
                <w:rFonts w:cs="Calibri"/>
                <w:sz w:val="22"/>
                <w:szCs w:val="22"/>
              </w:rPr>
            </w:r>
          </w:p>
        </w:tc>
      </w:tr>
    </w:tbl>
    <w:p>
      <w:pPr>
        <w:pStyle w:val="Normal"/>
        <w:tabs>
          <w:tab w:val="clear" w:pos="720"/>
          <w:tab w:val="left" w:pos="4095" w:leader="none"/>
        </w:tabs>
        <w:rPr>
          <w:rFonts w:ascii="Calibri" w:hAnsi="Calibri" w:cs="Calibri"/>
          <w:sz w:val="22"/>
          <w:szCs w:val="22"/>
        </w:rPr>
      </w:pPr>
      <w:r>
        <w:rPr>
          <w:rFonts w:cs="Calibri"/>
          <w:sz w:val="22"/>
          <w:szCs w:val="22"/>
        </w:rPr>
      </w:r>
    </w:p>
    <w:p>
      <w:pPr>
        <w:pStyle w:val="Normal"/>
        <w:tabs>
          <w:tab w:val="clear" w:pos="720"/>
          <w:tab w:val="left" w:pos="4800" w:leader="none"/>
        </w:tabs>
        <w:ind w:left="1077" w:hanging="0"/>
        <w:rPr>
          <w:rFonts w:ascii="Calibri" w:hAnsi="Calibri" w:cs="Calibri"/>
          <w:b/>
          <w:b/>
          <w:bCs/>
          <w:sz w:val="22"/>
          <w:szCs w:val="22"/>
        </w:rPr>
      </w:pPr>
      <w:r>
        <w:rPr>
          <w:rFonts w:cs="Calibri"/>
          <w:b/>
          <w:bCs/>
          <w:sz w:val="22"/>
          <w:szCs w:val="22"/>
        </w:rPr>
        <w:t>51. Σκούπα</w:t>
      </w:r>
    </w:p>
    <w:tbl>
      <w:tblPr>
        <w:tblW w:w="9416" w:type="dxa"/>
        <w:jc w:val="left"/>
        <w:tblInd w:w="-65" w:type="dxa"/>
        <w:tblLayout w:type="fixed"/>
        <w:tblCellMar>
          <w:top w:w="0" w:type="dxa"/>
          <w:left w:w="108" w:type="dxa"/>
          <w:bottom w:w="0" w:type="dxa"/>
          <w:right w:w="108" w:type="dxa"/>
        </w:tblCellMar>
      </w:tblPr>
      <w:tblGrid>
        <w:gridCol w:w="2434"/>
        <w:gridCol w:w="4353"/>
        <w:gridCol w:w="2629"/>
      </w:tblGrid>
      <w:tr>
        <w:trPr/>
        <w:tc>
          <w:tcPr>
            <w:tcW w:w="2434" w:type="dxa"/>
            <w:tcBorders>
              <w:top w:val="single" w:sz="4" w:space="0" w:color="000000"/>
              <w:left w:val="single" w:sz="4" w:space="0" w:color="000000"/>
              <w:bottom w:val="single" w:sz="4" w:space="0" w:color="000000"/>
            </w:tcBorders>
            <w:shd w:fill="F2F2F2" w:val="clear"/>
          </w:tcPr>
          <w:p>
            <w:pPr>
              <w:pStyle w:val="Style25"/>
              <w:widowControl w:val="false"/>
              <w:tabs>
                <w:tab w:val="clear" w:pos="720"/>
                <w:tab w:val="left" w:pos="-540" w:leader="none"/>
              </w:tabs>
              <w:spacing w:before="0" w:after="240"/>
              <w:jc w:val="left"/>
              <w:rPr>
                <w:rFonts w:ascii="Calibri" w:hAnsi="Calibri" w:cs="Calibri"/>
                <w:b/>
                <w:b/>
                <w:sz w:val="22"/>
                <w:szCs w:val="22"/>
              </w:rPr>
            </w:pPr>
            <w:r>
              <w:rPr>
                <w:rFonts w:cs="Calibri"/>
                <w:b/>
                <w:sz w:val="22"/>
                <w:szCs w:val="22"/>
              </w:rPr>
              <w:t>Χαρακτηριστικό</w:t>
            </w:r>
          </w:p>
        </w:tc>
        <w:tc>
          <w:tcPr>
            <w:tcW w:w="4353" w:type="dxa"/>
            <w:tcBorders>
              <w:top w:val="single" w:sz="4" w:space="0" w:color="000000"/>
              <w:left w:val="single" w:sz="4" w:space="0" w:color="000000"/>
              <w:bottom w:val="single" w:sz="4" w:space="0" w:color="000000"/>
            </w:tcBorders>
            <w:shd w:fill="F2F2F2" w:val="clear"/>
          </w:tcPr>
          <w:p>
            <w:pPr>
              <w:pStyle w:val="Style25"/>
              <w:widowControl w:val="false"/>
              <w:tabs>
                <w:tab w:val="clear" w:pos="720"/>
                <w:tab w:val="left" w:pos="-540" w:leader="none"/>
              </w:tabs>
              <w:spacing w:before="0" w:after="240"/>
              <w:jc w:val="left"/>
              <w:rPr>
                <w:rFonts w:ascii="Calibri" w:hAnsi="Calibri" w:cs="Calibri"/>
                <w:b/>
                <w:b/>
                <w:sz w:val="22"/>
                <w:szCs w:val="22"/>
              </w:rPr>
            </w:pPr>
            <w:r>
              <w:rPr>
                <w:rFonts w:cs="Calibri"/>
                <w:b/>
                <w:sz w:val="22"/>
                <w:szCs w:val="22"/>
              </w:rPr>
              <w:t>Απαίτηση</w:t>
            </w:r>
          </w:p>
        </w:tc>
        <w:tc>
          <w:tcPr>
            <w:tcW w:w="2629" w:type="dxa"/>
            <w:tcBorders>
              <w:top w:val="single" w:sz="4" w:space="0" w:color="000000"/>
              <w:left w:val="single" w:sz="4" w:space="0" w:color="000000"/>
              <w:bottom w:val="single" w:sz="4" w:space="0" w:color="000000"/>
              <w:right w:val="single" w:sz="4" w:space="0" w:color="000000"/>
            </w:tcBorders>
            <w:shd w:fill="F2F2F2" w:val="clear"/>
          </w:tcPr>
          <w:p>
            <w:pPr>
              <w:pStyle w:val="Style25"/>
              <w:widowControl w:val="false"/>
              <w:tabs>
                <w:tab w:val="clear" w:pos="720"/>
                <w:tab w:val="left" w:pos="-540" w:leader="none"/>
              </w:tabs>
              <w:spacing w:before="0" w:after="240"/>
              <w:jc w:val="left"/>
              <w:rPr>
                <w:rFonts w:ascii="Calibri" w:hAnsi="Calibri" w:cs="Calibri"/>
                <w:b/>
                <w:b/>
                <w:sz w:val="22"/>
                <w:szCs w:val="22"/>
              </w:rPr>
            </w:pPr>
            <w:r>
              <w:rPr>
                <w:rFonts w:cs="Calibri"/>
                <w:b/>
                <w:sz w:val="22"/>
                <w:szCs w:val="22"/>
              </w:rPr>
              <w:t>Παρατηρήσεις</w:t>
            </w:r>
          </w:p>
        </w:tc>
      </w:tr>
      <w:tr>
        <w:trPr/>
        <w:tc>
          <w:tcPr>
            <w:tcW w:w="2434" w:type="dxa"/>
            <w:tcBorders>
              <w:top w:val="single" w:sz="4" w:space="0" w:color="000000"/>
              <w:left w:val="single" w:sz="4" w:space="0" w:color="000000"/>
              <w:bottom w:val="single" w:sz="4" w:space="0" w:color="000000"/>
            </w:tcBorders>
          </w:tcPr>
          <w:p>
            <w:pPr>
              <w:pStyle w:val="Normal"/>
              <w:widowControl w:val="false"/>
              <w:snapToGrid w:val="false"/>
              <w:spacing w:before="0" w:after="120"/>
              <w:rPr>
                <w:rFonts w:ascii="Calibri" w:hAnsi="Calibri" w:cs="Calibri"/>
                <w:sz w:val="22"/>
                <w:szCs w:val="22"/>
              </w:rPr>
            </w:pPr>
            <w:r>
              <w:rPr>
                <w:rFonts w:cs="Calibri"/>
                <w:sz w:val="22"/>
                <w:szCs w:val="22"/>
              </w:rPr>
              <w:t>Χρήση</w:t>
            </w:r>
          </w:p>
        </w:tc>
        <w:tc>
          <w:tcPr>
            <w:tcW w:w="4353" w:type="dxa"/>
            <w:tcBorders>
              <w:top w:val="single" w:sz="4" w:space="0" w:color="000000"/>
              <w:left w:val="single" w:sz="4" w:space="0" w:color="000000"/>
              <w:bottom w:val="single" w:sz="4" w:space="0" w:color="000000"/>
            </w:tcBorders>
          </w:tcPr>
          <w:p>
            <w:pPr>
              <w:pStyle w:val="Normal"/>
              <w:widowControl w:val="false"/>
              <w:snapToGrid w:val="false"/>
              <w:spacing w:before="0" w:after="120"/>
              <w:rPr>
                <w:rFonts w:ascii="Calibri" w:hAnsi="Calibri" w:cs="Calibri"/>
                <w:sz w:val="22"/>
                <w:szCs w:val="22"/>
              </w:rPr>
            </w:pPr>
            <w:r>
              <w:rPr>
                <w:rFonts w:cs="Calibri"/>
                <w:sz w:val="22"/>
                <w:szCs w:val="22"/>
              </w:rPr>
              <w:t>Γενική οικιακή</w:t>
            </w:r>
          </w:p>
        </w:tc>
        <w:tc>
          <w:tcPr>
            <w:tcW w:w="2629" w:type="dxa"/>
            <w:tcBorders>
              <w:top w:val="single" w:sz="4" w:space="0" w:color="000000"/>
              <w:left w:val="single" w:sz="4" w:space="0" w:color="000000"/>
              <w:bottom w:val="single" w:sz="4" w:space="0" w:color="000000"/>
              <w:right w:val="single" w:sz="4" w:space="0" w:color="000000"/>
            </w:tcBorders>
          </w:tcPr>
          <w:p>
            <w:pPr>
              <w:pStyle w:val="Style25"/>
              <w:widowControl w:val="false"/>
              <w:tabs>
                <w:tab w:val="clear" w:pos="720"/>
                <w:tab w:val="left" w:pos="-540" w:leader="none"/>
              </w:tabs>
              <w:snapToGrid w:val="false"/>
              <w:spacing w:before="0" w:after="240"/>
              <w:jc w:val="left"/>
              <w:rPr>
                <w:rFonts w:ascii="Calibri" w:hAnsi="Calibri" w:cs="Calibri"/>
                <w:sz w:val="22"/>
                <w:szCs w:val="22"/>
              </w:rPr>
            </w:pPr>
            <w:r>
              <w:rPr>
                <w:rFonts w:cs="Calibri"/>
                <w:sz w:val="22"/>
                <w:szCs w:val="22"/>
              </w:rPr>
            </w:r>
          </w:p>
        </w:tc>
      </w:tr>
      <w:tr>
        <w:trPr/>
        <w:tc>
          <w:tcPr>
            <w:tcW w:w="2434" w:type="dxa"/>
            <w:tcBorders>
              <w:left w:val="single" w:sz="4" w:space="0" w:color="000000"/>
              <w:bottom w:val="single" w:sz="4" w:space="0" w:color="000000"/>
            </w:tcBorders>
          </w:tcPr>
          <w:p>
            <w:pPr>
              <w:pStyle w:val="Normal"/>
              <w:widowControl w:val="false"/>
              <w:snapToGrid w:val="false"/>
              <w:spacing w:before="0" w:after="120"/>
              <w:rPr>
                <w:rFonts w:ascii="Calibri" w:hAnsi="Calibri" w:cs="Calibri"/>
                <w:sz w:val="22"/>
                <w:szCs w:val="22"/>
              </w:rPr>
            </w:pPr>
            <w:r>
              <w:rPr>
                <w:rFonts w:cs="Calibri"/>
                <w:sz w:val="22"/>
                <w:szCs w:val="22"/>
              </w:rPr>
              <w:t>Υλικό</w:t>
            </w:r>
          </w:p>
        </w:tc>
        <w:tc>
          <w:tcPr>
            <w:tcW w:w="4353" w:type="dxa"/>
            <w:tcBorders>
              <w:left w:val="single" w:sz="4" w:space="0" w:color="000000"/>
              <w:bottom w:val="single" w:sz="4" w:space="0" w:color="000000"/>
            </w:tcBorders>
          </w:tcPr>
          <w:p>
            <w:pPr>
              <w:pStyle w:val="Normal"/>
              <w:widowControl w:val="false"/>
              <w:snapToGrid w:val="false"/>
              <w:spacing w:before="0" w:after="120"/>
              <w:rPr>
                <w:rFonts w:ascii="Calibri" w:hAnsi="Calibri" w:cs="Calibri"/>
                <w:sz w:val="22"/>
                <w:szCs w:val="22"/>
              </w:rPr>
            </w:pPr>
            <w:r>
              <w:rPr>
                <w:rFonts w:cs="Calibri"/>
                <w:sz w:val="22"/>
                <w:szCs w:val="22"/>
              </w:rPr>
              <w:t>Πλαστικό</w:t>
            </w:r>
          </w:p>
        </w:tc>
        <w:tc>
          <w:tcPr>
            <w:tcW w:w="2629" w:type="dxa"/>
            <w:tcBorders>
              <w:left w:val="single" w:sz="4" w:space="0" w:color="000000"/>
              <w:bottom w:val="single" w:sz="4" w:space="0" w:color="000000"/>
              <w:right w:val="single" w:sz="4" w:space="0" w:color="000000"/>
            </w:tcBorders>
          </w:tcPr>
          <w:p>
            <w:pPr>
              <w:pStyle w:val="Style25"/>
              <w:widowControl w:val="false"/>
              <w:tabs>
                <w:tab w:val="clear" w:pos="720"/>
                <w:tab w:val="left" w:pos="-540" w:leader="none"/>
              </w:tabs>
              <w:snapToGrid w:val="false"/>
              <w:spacing w:before="0" w:after="240"/>
              <w:jc w:val="left"/>
              <w:rPr>
                <w:rFonts w:ascii="Calibri" w:hAnsi="Calibri" w:cs="Calibri"/>
                <w:sz w:val="22"/>
                <w:szCs w:val="22"/>
              </w:rPr>
            </w:pPr>
            <w:r>
              <w:rPr>
                <w:rFonts w:cs="Calibri"/>
                <w:sz w:val="22"/>
                <w:szCs w:val="22"/>
              </w:rPr>
            </w:r>
          </w:p>
        </w:tc>
      </w:tr>
      <w:tr>
        <w:trPr/>
        <w:tc>
          <w:tcPr>
            <w:tcW w:w="2434" w:type="dxa"/>
            <w:tcBorders>
              <w:left w:val="single" w:sz="4" w:space="0" w:color="000000"/>
              <w:bottom w:val="single" w:sz="4" w:space="0" w:color="000000"/>
            </w:tcBorders>
          </w:tcPr>
          <w:p>
            <w:pPr>
              <w:pStyle w:val="Normal"/>
              <w:widowControl w:val="false"/>
              <w:snapToGrid w:val="false"/>
              <w:spacing w:before="0" w:after="120"/>
              <w:rPr>
                <w:rFonts w:ascii="Calibri" w:hAnsi="Calibri" w:cs="Calibri"/>
                <w:sz w:val="22"/>
                <w:szCs w:val="22"/>
              </w:rPr>
            </w:pPr>
            <w:r>
              <w:rPr>
                <w:rFonts w:cs="Calibri"/>
                <w:sz w:val="22"/>
                <w:szCs w:val="22"/>
              </w:rPr>
              <w:t>Βάση</w:t>
            </w:r>
          </w:p>
        </w:tc>
        <w:tc>
          <w:tcPr>
            <w:tcW w:w="4353" w:type="dxa"/>
            <w:tcBorders>
              <w:left w:val="single" w:sz="4" w:space="0" w:color="000000"/>
              <w:bottom w:val="single" w:sz="4" w:space="0" w:color="000000"/>
            </w:tcBorders>
          </w:tcPr>
          <w:p>
            <w:pPr>
              <w:pStyle w:val="Normal"/>
              <w:widowControl w:val="false"/>
              <w:snapToGrid w:val="false"/>
              <w:spacing w:before="0" w:after="120"/>
              <w:rPr>
                <w:rFonts w:ascii="Calibri" w:hAnsi="Calibri" w:cs="Calibri"/>
                <w:sz w:val="22"/>
                <w:szCs w:val="22"/>
              </w:rPr>
            </w:pPr>
            <w:r>
              <w:rPr>
                <w:rFonts w:cs="Calibri"/>
                <w:sz w:val="22"/>
                <w:szCs w:val="22"/>
              </w:rPr>
              <w:t>Βιδωτή σε κοντάρι</w:t>
            </w:r>
          </w:p>
        </w:tc>
        <w:tc>
          <w:tcPr>
            <w:tcW w:w="2629" w:type="dxa"/>
            <w:tcBorders>
              <w:left w:val="single" w:sz="4" w:space="0" w:color="000000"/>
              <w:bottom w:val="single" w:sz="4" w:space="0" w:color="000000"/>
              <w:right w:val="single" w:sz="4" w:space="0" w:color="000000"/>
            </w:tcBorders>
          </w:tcPr>
          <w:p>
            <w:pPr>
              <w:pStyle w:val="Style25"/>
              <w:widowControl w:val="false"/>
              <w:tabs>
                <w:tab w:val="clear" w:pos="720"/>
                <w:tab w:val="left" w:pos="-540" w:leader="none"/>
              </w:tabs>
              <w:snapToGrid w:val="false"/>
              <w:spacing w:before="0" w:after="240"/>
              <w:jc w:val="left"/>
              <w:rPr>
                <w:rFonts w:ascii="Calibri" w:hAnsi="Calibri" w:cs="Calibri"/>
                <w:sz w:val="22"/>
                <w:szCs w:val="22"/>
              </w:rPr>
            </w:pPr>
            <w:r>
              <w:rPr>
                <w:rFonts w:cs="Calibri"/>
                <w:sz w:val="22"/>
                <w:szCs w:val="22"/>
              </w:rPr>
              <w:t>Φαρδύ σπείρωμα</w:t>
            </w:r>
          </w:p>
        </w:tc>
      </w:tr>
    </w:tbl>
    <w:p>
      <w:pPr>
        <w:pStyle w:val="Normal"/>
        <w:tabs>
          <w:tab w:val="clear" w:pos="720"/>
          <w:tab w:val="left" w:pos="4095" w:leader="none"/>
        </w:tabs>
        <w:ind w:left="1077" w:hanging="0"/>
        <w:rPr>
          <w:rFonts w:ascii="Calibri" w:hAnsi="Calibri" w:cs="Calibri"/>
          <w:sz w:val="22"/>
          <w:szCs w:val="22"/>
        </w:rPr>
      </w:pPr>
      <w:r>
        <w:rPr>
          <w:rFonts w:cs="Calibri"/>
          <w:sz w:val="22"/>
          <w:szCs w:val="22"/>
        </w:rPr>
      </w:r>
    </w:p>
    <w:p>
      <w:pPr>
        <w:pStyle w:val="Style41"/>
        <w:jc w:val="left"/>
        <w:rPr>
          <w:rFonts w:ascii="Calibri" w:hAnsi="Calibri" w:eastAsia="Times New Roman" w:cs="Calibri"/>
          <w:b/>
          <w:b/>
          <w:bCs/>
          <w:color w:val="auto"/>
          <w:kern w:val="0"/>
          <w:sz w:val="22"/>
          <w:szCs w:val="22"/>
          <w:lang w:val="en-GB" w:eastAsia="ar-SA" w:bidi="ar-SA"/>
        </w:rPr>
      </w:pPr>
      <w:r>
        <w:rPr>
          <w:rFonts w:eastAsia="Times New Roman" w:cs="Calibri" w:ascii="Calibri" w:hAnsi="Calibri"/>
          <w:b/>
          <w:bCs/>
          <w:color w:val="auto"/>
          <w:kern w:val="0"/>
          <w:sz w:val="22"/>
          <w:szCs w:val="22"/>
          <w:lang w:val="en-GB" w:eastAsia="ar-SA" w:bidi="ar-SA"/>
        </w:rPr>
        <w:t xml:space="preserve">                    </w:t>
      </w:r>
      <w:r>
        <w:rPr>
          <w:rFonts w:eastAsia="Times New Roman" w:cs="Calibri" w:ascii="Calibri" w:hAnsi="Calibri"/>
          <w:b/>
          <w:bCs/>
          <w:color w:val="auto"/>
          <w:kern w:val="0"/>
          <w:sz w:val="22"/>
          <w:szCs w:val="22"/>
          <w:lang w:val="en-GB" w:eastAsia="ar-SA" w:bidi="ar-SA"/>
        </w:rPr>
        <w:t>52. Σιδερώστρα</w:t>
      </w:r>
    </w:p>
    <w:tbl>
      <w:tblPr>
        <w:tblW w:w="9416" w:type="dxa"/>
        <w:jc w:val="left"/>
        <w:tblInd w:w="-65" w:type="dxa"/>
        <w:tblLayout w:type="fixed"/>
        <w:tblCellMar>
          <w:top w:w="0" w:type="dxa"/>
          <w:left w:w="108" w:type="dxa"/>
          <w:bottom w:w="0" w:type="dxa"/>
          <w:right w:w="108" w:type="dxa"/>
        </w:tblCellMar>
      </w:tblPr>
      <w:tblGrid>
        <w:gridCol w:w="2751"/>
        <w:gridCol w:w="3924"/>
        <w:gridCol w:w="2741"/>
      </w:tblGrid>
      <w:tr>
        <w:trPr/>
        <w:tc>
          <w:tcPr>
            <w:tcW w:w="2751" w:type="dxa"/>
            <w:tcBorders>
              <w:top w:val="single" w:sz="4" w:space="0" w:color="000000"/>
              <w:left w:val="single" w:sz="4" w:space="0" w:color="000000"/>
              <w:bottom w:val="single" w:sz="4" w:space="0" w:color="000000"/>
            </w:tcBorders>
            <w:shd w:fill="F2F2F2" w:val="clear"/>
          </w:tcPr>
          <w:p>
            <w:pPr>
              <w:pStyle w:val="Style25"/>
              <w:widowControl w:val="false"/>
              <w:tabs>
                <w:tab w:val="clear" w:pos="720"/>
                <w:tab w:val="left" w:pos="-540" w:leader="none"/>
              </w:tabs>
              <w:spacing w:before="0" w:after="240"/>
              <w:jc w:val="left"/>
              <w:rPr>
                <w:rFonts w:ascii="Calibri" w:hAnsi="Calibri" w:eastAsia="Calibri" w:cs="Calibri"/>
                <w:b/>
                <w:b/>
                <w:sz w:val="22"/>
                <w:szCs w:val="22"/>
              </w:rPr>
            </w:pPr>
            <w:r>
              <w:rPr>
                <w:rFonts w:eastAsia="Calibri" w:cs="Calibri"/>
                <w:b/>
                <w:sz w:val="22"/>
                <w:szCs w:val="22"/>
              </w:rPr>
              <w:t>Χαρακτηριστικό</w:t>
            </w:r>
          </w:p>
        </w:tc>
        <w:tc>
          <w:tcPr>
            <w:tcW w:w="3924" w:type="dxa"/>
            <w:tcBorders>
              <w:top w:val="single" w:sz="4" w:space="0" w:color="000000"/>
              <w:left w:val="single" w:sz="4" w:space="0" w:color="000000"/>
              <w:bottom w:val="single" w:sz="4" w:space="0" w:color="000000"/>
            </w:tcBorders>
            <w:shd w:fill="F2F2F2" w:val="clear"/>
          </w:tcPr>
          <w:p>
            <w:pPr>
              <w:pStyle w:val="Style25"/>
              <w:widowControl w:val="false"/>
              <w:tabs>
                <w:tab w:val="clear" w:pos="720"/>
                <w:tab w:val="left" w:pos="-540" w:leader="none"/>
              </w:tabs>
              <w:spacing w:before="0" w:after="240"/>
              <w:jc w:val="left"/>
              <w:rPr>
                <w:rFonts w:ascii="Calibri" w:hAnsi="Calibri" w:eastAsia="Calibri" w:cs="Calibri"/>
                <w:b/>
                <w:b/>
                <w:sz w:val="22"/>
                <w:szCs w:val="22"/>
              </w:rPr>
            </w:pPr>
            <w:r>
              <w:rPr>
                <w:rFonts w:eastAsia="Calibri" w:cs="Calibri"/>
                <w:b/>
                <w:sz w:val="22"/>
                <w:szCs w:val="22"/>
              </w:rPr>
              <w:t>Απαίτηση</w:t>
            </w:r>
          </w:p>
        </w:tc>
        <w:tc>
          <w:tcPr>
            <w:tcW w:w="2741" w:type="dxa"/>
            <w:tcBorders>
              <w:top w:val="single" w:sz="4" w:space="0" w:color="000000"/>
              <w:left w:val="single" w:sz="4" w:space="0" w:color="000000"/>
              <w:bottom w:val="single" w:sz="4" w:space="0" w:color="000000"/>
              <w:right w:val="single" w:sz="4" w:space="0" w:color="000000"/>
            </w:tcBorders>
            <w:shd w:fill="F2F2F2" w:val="clear"/>
          </w:tcPr>
          <w:p>
            <w:pPr>
              <w:pStyle w:val="Style25"/>
              <w:widowControl w:val="false"/>
              <w:tabs>
                <w:tab w:val="clear" w:pos="720"/>
                <w:tab w:val="left" w:pos="-540" w:leader="none"/>
              </w:tabs>
              <w:spacing w:before="0" w:after="240"/>
              <w:jc w:val="left"/>
              <w:rPr>
                <w:rFonts w:ascii="Calibri" w:hAnsi="Calibri" w:eastAsia="Calibri" w:cs="Calibri"/>
                <w:b/>
                <w:b/>
                <w:sz w:val="22"/>
                <w:szCs w:val="22"/>
              </w:rPr>
            </w:pPr>
            <w:r>
              <w:rPr>
                <w:rFonts w:eastAsia="Calibri" w:cs="Calibri"/>
                <w:b/>
                <w:sz w:val="22"/>
                <w:szCs w:val="22"/>
              </w:rPr>
              <w:t>Παρατηρήσεις</w:t>
            </w:r>
          </w:p>
        </w:tc>
      </w:tr>
      <w:tr>
        <w:trPr/>
        <w:tc>
          <w:tcPr>
            <w:tcW w:w="2751" w:type="dxa"/>
            <w:tcBorders>
              <w:top w:val="single" w:sz="4" w:space="0" w:color="000000"/>
              <w:left w:val="single" w:sz="4" w:space="0" w:color="000000"/>
              <w:bottom w:val="single" w:sz="4" w:space="0" w:color="000000"/>
            </w:tcBorders>
          </w:tcPr>
          <w:p>
            <w:pPr>
              <w:pStyle w:val="Normal"/>
              <w:widowControl w:val="false"/>
              <w:spacing w:before="0" w:after="120"/>
              <w:rPr>
                <w:rFonts w:ascii="Calibri" w:hAnsi="Calibri" w:cs="Calibri"/>
                <w:sz w:val="22"/>
                <w:szCs w:val="22"/>
              </w:rPr>
            </w:pPr>
            <w:r>
              <w:rPr>
                <w:rFonts w:cs="Calibri"/>
                <w:sz w:val="22"/>
                <w:szCs w:val="22"/>
              </w:rPr>
              <w:t>Βάση στήριξης</w:t>
            </w:r>
          </w:p>
        </w:tc>
        <w:tc>
          <w:tcPr>
            <w:tcW w:w="3924" w:type="dxa"/>
            <w:tcBorders>
              <w:top w:val="single" w:sz="4" w:space="0" w:color="000000"/>
              <w:left w:val="single" w:sz="4" w:space="0" w:color="000000"/>
              <w:bottom w:val="single" w:sz="4" w:space="0" w:color="000000"/>
            </w:tcBorders>
          </w:tcPr>
          <w:p>
            <w:pPr>
              <w:pStyle w:val="Normal"/>
              <w:widowControl w:val="false"/>
              <w:spacing w:before="0" w:after="120"/>
              <w:rPr>
                <w:rFonts w:ascii="Calibri" w:hAnsi="Calibri" w:cs="Calibri"/>
                <w:sz w:val="22"/>
                <w:szCs w:val="22"/>
              </w:rPr>
            </w:pPr>
            <w:r>
              <w:rPr>
                <w:rFonts w:cs="Calibri"/>
                <w:sz w:val="22"/>
                <w:szCs w:val="22"/>
              </w:rPr>
              <w:t>Για ατμοσίδερο</w:t>
            </w:r>
          </w:p>
        </w:tc>
        <w:tc>
          <w:tcPr>
            <w:tcW w:w="2741" w:type="dxa"/>
            <w:tcBorders>
              <w:top w:val="single" w:sz="4" w:space="0" w:color="000000"/>
              <w:left w:val="single" w:sz="4" w:space="0" w:color="000000"/>
              <w:bottom w:val="single" w:sz="4" w:space="0" w:color="000000"/>
              <w:right w:val="single" w:sz="4" w:space="0" w:color="000000"/>
            </w:tcBorders>
          </w:tcPr>
          <w:p>
            <w:pPr>
              <w:pStyle w:val="Style25"/>
              <w:widowControl w:val="false"/>
              <w:tabs>
                <w:tab w:val="clear" w:pos="720"/>
                <w:tab w:val="left" w:pos="-540" w:leader="none"/>
              </w:tabs>
              <w:snapToGrid w:val="false"/>
              <w:spacing w:before="0" w:after="240"/>
              <w:jc w:val="left"/>
              <w:rPr>
                <w:rFonts w:ascii="Calibri" w:hAnsi="Calibri" w:cs="Calibri"/>
                <w:sz w:val="22"/>
                <w:szCs w:val="22"/>
              </w:rPr>
            </w:pPr>
            <w:r>
              <w:rPr>
                <w:rFonts w:cs="Calibri"/>
                <w:sz w:val="22"/>
                <w:szCs w:val="22"/>
              </w:rPr>
            </w:r>
          </w:p>
        </w:tc>
      </w:tr>
      <w:tr>
        <w:trPr/>
        <w:tc>
          <w:tcPr>
            <w:tcW w:w="2751" w:type="dxa"/>
            <w:tcBorders>
              <w:top w:val="single" w:sz="4" w:space="0" w:color="000000"/>
              <w:left w:val="single" w:sz="4" w:space="0" w:color="000000"/>
              <w:bottom w:val="single" w:sz="4" w:space="0" w:color="000000"/>
            </w:tcBorders>
          </w:tcPr>
          <w:p>
            <w:pPr>
              <w:pStyle w:val="Normal"/>
              <w:widowControl w:val="false"/>
              <w:spacing w:before="0" w:after="120"/>
              <w:rPr>
                <w:rFonts w:ascii="Calibri" w:hAnsi="Calibri" w:cs="Calibri"/>
                <w:sz w:val="22"/>
                <w:szCs w:val="22"/>
              </w:rPr>
            </w:pPr>
            <w:r>
              <w:rPr>
                <w:rFonts w:cs="Calibri"/>
                <w:sz w:val="22"/>
                <w:szCs w:val="22"/>
              </w:rPr>
              <w:t>Ρυθμιζόμενο ύψος</w:t>
            </w:r>
          </w:p>
        </w:tc>
        <w:tc>
          <w:tcPr>
            <w:tcW w:w="3924" w:type="dxa"/>
            <w:tcBorders>
              <w:top w:val="single" w:sz="4" w:space="0" w:color="000000"/>
              <w:left w:val="single" w:sz="4" w:space="0" w:color="000000"/>
              <w:bottom w:val="single" w:sz="4" w:space="0" w:color="000000"/>
            </w:tcBorders>
          </w:tcPr>
          <w:p>
            <w:pPr>
              <w:pStyle w:val="Normal"/>
              <w:widowControl w:val="false"/>
              <w:spacing w:before="0" w:after="120"/>
              <w:rPr/>
            </w:pPr>
            <w:r>
              <w:rPr>
                <w:rFonts w:cs="Calibri"/>
                <w:sz w:val="22"/>
                <w:szCs w:val="22"/>
              </w:rPr>
              <w:t>Από 70 έως 100</w:t>
            </w:r>
            <w:r>
              <w:rPr>
                <w:rFonts w:cs="Calibri"/>
                <w:sz w:val="22"/>
                <w:szCs w:val="22"/>
                <w:lang w:val="en-US"/>
              </w:rPr>
              <w:t xml:space="preserve">cm </w:t>
            </w:r>
            <w:r>
              <w:rPr>
                <w:rFonts w:cs="Calibri"/>
                <w:sz w:val="22"/>
                <w:szCs w:val="22"/>
              </w:rPr>
              <w:t>μέγιστο</w:t>
            </w:r>
          </w:p>
        </w:tc>
        <w:tc>
          <w:tcPr>
            <w:tcW w:w="2741" w:type="dxa"/>
            <w:tcBorders>
              <w:top w:val="single" w:sz="4" w:space="0" w:color="000000"/>
              <w:left w:val="single" w:sz="4" w:space="0" w:color="000000"/>
              <w:bottom w:val="single" w:sz="4" w:space="0" w:color="000000"/>
              <w:right w:val="single" w:sz="4" w:space="0" w:color="000000"/>
            </w:tcBorders>
          </w:tcPr>
          <w:p>
            <w:pPr>
              <w:pStyle w:val="Style25"/>
              <w:widowControl w:val="false"/>
              <w:tabs>
                <w:tab w:val="clear" w:pos="720"/>
                <w:tab w:val="left" w:pos="-540" w:leader="none"/>
              </w:tabs>
              <w:snapToGrid w:val="false"/>
              <w:spacing w:before="0" w:after="240"/>
              <w:jc w:val="left"/>
              <w:rPr>
                <w:rFonts w:ascii="Calibri" w:hAnsi="Calibri" w:cs="Calibri"/>
                <w:sz w:val="22"/>
                <w:szCs w:val="22"/>
              </w:rPr>
            </w:pPr>
            <w:r>
              <w:rPr>
                <w:rFonts w:cs="Calibri"/>
                <w:sz w:val="22"/>
                <w:szCs w:val="22"/>
              </w:rPr>
            </w:r>
          </w:p>
        </w:tc>
      </w:tr>
      <w:tr>
        <w:trPr/>
        <w:tc>
          <w:tcPr>
            <w:tcW w:w="2751" w:type="dxa"/>
            <w:tcBorders>
              <w:top w:val="single" w:sz="4" w:space="0" w:color="000000"/>
              <w:left w:val="single" w:sz="4" w:space="0" w:color="000000"/>
              <w:bottom w:val="single" w:sz="4" w:space="0" w:color="000000"/>
            </w:tcBorders>
          </w:tcPr>
          <w:p>
            <w:pPr>
              <w:pStyle w:val="Normal"/>
              <w:widowControl w:val="false"/>
              <w:spacing w:before="0" w:after="120"/>
              <w:rPr>
                <w:rFonts w:ascii="Calibri" w:hAnsi="Calibri" w:cs="Calibri"/>
                <w:sz w:val="22"/>
                <w:szCs w:val="22"/>
              </w:rPr>
            </w:pPr>
            <w:r>
              <w:rPr>
                <w:rFonts w:cs="Calibri"/>
                <w:sz w:val="22"/>
                <w:szCs w:val="22"/>
              </w:rPr>
              <w:t>Κάλυμμα</w:t>
            </w:r>
          </w:p>
        </w:tc>
        <w:tc>
          <w:tcPr>
            <w:tcW w:w="3924" w:type="dxa"/>
            <w:tcBorders>
              <w:top w:val="single" w:sz="4" w:space="0" w:color="000000"/>
              <w:left w:val="single" w:sz="4" w:space="0" w:color="000000"/>
              <w:bottom w:val="single" w:sz="4" w:space="0" w:color="000000"/>
            </w:tcBorders>
          </w:tcPr>
          <w:p>
            <w:pPr>
              <w:pStyle w:val="Normal"/>
              <w:widowControl w:val="false"/>
              <w:spacing w:before="0" w:after="120"/>
              <w:rPr>
                <w:rFonts w:ascii="Calibri" w:hAnsi="Calibri" w:cs="Calibri"/>
                <w:sz w:val="22"/>
                <w:szCs w:val="22"/>
              </w:rPr>
            </w:pPr>
            <w:r>
              <w:rPr>
                <w:rFonts w:cs="Calibri"/>
                <w:sz w:val="22"/>
                <w:szCs w:val="22"/>
              </w:rPr>
              <w:t>100% βαμβάκι</w:t>
            </w:r>
          </w:p>
        </w:tc>
        <w:tc>
          <w:tcPr>
            <w:tcW w:w="2741" w:type="dxa"/>
            <w:tcBorders>
              <w:top w:val="single" w:sz="4" w:space="0" w:color="000000"/>
              <w:left w:val="single" w:sz="4" w:space="0" w:color="000000"/>
              <w:bottom w:val="single" w:sz="4" w:space="0" w:color="000000"/>
              <w:right w:val="single" w:sz="4" w:space="0" w:color="000000"/>
            </w:tcBorders>
          </w:tcPr>
          <w:p>
            <w:pPr>
              <w:pStyle w:val="Style25"/>
              <w:widowControl w:val="false"/>
              <w:tabs>
                <w:tab w:val="clear" w:pos="720"/>
                <w:tab w:val="left" w:pos="-540" w:leader="none"/>
              </w:tabs>
              <w:snapToGrid w:val="false"/>
              <w:spacing w:before="0" w:after="240"/>
              <w:jc w:val="left"/>
              <w:rPr>
                <w:rFonts w:ascii="Calibri" w:hAnsi="Calibri" w:cs="Calibri"/>
                <w:sz w:val="22"/>
                <w:szCs w:val="22"/>
              </w:rPr>
            </w:pPr>
            <w:r>
              <w:rPr>
                <w:rFonts w:cs="Calibri"/>
                <w:sz w:val="22"/>
                <w:szCs w:val="22"/>
              </w:rPr>
            </w:r>
          </w:p>
        </w:tc>
      </w:tr>
      <w:tr>
        <w:trPr/>
        <w:tc>
          <w:tcPr>
            <w:tcW w:w="2751" w:type="dxa"/>
            <w:tcBorders>
              <w:top w:val="single" w:sz="4" w:space="0" w:color="000000"/>
              <w:left w:val="single" w:sz="4" w:space="0" w:color="000000"/>
              <w:bottom w:val="single" w:sz="4" w:space="0" w:color="000000"/>
            </w:tcBorders>
          </w:tcPr>
          <w:p>
            <w:pPr>
              <w:pStyle w:val="Normal"/>
              <w:widowControl w:val="false"/>
              <w:snapToGrid w:val="false"/>
              <w:spacing w:before="0" w:after="120"/>
              <w:rPr>
                <w:rFonts w:ascii="Calibri" w:hAnsi="Calibri" w:cs="Calibri"/>
                <w:sz w:val="22"/>
                <w:szCs w:val="22"/>
              </w:rPr>
            </w:pPr>
            <w:r>
              <w:rPr>
                <w:rFonts w:cs="Calibri"/>
                <w:sz w:val="22"/>
                <w:szCs w:val="22"/>
              </w:rPr>
              <w:t>Επιφάνεια σιδερώματος</w:t>
            </w:r>
          </w:p>
        </w:tc>
        <w:tc>
          <w:tcPr>
            <w:tcW w:w="3924" w:type="dxa"/>
            <w:tcBorders>
              <w:top w:val="single" w:sz="4" w:space="0" w:color="000000"/>
              <w:left w:val="single" w:sz="4" w:space="0" w:color="000000"/>
              <w:bottom w:val="single" w:sz="4" w:space="0" w:color="000000"/>
            </w:tcBorders>
          </w:tcPr>
          <w:p>
            <w:pPr>
              <w:pStyle w:val="Normal"/>
              <w:widowControl w:val="false"/>
              <w:snapToGrid w:val="false"/>
              <w:spacing w:before="0" w:after="120"/>
              <w:rPr/>
            </w:pPr>
            <w:r>
              <w:rPr>
                <w:rFonts w:cs="Calibri"/>
                <w:sz w:val="22"/>
                <w:szCs w:val="22"/>
              </w:rPr>
              <w:t>35</w:t>
            </w:r>
            <w:r>
              <w:rPr>
                <w:rFonts w:cs="Calibri"/>
                <w:sz w:val="22"/>
                <w:szCs w:val="22"/>
                <w:lang w:val="en-US"/>
              </w:rPr>
              <w:t xml:space="preserve">x100cm </w:t>
            </w:r>
            <w:r>
              <w:rPr>
                <w:rFonts w:cs="Calibri"/>
                <w:sz w:val="22"/>
                <w:szCs w:val="22"/>
              </w:rPr>
              <w:t>τουλάχιστον</w:t>
            </w:r>
          </w:p>
        </w:tc>
        <w:tc>
          <w:tcPr>
            <w:tcW w:w="2741" w:type="dxa"/>
            <w:tcBorders>
              <w:top w:val="single" w:sz="4" w:space="0" w:color="000000"/>
              <w:left w:val="single" w:sz="4" w:space="0" w:color="000000"/>
              <w:bottom w:val="single" w:sz="4" w:space="0" w:color="000000"/>
              <w:right w:val="single" w:sz="4" w:space="0" w:color="000000"/>
            </w:tcBorders>
          </w:tcPr>
          <w:p>
            <w:pPr>
              <w:pStyle w:val="Style25"/>
              <w:widowControl w:val="false"/>
              <w:tabs>
                <w:tab w:val="clear" w:pos="720"/>
                <w:tab w:val="left" w:pos="-540" w:leader="none"/>
              </w:tabs>
              <w:snapToGrid w:val="false"/>
              <w:spacing w:before="0" w:after="240"/>
              <w:jc w:val="left"/>
              <w:rPr>
                <w:rFonts w:ascii="Calibri" w:hAnsi="Calibri" w:cs="Calibri"/>
                <w:sz w:val="22"/>
                <w:szCs w:val="22"/>
              </w:rPr>
            </w:pPr>
            <w:r>
              <w:rPr>
                <w:rFonts w:cs="Calibri"/>
                <w:sz w:val="22"/>
                <w:szCs w:val="22"/>
              </w:rPr>
            </w:r>
          </w:p>
        </w:tc>
      </w:tr>
    </w:tbl>
    <w:p>
      <w:pPr>
        <w:pStyle w:val="Normal"/>
        <w:tabs>
          <w:tab w:val="clear" w:pos="720"/>
          <w:tab w:val="left" w:pos="2595" w:leader="none"/>
        </w:tabs>
        <w:ind w:left="1077" w:hanging="0"/>
        <w:rPr>
          <w:rFonts w:ascii="Calibri" w:hAnsi="Calibri" w:cs="Calibri"/>
          <w:sz w:val="22"/>
          <w:szCs w:val="22"/>
        </w:rPr>
      </w:pPr>
      <w:r>
        <w:rPr>
          <w:rFonts w:cs="Calibri"/>
          <w:sz w:val="22"/>
          <w:szCs w:val="22"/>
        </w:rPr>
      </w:r>
    </w:p>
    <w:p>
      <w:pPr>
        <w:pStyle w:val="Normal"/>
        <w:tabs>
          <w:tab w:val="clear" w:pos="720"/>
          <w:tab w:val="left" w:pos="4800" w:leader="none"/>
        </w:tabs>
        <w:ind w:left="1077" w:hanging="0"/>
        <w:rPr>
          <w:rFonts w:ascii="Calibri" w:hAnsi="Calibri" w:cs="Calibri"/>
          <w:b/>
          <w:b/>
          <w:bCs/>
          <w:sz w:val="22"/>
          <w:szCs w:val="22"/>
        </w:rPr>
      </w:pPr>
      <w:r>
        <w:rPr>
          <w:rFonts w:cs="Calibri"/>
          <w:b/>
          <w:bCs/>
          <w:sz w:val="22"/>
          <w:szCs w:val="22"/>
        </w:rPr>
        <w:t>53. Φαράσι</w:t>
      </w:r>
    </w:p>
    <w:tbl>
      <w:tblPr>
        <w:tblW w:w="9416" w:type="dxa"/>
        <w:jc w:val="left"/>
        <w:tblInd w:w="-65" w:type="dxa"/>
        <w:tblLayout w:type="fixed"/>
        <w:tblCellMar>
          <w:top w:w="0" w:type="dxa"/>
          <w:left w:w="108" w:type="dxa"/>
          <w:bottom w:w="0" w:type="dxa"/>
          <w:right w:w="108" w:type="dxa"/>
        </w:tblCellMar>
      </w:tblPr>
      <w:tblGrid>
        <w:gridCol w:w="2434"/>
        <w:gridCol w:w="4353"/>
        <w:gridCol w:w="2629"/>
      </w:tblGrid>
      <w:tr>
        <w:trPr/>
        <w:tc>
          <w:tcPr>
            <w:tcW w:w="2434" w:type="dxa"/>
            <w:tcBorders>
              <w:top w:val="single" w:sz="4" w:space="0" w:color="000000"/>
              <w:left w:val="single" w:sz="4" w:space="0" w:color="000000"/>
              <w:bottom w:val="single" w:sz="4" w:space="0" w:color="000000"/>
            </w:tcBorders>
            <w:shd w:fill="F2F2F2" w:val="clear"/>
          </w:tcPr>
          <w:p>
            <w:pPr>
              <w:pStyle w:val="Style25"/>
              <w:widowControl w:val="false"/>
              <w:tabs>
                <w:tab w:val="clear" w:pos="720"/>
                <w:tab w:val="left" w:pos="-540" w:leader="none"/>
              </w:tabs>
              <w:spacing w:before="0" w:after="240"/>
              <w:jc w:val="left"/>
              <w:rPr>
                <w:rFonts w:ascii="Calibri" w:hAnsi="Calibri" w:cs="Calibri"/>
                <w:b/>
                <w:b/>
                <w:sz w:val="22"/>
                <w:szCs w:val="22"/>
              </w:rPr>
            </w:pPr>
            <w:r>
              <w:rPr>
                <w:rFonts w:cs="Calibri"/>
                <w:b/>
                <w:sz w:val="22"/>
                <w:szCs w:val="22"/>
              </w:rPr>
              <w:t>Χαρακτηριστικό</w:t>
            </w:r>
          </w:p>
        </w:tc>
        <w:tc>
          <w:tcPr>
            <w:tcW w:w="4353" w:type="dxa"/>
            <w:tcBorders>
              <w:top w:val="single" w:sz="4" w:space="0" w:color="000000"/>
              <w:left w:val="single" w:sz="4" w:space="0" w:color="000000"/>
              <w:bottom w:val="single" w:sz="4" w:space="0" w:color="000000"/>
            </w:tcBorders>
            <w:shd w:fill="F2F2F2" w:val="clear"/>
          </w:tcPr>
          <w:p>
            <w:pPr>
              <w:pStyle w:val="Style25"/>
              <w:widowControl w:val="false"/>
              <w:tabs>
                <w:tab w:val="clear" w:pos="720"/>
                <w:tab w:val="left" w:pos="-540" w:leader="none"/>
              </w:tabs>
              <w:spacing w:before="0" w:after="240"/>
              <w:jc w:val="left"/>
              <w:rPr>
                <w:rFonts w:ascii="Calibri" w:hAnsi="Calibri" w:cs="Calibri"/>
                <w:b/>
                <w:b/>
                <w:sz w:val="22"/>
                <w:szCs w:val="22"/>
              </w:rPr>
            </w:pPr>
            <w:r>
              <w:rPr>
                <w:rFonts w:cs="Calibri"/>
                <w:b/>
                <w:sz w:val="22"/>
                <w:szCs w:val="22"/>
              </w:rPr>
              <w:t>Απαίτηση</w:t>
            </w:r>
          </w:p>
        </w:tc>
        <w:tc>
          <w:tcPr>
            <w:tcW w:w="2629" w:type="dxa"/>
            <w:tcBorders>
              <w:top w:val="single" w:sz="4" w:space="0" w:color="000000"/>
              <w:left w:val="single" w:sz="4" w:space="0" w:color="000000"/>
              <w:bottom w:val="single" w:sz="4" w:space="0" w:color="000000"/>
              <w:right w:val="single" w:sz="4" w:space="0" w:color="000000"/>
            </w:tcBorders>
            <w:shd w:fill="F2F2F2" w:val="clear"/>
          </w:tcPr>
          <w:p>
            <w:pPr>
              <w:pStyle w:val="Style25"/>
              <w:widowControl w:val="false"/>
              <w:tabs>
                <w:tab w:val="clear" w:pos="720"/>
                <w:tab w:val="left" w:pos="-540" w:leader="none"/>
              </w:tabs>
              <w:spacing w:before="0" w:after="240"/>
              <w:jc w:val="left"/>
              <w:rPr>
                <w:rFonts w:ascii="Calibri" w:hAnsi="Calibri" w:cs="Calibri"/>
                <w:b/>
                <w:b/>
                <w:sz w:val="22"/>
                <w:szCs w:val="22"/>
              </w:rPr>
            </w:pPr>
            <w:r>
              <w:rPr>
                <w:rFonts w:cs="Calibri"/>
                <w:b/>
                <w:sz w:val="22"/>
                <w:szCs w:val="22"/>
              </w:rPr>
              <w:t>Παρατηρήσεις</w:t>
            </w:r>
          </w:p>
        </w:tc>
      </w:tr>
      <w:tr>
        <w:trPr/>
        <w:tc>
          <w:tcPr>
            <w:tcW w:w="2434" w:type="dxa"/>
            <w:tcBorders>
              <w:top w:val="single" w:sz="4" w:space="0" w:color="000000"/>
              <w:left w:val="single" w:sz="4" w:space="0" w:color="000000"/>
              <w:bottom w:val="single" w:sz="4" w:space="0" w:color="000000"/>
            </w:tcBorders>
          </w:tcPr>
          <w:p>
            <w:pPr>
              <w:pStyle w:val="Normal"/>
              <w:widowControl w:val="false"/>
              <w:snapToGrid w:val="false"/>
              <w:spacing w:before="0" w:after="120"/>
              <w:rPr>
                <w:rFonts w:ascii="Calibri" w:hAnsi="Calibri" w:cs="Calibri"/>
                <w:sz w:val="22"/>
                <w:szCs w:val="22"/>
              </w:rPr>
            </w:pPr>
            <w:r>
              <w:rPr>
                <w:rFonts w:cs="Calibri"/>
                <w:sz w:val="22"/>
                <w:szCs w:val="22"/>
              </w:rPr>
              <w:t>Χρήση</w:t>
            </w:r>
          </w:p>
        </w:tc>
        <w:tc>
          <w:tcPr>
            <w:tcW w:w="4353" w:type="dxa"/>
            <w:tcBorders>
              <w:top w:val="single" w:sz="4" w:space="0" w:color="000000"/>
              <w:left w:val="single" w:sz="4" w:space="0" w:color="000000"/>
              <w:bottom w:val="single" w:sz="4" w:space="0" w:color="000000"/>
            </w:tcBorders>
          </w:tcPr>
          <w:p>
            <w:pPr>
              <w:pStyle w:val="Normal"/>
              <w:widowControl w:val="false"/>
              <w:snapToGrid w:val="false"/>
              <w:spacing w:before="0" w:after="120"/>
              <w:rPr>
                <w:rFonts w:ascii="Calibri" w:hAnsi="Calibri" w:cs="Calibri"/>
                <w:sz w:val="22"/>
                <w:szCs w:val="22"/>
              </w:rPr>
            </w:pPr>
            <w:r>
              <w:rPr>
                <w:rFonts w:cs="Calibri"/>
                <w:sz w:val="22"/>
                <w:szCs w:val="22"/>
              </w:rPr>
              <w:t>Γενική οικιακή</w:t>
            </w:r>
          </w:p>
        </w:tc>
        <w:tc>
          <w:tcPr>
            <w:tcW w:w="2629" w:type="dxa"/>
            <w:tcBorders>
              <w:top w:val="single" w:sz="4" w:space="0" w:color="000000"/>
              <w:left w:val="single" w:sz="4" w:space="0" w:color="000000"/>
              <w:bottom w:val="single" w:sz="4" w:space="0" w:color="000000"/>
              <w:right w:val="single" w:sz="4" w:space="0" w:color="000000"/>
            </w:tcBorders>
          </w:tcPr>
          <w:p>
            <w:pPr>
              <w:pStyle w:val="Style25"/>
              <w:widowControl w:val="false"/>
              <w:tabs>
                <w:tab w:val="clear" w:pos="720"/>
                <w:tab w:val="left" w:pos="-540" w:leader="none"/>
              </w:tabs>
              <w:snapToGrid w:val="false"/>
              <w:spacing w:before="0" w:after="240"/>
              <w:jc w:val="left"/>
              <w:rPr>
                <w:rFonts w:ascii="Calibri" w:hAnsi="Calibri" w:cs="Calibri"/>
                <w:sz w:val="22"/>
                <w:szCs w:val="22"/>
              </w:rPr>
            </w:pPr>
            <w:r>
              <w:rPr>
                <w:rFonts w:cs="Calibri"/>
                <w:sz w:val="22"/>
                <w:szCs w:val="22"/>
              </w:rPr>
            </w:r>
          </w:p>
        </w:tc>
      </w:tr>
      <w:tr>
        <w:trPr/>
        <w:tc>
          <w:tcPr>
            <w:tcW w:w="2434" w:type="dxa"/>
            <w:tcBorders>
              <w:left w:val="single" w:sz="4" w:space="0" w:color="000000"/>
              <w:bottom w:val="single" w:sz="4" w:space="0" w:color="000000"/>
            </w:tcBorders>
          </w:tcPr>
          <w:p>
            <w:pPr>
              <w:pStyle w:val="Normal"/>
              <w:widowControl w:val="false"/>
              <w:snapToGrid w:val="false"/>
              <w:spacing w:before="0" w:after="120"/>
              <w:rPr>
                <w:rFonts w:ascii="Calibri" w:hAnsi="Calibri" w:cs="Calibri"/>
                <w:sz w:val="22"/>
                <w:szCs w:val="22"/>
              </w:rPr>
            </w:pPr>
            <w:r>
              <w:rPr>
                <w:rFonts w:cs="Calibri"/>
                <w:sz w:val="22"/>
                <w:szCs w:val="22"/>
              </w:rPr>
              <w:t>Υλικό</w:t>
            </w:r>
          </w:p>
        </w:tc>
        <w:tc>
          <w:tcPr>
            <w:tcW w:w="4353" w:type="dxa"/>
            <w:tcBorders>
              <w:left w:val="single" w:sz="4" w:space="0" w:color="000000"/>
              <w:bottom w:val="single" w:sz="4" w:space="0" w:color="000000"/>
            </w:tcBorders>
          </w:tcPr>
          <w:p>
            <w:pPr>
              <w:pStyle w:val="Normal"/>
              <w:widowControl w:val="false"/>
              <w:snapToGrid w:val="false"/>
              <w:spacing w:before="0" w:after="120"/>
              <w:rPr>
                <w:rFonts w:ascii="Calibri" w:hAnsi="Calibri" w:cs="Calibri"/>
                <w:sz w:val="22"/>
                <w:szCs w:val="22"/>
              </w:rPr>
            </w:pPr>
            <w:r>
              <w:rPr>
                <w:rFonts w:cs="Calibri"/>
                <w:sz w:val="22"/>
                <w:szCs w:val="22"/>
              </w:rPr>
              <w:t>Πλαστικό</w:t>
            </w:r>
          </w:p>
        </w:tc>
        <w:tc>
          <w:tcPr>
            <w:tcW w:w="2629" w:type="dxa"/>
            <w:tcBorders>
              <w:left w:val="single" w:sz="4" w:space="0" w:color="000000"/>
              <w:bottom w:val="single" w:sz="4" w:space="0" w:color="000000"/>
              <w:right w:val="single" w:sz="4" w:space="0" w:color="000000"/>
            </w:tcBorders>
          </w:tcPr>
          <w:p>
            <w:pPr>
              <w:pStyle w:val="Style25"/>
              <w:widowControl w:val="false"/>
              <w:tabs>
                <w:tab w:val="clear" w:pos="720"/>
                <w:tab w:val="left" w:pos="-540" w:leader="none"/>
              </w:tabs>
              <w:snapToGrid w:val="false"/>
              <w:spacing w:before="0" w:after="240"/>
              <w:jc w:val="left"/>
              <w:rPr>
                <w:rFonts w:ascii="Calibri" w:hAnsi="Calibri" w:cs="Calibri"/>
                <w:sz w:val="22"/>
                <w:szCs w:val="22"/>
              </w:rPr>
            </w:pPr>
            <w:r>
              <w:rPr>
                <w:rFonts w:cs="Calibri"/>
                <w:sz w:val="22"/>
                <w:szCs w:val="22"/>
              </w:rPr>
            </w:r>
          </w:p>
        </w:tc>
      </w:tr>
      <w:tr>
        <w:trPr/>
        <w:tc>
          <w:tcPr>
            <w:tcW w:w="2434" w:type="dxa"/>
            <w:tcBorders>
              <w:left w:val="single" w:sz="4" w:space="0" w:color="000000"/>
              <w:bottom w:val="single" w:sz="4" w:space="0" w:color="000000"/>
            </w:tcBorders>
          </w:tcPr>
          <w:p>
            <w:pPr>
              <w:pStyle w:val="Normal"/>
              <w:widowControl w:val="false"/>
              <w:snapToGrid w:val="false"/>
              <w:spacing w:before="0" w:after="120"/>
              <w:rPr>
                <w:rFonts w:ascii="Calibri" w:hAnsi="Calibri" w:cs="Calibri"/>
                <w:sz w:val="22"/>
                <w:szCs w:val="22"/>
              </w:rPr>
            </w:pPr>
            <w:r>
              <w:rPr>
                <w:rFonts w:cs="Calibri"/>
                <w:sz w:val="22"/>
                <w:szCs w:val="22"/>
              </w:rPr>
              <w:t>Λάστιχο στο άκρο</w:t>
            </w:r>
          </w:p>
        </w:tc>
        <w:tc>
          <w:tcPr>
            <w:tcW w:w="4353" w:type="dxa"/>
            <w:tcBorders>
              <w:left w:val="single" w:sz="4" w:space="0" w:color="000000"/>
              <w:bottom w:val="single" w:sz="4" w:space="0" w:color="000000"/>
            </w:tcBorders>
          </w:tcPr>
          <w:p>
            <w:pPr>
              <w:pStyle w:val="Normal"/>
              <w:widowControl w:val="false"/>
              <w:snapToGrid w:val="false"/>
              <w:spacing w:before="0" w:after="120"/>
              <w:rPr>
                <w:rFonts w:ascii="Calibri" w:hAnsi="Calibri" w:cs="Calibri"/>
                <w:sz w:val="22"/>
                <w:szCs w:val="22"/>
              </w:rPr>
            </w:pPr>
            <w:r>
              <w:rPr>
                <w:rFonts w:cs="Calibri"/>
                <w:sz w:val="22"/>
                <w:szCs w:val="22"/>
              </w:rPr>
              <w:t>Ναι</w:t>
            </w:r>
          </w:p>
        </w:tc>
        <w:tc>
          <w:tcPr>
            <w:tcW w:w="2629" w:type="dxa"/>
            <w:tcBorders>
              <w:left w:val="single" w:sz="4" w:space="0" w:color="000000"/>
              <w:bottom w:val="single" w:sz="4" w:space="0" w:color="000000"/>
              <w:right w:val="single" w:sz="4" w:space="0" w:color="000000"/>
            </w:tcBorders>
          </w:tcPr>
          <w:p>
            <w:pPr>
              <w:pStyle w:val="Style25"/>
              <w:widowControl w:val="false"/>
              <w:tabs>
                <w:tab w:val="clear" w:pos="720"/>
                <w:tab w:val="left" w:pos="-540" w:leader="none"/>
              </w:tabs>
              <w:snapToGrid w:val="false"/>
              <w:spacing w:before="0" w:after="240"/>
              <w:jc w:val="left"/>
              <w:rPr>
                <w:rFonts w:ascii="Calibri" w:hAnsi="Calibri" w:cs="Calibri"/>
                <w:sz w:val="22"/>
                <w:szCs w:val="22"/>
              </w:rPr>
            </w:pPr>
            <w:r>
              <w:rPr>
                <w:rFonts w:cs="Calibri"/>
                <w:sz w:val="22"/>
                <w:szCs w:val="22"/>
              </w:rPr>
            </w:r>
          </w:p>
        </w:tc>
      </w:tr>
    </w:tbl>
    <w:p>
      <w:pPr>
        <w:pStyle w:val="Normal"/>
        <w:tabs>
          <w:tab w:val="clear" w:pos="720"/>
          <w:tab w:val="left" w:pos="4095" w:leader="none"/>
        </w:tabs>
        <w:ind w:left="1077" w:hanging="0"/>
        <w:rPr>
          <w:rFonts w:ascii="Calibri" w:hAnsi="Calibri" w:cs="Calibri"/>
          <w:sz w:val="22"/>
          <w:szCs w:val="22"/>
        </w:rPr>
      </w:pPr>
      <w:r>
        <w:rPr>
          <w:rFonts w:cs="Calibri"/>
          <w:sz w:val="22"/>
          <w:szCs w:val="22"/>
        </w:rPr>
      </w:r>
    </w:p>
    <w:p>
      <w:pPr>
        <w:pStyle w:val="Normal"/>
        <w:tabs>
          <w:tab w:val="clear" w:pos="720"/>
          <w:tab w:val="left" w:pos="4800" w:leader="none"/>
        </w:tabs>
        <w:ind w:left="1077" w:hanging="0"/>
        <w:rPr>
          <w:rFonts w:ascii="Calibri" w:hAnsi="Calibri" w:cs="Calibri"/>
          <w:b/>
          <w:b/>
          <w:bCs/>
          <w:sz w:val="22"/>
          <w:szCs w:val="22"/>
        </w:rPr>
      </w:pPr>
      <w:r>
        <w:rPr>
          <w:rFonts w:cs="Calibri"/>
          <w:b/>
          <w:bCs/>
          <w:sz w:val="22"/>
          <w:szCs w:val="22"/>
        </w:rPr>
        <w:t>54. Σφουγγαρίστρα</w:t>
      </w:r>
    </w:p>
    <w:tbl>
      <w:tblPr>
        <w:tblW w:w="9416" w:type="dxa"/>
        <w:jc w:val="left"/>
        <w:tblInd w:w="-65" w:type="dxa"/>
        <w:tblLayout w:type="fixed"/>
        <w:tblCellMar>
          <w:top w:w="0" w:type="dxa"/>
          <w:left w:w="108" w:type="dxa"/>
          <w:bottom w:w="0" w:type="dxa"/>
          <w:right w:w="108" w:type="dxa"/>
        </w:tblCellMar>
      </w:tblPr>
      <w:tblGrid>
        <w:gridCol w:w="2434"/>
        <w:gridCol w:w="4353"/>
        <w:gridCol w:w="2629"/>
      </w:tblGrid>
      <w:tr>
        <w:trPr/>
        <w:tc>
          <w:tcPr>
            <w:tcW w:w="2434" w:type="dxa"/>
            <w:tcBorders>
              <w:top w:val="single" w:sz="4" w:space="0" w:color="000000"/>
              <w:left w:val="single" w:sz="4" w:space="0" w:color="000000"/>
              <w:bottom w:val="single" w:sz="4" w:space="0" w:color="000000"/>
            </w:tcBorders>
            <w:shd w:fill="F2F2F2" w:val="clear"/>
          </w:tcPr>
          <w:p>
            <w:pPr>
              <w:pStyle w:val="Style25"/>
              <w:widowControl w:val="false"/>
              <w:tabs>
                <w:tab w:val="clear" w:pos="720"/>
                <w:tab w:val="left" w:pos="-540" w:leader="none"/>
              </w:tabs>
              <w:spacing w:before="0" w:after="240"/>
              <w:jc w:val="left"/>
              <w:rPr>
                <w:rFonts w:ascii="Calibri" w:hAnsi="Calibri" w:cs="Calibri"/>
                <w:b/>
                <w:b/>
                <w:sz w:val="22"/>
                <w:szCs w:val="22"/>
              </w:rPr>
            </w:pPr>
            <w:r>
              <w:rPr>
                <w:rFonts w:cs="Calibri"/>
                <w:b/>
                <w:sz w:val="22"/>
                <w:szCs w:val="22"/>
              </w:rPr>
              <w:t>Χαρακτηριστικό</w:t>
            </w:r>
          </w:p>
        </w:tc>
        <w:tc>
          <w:tcPr>
            <w:tcW w:w="4353" w:type="dxa"/>
            <w:tcBorders>
              <w:top w:val="single" w:sz="4" w:space="0" w:color="000000"/>
              <w:left w:val="single" w:sz="4" w:space="0" w:color="000000"/>
              <w:bottom w:val="single" w:sz="4" w:space="0" w:color="000000"/>
            </w:tcBorders>
            <w:shd w:fill="F2F2F2" w:val="clear"/>
          </w:tcPr>
          <w:p>
            <w:pPr>
              <w:pStyle w:val="Style25"/>
              <w:widowControl w:val="false"/>
              <w:tabs>
                <w:tab w:val="clear" w:pos="720"/>
                <w:tab w:val="left" w:pos="-540" w:leader="none"/>
              </w:tabs>
              <w:spacing w:before="0" w:after="240"/>
              <w:jc w:val="left"/>
              <w:rPr>
                <w:rFonts w:ascii="Calibri" w:hAnsi="Calibri" w:cs="Calibri"/>
                <w:b/>
                <w:b/>
                <w:sz w:val="22"/>
                <w:szCs w:val="22"/>
              </w:rPr>
            </w:pPr>
            <w:r>
              <w:rPr>
                <w:rFonts w:cs="Calibri"/>
                <w:b/>
                <w:sz w:val="22"/>
                <w:szCs w:val="22"/>
              </w:rPr>
              <w:t>Απαίτηση</w:t>
            </w:r>
          </w:p>
        </w:tc>
        <w:tc>
          <w:tcPr>
            <w:tcW w:w="2629" w:type="dxa"/>
            <w:tcBorders>
              <w:top w:val="single" w:sz="4" w:space="0" w:color="000000"/>
              <w:left w:val="single" w:sz="4" w:space="0" w:color="000000"/>
              <w:bottom w:val="single" w:sz="4" w:space="0" w:color="000000"/>
              <w:right w:val="single" w:sz="4" w:space="0" w:color="000000"/>
            </w:tcBorders>
            <w:shd w:fill="F2F2F2" w:val="clear"/>
          </w:tcPr>
          <w:p>
            <w:pPr>
              <w:pStyle w:val="Style25"/>
              <w:widowControl w:val="false"/>
              <w:tabs>
                <w:tab w:val="clear" w:pos="720"/>
                <w:tab w:val="left" w:pos="-540" w:leader="none"/>
              </w:tabs>
              <w:spacing w:before="0" w:after="240"/>
              <w:jc w:val="left"/>
              <w:rPr>
                <w:rFonts w:ascii="Calibri" w:hAnsi="Calibri" w:cs="Calibri"/>
                <w:b/>
                <w:b/>
                <w:sz w:val="22"/>
                <w:szCs w:val="22"/>
              </w:rPr>
            </w:pPr>
            <w:r>
              <w:rPr>
                <w:rFonts w:cs="Calibri"/>
                <w:b/>
                <w:sz w:val="22"/>
                <w:szCs w:val="22"/>
              </w:rPr>
              <w:t>Παρατηρήσεις</w:t>
            </w:r>
          </w:p>
        </w:tc>
      </w:tr>
      <w:tr>
        <w:trPr/>
        <w:tc>
          <w:tcPr>
            <w:tcW w:w="2434" w:type="dxa"/>
            <w:tcBorders>
              <w:top w:val="single" w:sz="4" w:space="0" w:color="000000"/>
              <w:left w:val="single" w:sz="4" w:space="0" w:color="000000"/>
              <w:bottom w:val="single" w:sz="4" w:space="0" w:color="000000"/>
            </w:tcBorders>
          </w:tcPr>
          <w:p>
            <w:pPr>
              <w:pStyle w:val="Normal"/>
              <w:widowControl w:val="false"/>
              <w:snapToGrid w:val="false"/>
              <w:spacing w:before="0" w:after="120"/>
              <w:rPr>
                <w:rFonts w:ascii="Calibri" w:hAnsi="Calibri" w:cs="Calibri"/>
                <w:sz w:val="22"/>
                <w:szCs w:val="22"/>
              </w:rPr>
            </w:pPr>
            <w:r>
              <w:rPr>
                <w:rFonts w:cs="Calibri"/>
                <w:sz w:val="22"/>
                <w:szCs w:val="22"/>
              </w:rPr>
              <w:t>Χρήση</w:t>
            </w:r>
          </w:p>
        </w:tc>
        <w:tc>
          <w:tcPr>
            <w:tcW w:w="4353" w:type="dxa"/>
            <w:tcBorders>
              <w:top w:val="single" w:sz="4" w:space="0" w:color="000000"/>
              <w:left w:val="single" w:sz="4" w:space="0" w:color="000000"/>
              <w:bottom w:val="single" w:sz="4" w:space="0" w:color="000000"/>
            </w:tcBorders>
          </w:tcPr>
          <w:p>
            <w:pPr>
              <w:pStyle w:val="Normal"/>
              <w:widowControl w:val="false"/>
              <w:snapToGrid w:val="false"/>
              <w:spacing w:before="0" w:after="120"/>
              <w:rPr>
                <w:rFonts w:ascii="Calibri" w:hAnsi="Calibri" w:cs="Calibri"/>
                <w:sz w:val="22"/>
                <w:szCs w:val="22"/>
              </w:rPr>
            </w:pPr>
            <w:r>
              <w:rPr>
                <w:rFonts w:cs="Calibri"/>
                <w:sz w:val="22"/>
                <w:szCs w:val="22"/>
              </w:rPr>
              <w:t>Οικιακή</w:t>
            </w:r>
          </w:p>
        </w:tc>
        <w:tc>
          <w:tcPr>
            <w:tcW w:w="2629" w:type="dxa"/>
            <w:tcBorders>
              <w:top w:val="single" w:sz="4" w:space="0" w:color="000000"/>
              <w:left w:val="single" w:sz="4" w:space="0" w:color="000000"/>
              <w:bottom w:val="single" w:sz="4" w:space="0" w:color="000000"/>
              <w:right w:val="single" w:sz="4" w:space="0" w:color="000000"/>
            </w:tcBorders>
          </w:tcPr>
          <w:p>
            <w:pPr>
              <w:pStyle w:val="Style25"/>
              <w:widowControl w:val="false"/>
              <w:tabs>
                <w:tab w:val="clear" w:pos="720"/>
                <w:tab w:val="left" w:pos="-540" w:leader="none"/>
              </w:tabs>
              <w:snapToGrid w:val="false"/>
              <w:spacing w:before="0" w:after="240"/>
              <w:jc w:val="left"/>
              <w:rPr>
                <w:rFonts w:ascii="Calibri" w:hAnsi="Calibri" w:cs="Calibri"/>
                <w:sz w:val="22"/>
                <w:szCs w:val="22"/>
              </w:rPr>
            </w:pPr>
            <w:r>
              <w:rPr>
                <w:rFonts w:cs="Calibri"/>
                <w:sz w:val="22"/>
                <w:szCs w:val="22"/>
              </w:rPr>
            </w:r>
          </w:p>
        </w:tc>
      </w:tr>
      <w:tr>
        <w:trPr/>
        <w:tc>
          <w:tcPr>
            <w:tcW w:w="2434" w:type="dxa"/>
            <w:tcBorders>
              <w:left w:val="single" w:sz="4" w:space="0" w:color="000000"/>
              <w:bottom w:val="single" w:sz="4" w:space="0" w:color="000000"/>
            </w:tcBorders>
          </w:tcPr>
          <w:p>
            <w:pPr>
              <w:pStyle w:val="Normal"/>
              <w:widowControl w:val="false"/>
              <w:snapToGrid w:val="false"/>
              <w:spacing w:before="0" w:after="120"/>
              <w:rPr>
                <w:rFonts w:ascii="Calibri" w:hAnsi="Calibri" w:cs="Calibri"/>
                <w:sz w:val="22"/>
                <w:szCs w:val="22"/>
              </w:rPr>
            </w:pPr>
            <w:r>
              <w:rPr>
                <w:rFonts w:cs="Calibri"/>
                <w:sz w:val="22"/>
                <w:szCs w:val="22"/>
              </w:rPr>
              <w:t>Υλικό</w:t>
            </w:r>
          </w:p>
        </w:tc>
        <w:tc>
          <w:tcPr>
            <w:tcW w:w="4353" w:type="dxa"/>
            <w:tcBorders>
              <w:left w:val="single" w:sz="4" w:space="0" w:color="000000"/>
              <w:bottom w:val="single" w:sz="4" w:space="0" w:color="000000"/>
            </w:tcBorders>
          </w:tcPr>
          <w:p>
            <w:pPr>
              <w:pStyle w:val="Normal"/>
              <w:widowControl w:val="false"/>
              <w:snapToGrid w:val="false"/>
              <w:spacing w:before="0" w:after="120"/>
              <w:rPr/>
            </w:pPr>
            <w:r>
              <w:rPr>
                <w:rFonts w:cs="Calibri"/>
                <w:sz w:val="22"/>
                <w:szCs w:val="22"/>
              </w:rPr>
              <w:t xml:space="preserve">Λωρίδες από </w:t>
            </w:r>
            <w:r>
              <w:rPr>
                <w:rFonts w:cs="Calibri"/>
                <w:sz w:val="22"/>
                <w:szCs w:val="22"/>
                <w:lang w:val="en-US"/>
              </w:rPr>
              <w:t>microfiber</w:t>
            </w:r>
          </w:p>
        </w:tc>
        <w:tc>
          <w:tcPr>
            <w:tcW w:w="2629" w:type="dxa"/>
            <w:tcBorders>
              <w:left w:val="single" w:sz="4" w:space="0" w:color="000000"/>
              <w:bottom w:val="single" w:sz="4" w:space="0" w:color="000000"/>
              <w:right w:val="single" w:sz="4" w:space="0" w:color="000000"/>
            </w:tcBorders>
          </w:tcPr>
          <w:p>
            <w:pPr>
              <w:pStyle w:val="Style25"/>
              <w:widowControl w:val="false"/>
              <w:tabs>
                <w:tab w:val="clear" w:pos="720"/>
                <w:tab w:val="left" w:pos="-540" w:leader="none"/>
              </w:tabs>
              <w:snapToGrid w:val="false"/>
              <w:spacing w:before="0" w:after="240"/>
              <w:jc w:val="left"/>
              <w:rPr>
                <w:rFonts w:ascii="Calibri" w:hAnsi="Calibri" w:cs="Calibri"/>
                <w:sz w:val="22"/>
                <w:szCs w:val="22"/>
              </w:rPr>
            </w:pPr>
            <w:r>
              <w:rPr>
                <w:rFonts w:cs="Calibri"/>
                <w:sz w:val="22"/>
                <w:szCs w:val="22"/>
              </w:rPr>
            </w:r>
          </w:p>
        </w:tc>
      </w:tr>
      <w:tr>
        <w:trPr/>
        <w:tc>
          <w:tcPr>
            <w:tcW w:w="2434" w:type="dxa"/>
            <w:tcBorders>
              <w:left w:val="single" w:sz="4" w:space="0" w:color="000000"/>
              <w:bottom w:val="single" w:sz="4" w:space="0" w:color="000000"/>
            </w:tcBorders>
          </w:tcPr>
          <w:p>
            <w:pPr>
              <w:pStyle w:val="Normal"/>
              <w:widowControl w:val="false"/>
              <w:snapToGrid w:val="false"/>
              <w:spacing w:before="0" w:after="120"/>
              <w:rPr>
                <w:rFonts w:ascii="Calibri" w:hAnsi="Calibri" w:cs="Calibri"/>
                <w:sz w:val="22"/>
                <w:szCs w:val="22"/>
              </w:rPr>
            </w:pPr>
            <w:r>
              <w:rPr>
                <w:rFonts w:cs="Calibri"/>
                <w:sz w:val="22"/>
                <w:szCs w:val="22"/>
              </w:rPr>
              <w:t>Βάση</w:t>
            </w:r>
          </w:p>
        </w:tc>
        <w:tc>
          <w:tcPr>
            <w:tcW w:w="4353" w:type="dxa"/>
            <w:tcBorders>
              <w:left w:val="single" w:sz="4" w:space="0" w:color="000000"/>
              <w:bottom w:val="single" w:sz="4" w:space="0" w:color="000000"/>
            </w:tcBorders>
          </w:tcPr>
          <w:p>
            <w:pPr>
              <w:pStyle w:val="Normal"/>
              <w:widowControl w:val="false"/>
              <w:snapToGrid w:val="false"/>
              <w:spacing w:before="0" w:after="120"/>
              <w:rPr>
                <w:rFonts w:ascii="Calibri" w:hAnsi="Calibri" w:cs="Calibri"/>
                <w:sz w:val="22"/>
                <w:szCs w:val="22"/>
              </w:rPr>
            </w:pPr>
            <w:r>
              <w:rPr>
                <w:rFonts w:cs="Calibri"/>
                <w:sz w:val="22"/>
                <w:szCs w:val="22"/>
              </w:rPr>
              <w:t>Βιδωτή σε κοντάρι</w:t>
            </w:r>
          </w:p>
        </w:tc>
        <w:tc>
          <w:tcPr>
            <w:tcW w:w="2629" w:type="dxa"/>
            <w:tcBorders>
              <w:left w:val="single" w:sz="4" w:space="0" w:color="000000"/>
              <w:bottom w:val="single" w:sz="4" w:space="0" w:color="000000"/>
              <w:right w:val="single" w:sz="4" w:space="0" w:color="000000"/>
            </w:tcBorders>
          </w:tcPr>
          <w:p>
            <w:pPr>
              <w:pStyle w:val="Style25"/>
              <w:widowControl w:val="false"/>
              <w:tabs>
                <w:tab w:val="clear" w:pos="720"/>
                <w:tab w:val="left" w:pos="-540" w:leader="none"/>
              </w:tabs>
              <w:snapToGrid w:val="false"/>
              <w:spacing w:before="0" w:after="240"/>
              <w:jc w:val="left"/>
              <w:rPr>
                <w:rFonts w:ascii="Calibri" w:hAnsi="Calibri" w:cs="Calibri"/>
                <w:sz w:val="22"/>
                <w:szCs w:val="22"/>
              </w:rPr>
            </w:pPr>
            <w:r>
              <w:rPr>
                <w:rFonts w:cs="Calibri"/>
                <w:sz w:val="22"/>
                <w:szCs w:val="22"/>
              </w:rPr>
              <w:t>Φαρδύ σπείρωμα</w:t>
            </w:r>
          </w:p>
        </w:tc>
      </w:tr>
    </w:tbl>
    <w:p>
      <w:pPr>
        <w:pStyle w:val="Normal"/>
        <w:tabs>
          <w:tab w:val="clear" w:pos="720"/>
          <w:tab w:val="left" w:pos="4095" w:leader="none"/>
        </w:tabs>
        <w:ind w:left="1077" w:hanging="0"/>
        <w:rPr>
          <w:rFonts w:ascii="Calibri" w:hAnsi="Calibri" w:cs="Calibri"/>
          <w:sz w:val="22"/>
          <w:szCs w:val="22"/>
        </w:rPr>
      </w:pPr>
      <w:r>
        <w:rPr>
          <w:rFonts w:cs="Calibri"/>
          <w:sz w:val="22"/>
          <w:szCs w:val="22"/>
        </w:rPr>
      </w:r>
    </w:p>
    <w:p>
      <w:pPr>
        <w:pStyle w:val="Normal"/>
        <w:tabs>
          <w:tab w:val="clear" w:pos="720"/>
          <w:tab w:val="left" w:pos="4800" w:leader="none"/>
        </w:tabs>
        <w:ind w:left="1077" w:hanging="0"/>
        <w:rPr>
          <w:rFonts w:ascii="Calibri" w:hAnsi="Calibri" w:cs="Calibri"/>
          <w:b/>
          <w:b/>
          <w:bCs/>
          <w:sz w:val="22"/>
          <w:szCs w:val="22"/>
        </w:rPr>
      </w:pPr>
      <w:r>
        <w:rPr>
          <w:rFonts w:cs="Calibri"/>
          <w:b/>
          <w:bCs/>
          <w:sz w:val="22"/>
          <w:szCs w:val="22"/>
        </w:rPr>
        <w:t>55. Κοντάρι σφουγγαρίστρας - σκούπας</w:t>
      </w:r>
    </w:p>
    <w:tbl>
      <w:tblPr>
        <w:tblW w:w="9416" w:type="dxa"/>
        <w:jc w:val="left"/>
        <w:tblInd w:w="-65" w:type="dxa"/>
        <w:tblLayout w:type="fixed"/>
        <w:tblCellMar>
          <w:top w:w="0" w:type="dxa"/>
          <w:left w:w="108" w:type="dxa"/>
          <w:bottom w:w="0" w:type="dxa"/>
          <w:right w:w="108" w:type="dxa"/>
        </w:tblCellMar>
      </w:tblPr>
      <w:tblGrid>
        <w:gridCol w:w="2434"/>
        <w:gridCol w:w="4353"/>
        <w:gridCol w:w="2629"/>
      </w:tblGrid>
      <w:tr>
        <w:trPr/>
        <w:tc>
          <w:tcPr>
            <w:tcW w:w="2434" w:type="dxa"/>
            <w:tcBorders>
              <w:top w:val="single" w:sz="4" w:space="0" w:color="000000"/>
              <w:left w:val="single" w:sz="4" w:space="0" w:color="000000"/>
              <w:bottom w:val="single" w:sz="4" w:space="0" w:color="000000"/>
            </w:tcBorders>
            <w:shd w:fill="F2F2F2" w:val="clear"/>
          </w:tcPr>
          <w:p>
            <w:pPr>
              <w:pStyle w:val="Style25"/>
              <w:widowControl w:val="false"/>
              <w:tabs>
                <w:tab w:val="clear" w:pos="720"/>
                <w:tab w:val="left" w:pos="-540" w:leader="none"/>
              </w:tabs>
              <w:spacing w:before="0" w:after="240"/>
              <w:jc w:val="left"/>
              <w:rPr>
                <w:rFonts w:ascii="Calibri" w:hAnsi="Calibri" w:cs="Calibri"/>
                <w:b/>
                <w:b/>
                <w:sz w:val="22"/>
                <w:szCs w:val="22"/>
              </w:rPr>
            </w:pPr>
            <w:r>
              <w:rPr>
                <w:rFonts w:cs="Calibri"/>
                <w:b/>
                <w:sz w:val="22"/>
                <w:szCs w:val="22"/>
              </w:rPr>
              <w:t>Χαρακτηριστικό</w:t>
            </w:r>
          </w:p>
        </w:tc>
        <w:tc>
          <w:tcPr>
            <w:tcW w:w="4353" w:type="dxa"/>
            <w:tcBorders>
              <w:top w:val="single" w:sz="4" w:space="0" w:color="000000"/>
              <w:left w:val="single" w:sz="4" w:space="0" w:color="000000"/>
              <w:bottom w:val="single" w:sz="4" w:space="0" w:color="000000"/>
            </w:tcBorders>
            <w:shd w:fill="F2F2F2" w:val="clear"/>
          </w:tcPr>
          <w:p>
            <w:pPr>
              <w:pStyle w:val="Style25"/>
              <w:widowControl w:val="false"/>
              <w:tabs>
                <w:tab w:val="clear" w:pos="720"/>
                <w:tab w:val="left" w:pos="-540" w:leader="none"/>
              </w:tabs>
              <w:spacing w:before="0" w:after="240"/>
              <w:jc w:val="left"/>
              <w:rPr>
                <w:rFonts w:ascii="Calibri" w:hAnsi="Calibri" w:cs="Calibri"/>
                <w:b/>
                <w:b/>
                <w:sz w:val="22"/>
                <w:szCs w:val="22"/>
              </w:rPr>
            </w:pPr>
            <w:r>
              <w:rPr>
                <w:rFonts w:cs="Calibri"/>
                <w:b/>
                <w:sz w:val="22"/>
                <w:szCs w:val="22"/>
              </w:rPr>
              <w:t>Απαίτηση</w:t>
            </w:r>
          </w:p>
        </w:tc>
        <w:tc>
          <w:tcPr>
            <w:tcW w:w="2629" w:type="dxa"/>
            <w:tcBorders>
              <w:top w:val="single" w:sz="4" w:space="0" w:color="000000"/>
              <w:left w:val="single" w:sz="4" w:space="0" w:color="000000"/>
              <w:bottom w:val="single" w:sz="4" w:space="0" w:color="000000"/>
              <w:right w:val="single" w:sz="4" w:space="0" w:color="000000"/>
            </w:tcBorders>
            <w:shd w:fill="F2F2F2" w:val="clear"/>
          </w:tcPr>
          <w:p>
            <w:pPr>
              <w:pStyle w:val="Style25"/>
              <w:widowControl w:val="false"/>
              <w:tabs>
                <w:tab w:val="clear" w:pos="720"/>
                <w:tab w:val="left" w:pos="-540" w:leader="none"/>
              </w:tabs>
              <w:spacing w:before="0" w:after="240"/>
              <w:jc w:val="left"/>
              <w:rPr>
                <w:rFonts w:ascii="Calibri" w:hAnsi="Calibri" w:cs="Calibri"/>
                <w:b/>
                <w:b/>
                <w:sz w:val="22"/>
                <w:szCs w:val="22"/>
              </w:rPr>
            </w:pPr>
            <w:r>
              <w:rPr>
                <w:rFonts w:cs="Calibri"/>
                <w:b/>
                <w:sz w:val="22"/>
                <w:szCs w:val="22"/>
              </w:rPr>
              <w:t>Παρατηρήσεις</w:t>
            </w:r>
          </w:p>
        </w:tc>
      </w:tr>
      <w:tr>
        <w:trPr/>
        <w:tc>
          <w:tcPr>
            <w:tcW w:w="2434" w:type="dxa"/>
            <w:tcBorders>
              <w:top w:val="single" w:sz="4" w:space="0" w:color="000000"/>
              <w:left w:val="single" w:sz="4" w:space="0" w:color="000000"/>
              <w:bottom w:val="single" w:sz="4" w:space="0" w:color="000000"/>
            </w:tcBorders>
          </w:tcPr>
          <w:p>
            <w:pPr>
              <w:pStyle w:val="Normal"/>
              <w:widowControl w:val="false"/>
              <w:snapToGrid w:val="false"/>
              <w:spacing w:before="0" w:after="120"/>
              <w:rPr>
                <w:rFonts w:ascii="Calibri" w:hAnsi="Calibri" w:cs="Calibri"/>
                <w:sz w:val="22"/>
                <w:szCs w:val="22"/>
              </w:rPr>
            </w:pPr>
            <w:r>
              <w:rPr>
                <w:rFonts w:cs="Calibri"/>
                <w:sz w:val="22"/>
                <w:szCs w:val="22"/>
              </w:rPr>
              <w:t>Ύψος</w:t>
            </w:r>
          </w:p>
        </w:tc>
        <w:tc>
          <w:tcPr>
            <w:tcW w:w="4353" w:type="dxa"/>
            <w:tcBorders>
              <w:top w:val="single" w:sz="4" w:space="0" w:color="000000"/>
              <w:left w:val="single" w:sz="4" w:space="0" w:color="000000"/>
              <w:bottom w:val="single" w:sz="4" w:space="0" w:color="000000"/>
            </w:tcBorders>
          </w:tcPr>
          <w:p>
            <w:pPr>
              <w:pStyle w:val="Normal"/>
              <w:widowControl w:val="false"/>
              <w:snapToGrid w:val="false"/>
              <w:spacing w:before="0" w:after="120"/>
              <w:rPr/>
            </w:pPr>
            <w:r>
              <w:rPr>
                <w:rFonts w:cs="Calibri"/>
                <w:sz w:val="22"/>
                <w:szCs w:val="22"/>
              </w:rPr>
              <w:t>Μέχρι 130</w:t>
            </w:r>
            <w:r>
              <w:rPr>
                <w:rFonts w:cs="Calibri"/>
                <w:sz w:val="22"/>
                <w:szCs w:val="22"/>
                <w:lang w:val="en-US"/>
              </w:rPr>
              <w:t>cm</w:t>
            </w:r>
          </w:p>
        </w:tc>
        <w:tc>
          <w:tcPr>
            <w:tcW w:w="2629" w:type="dxa"/>
            <w:tcBorders>
              <w:top w:val="single" w:sz="4" w:space="0" w:color="000000"/>
              <w:left w:val="single" w:sz="4" w:space="0" w:color="000000"/>
              <w:bottom w:val="single" w:sz="4" w:space="0" w:color="000000"/>
              <w:right w:val="single" w:sz="4" w:space="0" w:color="000000"/>
            </w:tcBorders>
          </w:tcPr>
          <w:p>
            <w:pPr>
              <w:pStyle w:val="Style25"/>
              <w:widowControl w:val="false"/>
              <w:tabs>
                <w:tab w:val="clear" w:pos="720"/>
                <w:tab w:val="left" w:pos="-540" w:leader="none"/>
              </w:tabs>
              <w:snapToGrid w:val="false"/>
              <w:spacing w:before="0" w:after="240"/>
              <w:jc w:val="left"/>
              <w:rPr>
                <w:rFonts w:ascii="Calibri" w:hAnsi="Calibri" w:cs="Calibri"/>
                <w:sz w:val="22"/>
                <w:szCs w:val="22"/>
              </w:rPr>
            </w:pPr>
            <w:r>
              <w:rPr>
                <w:rFonts w:cs="Calibri"/>
                <w:sz w:val="22"/>
                <w:szCs w:val="22"/>
              </w:rPr>
            </w:r>
          </w:p>
        </w:tc>
      </w:tr>
      <w:tr>
        <w:trPr/>
        <w:tc>
          <w:tcPr>
            <w:tcW w:w="2434" w:type="dxa"/>
            <w:tcBorders>
              <w:left w:val="single" w:sz="4" w:space="0" w:color="000000"/>
              <w:bottom w:val="single" w:sz="4" w:space="0" w:color="000000"/>
            </w:tcBorders>
          </w:tcPr>
          <w:p>
            <w:pPr>
              <w:pStyle w:val="Normal"/>
              <w:widowControl w:val="false"/>
              <w:snapToGrid w:val="false"/>
              <w:spacing w:before="0" w:after="120"/>
              <w:rPr>
                <w:rFonts w:ascii="Calibri" w:hAnsi="Calibri" w:cs="Calibri"/>
                <w:sz w:val="22"/>
                <w:szCs w:val="22"/>
              </w:rPr>
            </w:pPr>
            <w:r>
              <w:rPr>
                <w:rFonts w:cs="Calibri"/>
                <w:sz w:val="22"/>
                <w:szCs w:val="22"/>
              </w:rPr>
              <w:t>Υλικό</w:t>
            </w:r>
          </w:p>
        </w:tc>
        <w:tc>
          <w:tcPr>
            <w:tcW w:w="4353" w:type="dxa"/>
            <w:tcBorders>
              <w:left w:val="single" w:sz="4" w:space="0" w:color="000000"/>
              <w:bottom w:val="single" w:sz="4" w:space="0" w:color="000000"/>
            </w:tcBorders>
          </w:tcPr>
          <w:p>
            <w:pPr>
              <w:pStyle w:val="Normal"/>
              <w:widowControl w:val="false"/>
              <w:snapToGrid w:val="false"/>
              <w:spacing w:before="0" w:after="120"/>
              <w:rPr>
                <w:rFonts w:ascii="Calibri" w:hAnsi="Calibri" w:cs="Calibri"/>
                <w:sz w:val="22"/>
                <w:szCs w:val="22"/>
              </w:rPr>
            </w:pPr>
            <w:r>
              <w:rPr>
                <w:rFonts w:cs="Calibri"/>
                <w:sz w:val="22"/>
                <w:szCs w:val="22"/>
              </w:rPr>
              <w:t>Ανοξείδωτο μέταλλο</w:t>
            </w:r>
          </w:p>
        </w:tc>
        <w:tc>
          <w:tcPr>
            <w:tcW w:w="2629" w:type="dxa"/>
            <w:tcBorders>
              <w:left w:val="single" w:sz="4" w:space="0" w:color="000000"/>
              <w:bottom w:val="single" w:sz="4" w:space="0" w:color="000000"/>
              <w:right w:val="single" w:sz="4" w:space="0" w:color="000000"/>
            </w:tcBorders>
          </w:tcPr>
          <w:p>
            <w:pPr>
              <w:pStyle w:val="Style25"/>
              <w:widowControl w:val="false"/>
              <w:tabs>
                <w:tab w:val="clear" w:pos="720"/>
                <w:tab w:val="left" w:pos="-540" w:leader="none"/>
              </w:tabs>
              <w:snapToGrid w:val="false"/>
              <w:spacing w:before="0" w:after="240"/>
              <w:jc w:val="left"/>
              <w:rPr>
                <w:rFonts w:ascii="Calibri" w:hAnsi="Calibri" w:cs="Calibri"/>
                <w:sz w:val="22"/>
                <w:szCs w:val="22"/>
              </w:rPr>
            </w:pPr>
            <w:r>
              <w:rPr>
                <w:rFonts w:cs="Calibri"/>
                <w:sz w:val="22"/>
                <w:szCs w:val="22"/>
              </w:rPr>
            </w:r>
          </w:p>
        </w:tc>
      </w:tr>
      <w:tr>
        <w:trPr/>
        <w:tc>
          <w:tcPr>
            <w:tcW w:w="2434" w:type="dxa"/>
            <w:tcBorders>
              <w:left w:val="single" w:sz="4" w:space="0" w:color="000000"/>
              <w:bottom w:val="single" w:sz="4" w:space="0" w:color="000000"/>
            </w:tcBorders>
          </w:tcPr>
          <w:p>
            <w:pPr>
              <w:pStyle w:val="Normal"/>
              <w:widowControl w:val="false"/>
              <w:snapToGrid w:val="false"/>
              <w:spacing w:before="0" w:after="120"/>
              <w:rPr>
                <w:rFonts w:ascii="Calibri" w:hAnsi="Calibri" w:cs="Calibri"/>
                <w:sz w:val="22"/>
                <w:szCs w:val="22"/>
              </w:rPr>
            </w:pPr>
            <w:r>
              <w:rPr>
                <w:rFonts w:cs="Calibri"/>
                <w:sz w:val="22"/>
                <w:szCs w:val="22"/>
              </w:rPr>
              <w:t>Βίδωμα</w:t>
            </w:r>
          </w:p>
        </w:tc>
        <w:tc>
          <w:tcPr>
            <w:tcW w:w="4353" w:type="dxa"/>
            <w:tcBorders>
              <w:left w:val="single" w:sz="4" w:space="0" w:color="000000"/>
              <w:bottom w:val="single" w:sz="4" w:space="0" w:color="000000"/>
            </w:tcBorders>
          </w:tcPr>
          <w:p>
            <w:pPr>
              <w:pStyle w:val="Normal"/>
              <w:widowControl w:val="false"/>
              <w:snapToGrid w:val="false"/>
              <w:spacing w:before="0" w:after="120"/>
              <w:rPr>
                <w:rFonts w:ascii="Calibri" w:hAnsi="Calibri" w:cs="Calibri"/>
                <w:sz w:val="22"/>
                <w:szCs w:val="22"/>
              </w:rPr>
            </w:pPr>
            <w:r>
              <w:rPr>
                <w:rFonts w:cs="Calibri"/>
                <w:sz w:val="22"/>
                <w:szCs w:val="22"/>
              </w:rPr>
              <w:t>Φαρδύ</w:t>
            </w:r>
          </w:p>
        </w:tc>
        <w:tc>
          <w:tcPr>
            <w:tcW w:w="2629" w:type="dxa"/>
            <w:tcBorders>
              <w:left w:val="single" w:sz="4" w:space="0" w:color="000000"/>
              <w:bottom w:val="single" w:sz="4" w:space="0" w:color="000000"/>
              <w:right w:val="single" w:sz="4" w:space="0" w:color="000000"/>
            </w:tcBorders>
          </w:tcPr>
          <w:p>
            <w:pPr>
              <w:pStyle w:val="Style25"/>
              <w:widowControl w:val="false"/>
              <w:tabs>
                <w:tab w:val="clear" w:pos="720"/>
                <w:tab w:val="left" w:pos="-540" w:leader="none"/>
              </w:tabs>
              <w:snapToGrid w:val="false"/>
              <w:spacing w:before="0" w:after="240"/>
              <w:jc w:val="left"/>
              <w:rPr>
                <w:rFonts w:ascii="Calibri" w:hAnsi="Calibri" w:cs="Calibri"/>
                <w:sz w:val="22"/>
                <w:szCs w:val="22"/>
              </w:rPr>
            </w:pPr>
            <w:r>
              <w:rPr>
                <w:rFonts w:cs="Calibri"/>
                <w:sz w:val="22"/>
                <w:szCs w:val="22"/>
              </w:rPr>
              <w:t>Κατάλληλο για σκούπα και σφουγγαρίστρα</w:t>
            </w:r>
          </w:p>
        </w:tc>
      </w:tr>
    </w:tbl>
    <w:p>
      <w:pPr>
        <w:pStyle w:val="Normal"/>
        <w:tabs>
          <w:tab w:val="clear" w:pos="720"/>
          <w:tab w:val="left" w:pos="4095" w:leader="none"/>
        </w:tabs>
        <w:ind w:left="1077" w:hanging="0"/>
        <w:rPr>
          <w:rFonts w:ascii="Calibri" w:hAnsi="Calibri" w:cs="Calibri"/>
          <w:sz w:val="22"/>
          <w:szCs w:val="22"/>
        </w:rPr>
      </w:pPr>
      <w:r>
        <w:rPr>
          <w:rFonts w:cs="Calibri"/>
          <w:sz w:val="22"/>
          <w:szCs w:val="22"/>
        </w:rPr>
      </w:r>
    </w:p>
    <w:p>
      <w:pPr>
        <w:pStyle w:val="Normal"/>
        <w:tabs>
          <w:tab w:val="clear" w:pos="720"/>
          <w:tab w:val="left" w:pos="4800" w:leader="none"/>
        </w:tabs>
        <w:ind w:left="1077" w:hanging="0"/>
        <w:rPr>
          <w:rFonts w:ascii="Calibri" w:hAnsi="Calibri" w:cs="Calibri"/>
          <w:b/>
          <w:b/>
          <w:bCs/>
          <w:sz w:val="22"/>
          <w:szCs w:val="22"/>
        </w:rPr>
      </w:pPr>
      <w:r>
        <w:rPr>
          <w:rFonts w:cs="Calibri"/>
          <w:b/>
          <w:bCs/>
          <w:sz w:val="22"/>
          <w:szCs w:val="22"/>
        </w:rPr>
        <w:t>56. Κουβάς σφουγγαρίσματος</w:t>
      </w:r>
    </w:p>
    <w:tbl>
      <w:tblPr>
        <w:tblW w:w="9416" w:type="dxa"/>
        <w:jc w:val="left"/>
        <w:tblInd w:w="-65" w:type="dxa"/>
        <w:tblLayout w:type="fixed"/>
        <w:tblCellMar>
          <w:top w:w="0" w:type="dxa"/>
          <w:left w:w="108" w:type="dxa"/>
          <w:bottom w:w="0" w:type="dxa"/>
          <w:right w:w="108" w:type="dxa"/>
        </w:tblCellMar>
      </w:tblPr>
      <w:tblGrid>
        <w:gridCol w:w="2434"/>
        <w:gridCol w:w="4353"/>
        <w:gridCol w:w="2629"/>
      </w:tblGrid>
      <w:tr>
        <w:trPr/>
        <w:tc>
          <w:tcPr>
            <w:tcW w:w="2434" w:type="dxa"/>
            <w:tcBorders>
              <w:top w:val="single" w:sz="4" w:space="0" w:color="000000"/>
              <w:left w:val="single" w:sz="4" w:space="0" w:color="000000"/>
              <w:bottom w:val="single" w:sz="4" w:space="0" w:color="000000"/>
            </w:tcBorders>
            <w:shd w:fill="F2F2F2" w:val="clear"/>
          </w:tcPr>
          <w:p>
            <w:pPr>
              <w:pStyle w:val="Style25"/>
              <w:widowControl w:val="false"/>
              <w:tabs>
                <w:tab w:val="clear" w:pos="720"/>
                <w:tab w:val="left" w:pos="-540" w:leader="none"/>
              </w:tabs>
              <w:spacing w:before="0" w:after="240"/>
              <w:jc w:val="left"/>
              <w:rPr>
                <w:rFonts w:ascii="Calibri" w:hAnsi="Calibri" w:cs="Calibri"/>
                <w:b/>
                <w:b/>
                <w:sz w:val="22"/>
                <w:szCs w:val="22"/>
              </w:rPr>
            </w:pPr>
            <w:r>
              <w:rPr>
                <w:rFonts w:cs="Calibri"/>
                <w:b/>
                <w:sz w:val="22"/>
                <w:szCs w:val="22"/>
              </w:rPr>
              <w:t>Χαρακτηριστικό</w:t>
            </w:r>
          </w:p>
        </w:tc>
        <w:tc>
          <w:tcPr>
            <w:tcW w:w="4353" w:type="dxa"/>
            <w:tcBorders>
              <w:top w:val="single" w:sz="4" w:space="0" w:color="000000"/>
              <w:left w:val="single" w:sz="4" w:space="0" w:color="000000"/>
              <w:bottom w:val="single" w:sz="4" w:space="0" w:color="000000"/>
            </w:tcBorders>
            <w:shd w:fill="F2F2F2" w:val="clear"/>
          </w:tcPr>
          <w:p>
            <w:pPr>
              <w:pStyle w:val="Style25"/>
              <w:widowControl w:val="false"/>
              <w:tabs>
                <w:tab w:val="clear" w:pos="720"/>
                <w:tab w:val="left" w:pos="-540" w:leader="none"/>
              </w:tabs>
              <w:spacing w:before="0" w:after="240"/>
              <w:jc w:val="left"/>
              <w:rPr>
                <w:rFonts w:ascii="Calibri" w:hAnsi="Calibri" w:cs="Calibri"/>
                <w:b/>
                <w:b/>
                <w:sz w:val="22"/>
                <w:szCs w:val="22"/>
              </w:rPr>
            </w:pPr>
            <w:r>
              <w:rPr>
                <w:rFonts w:cs="Calibri"/>
                <w:b/>
                <w:sz w:val="22"/>
                <w:szCs w:val="22"/>
              </w:rPr>
              <w:t>Απαίτηση</w:t>
            </w:r>
          </w:p>
        </w:tc>
        <w:tc>
          <w:tcPr>
            <w:tcW w:w="2629" w:type="dxa"/>
            <w:tcBorders>
              <w:top w:val="single" w:sz="4" w:space="0" w:color="000000"/>
              <w:left w:val="single" w:sz="4" w:space="0" w:color="000000"/>
              <w:bottom w:val="single" w:sz="4" w:space="0" w:color="000000"/>
              <w:right w:val="single" w:sz="4" w:space="0" w:color="000000"/>
            </w:tcBorders>
            <w:shd w:fill="F2F2F2" w:val="clear"/>
          </w:tcPr>
          <w:p>
            <w:pPr>
              <w:pStyle w:val="Style25"/>
              <w:widowControl w:val="false"/>
              <w:tabs>
                <w:tab w:val="clear" w:pos="720"/>
                <w:tab w:val="left" w:pos="-540" w:leader="none"/>
              </w:tabs>
              <w:spacing w:before="0" w:after="240"/>
              <w:jc w:val="left"/>
              <w:rPr>
                <w:rFonts w:ascii="Calibri" w:hAnsi="Calibri" w:cs="Calibri"/>
                <w:b/>
                <w:b/>
                <w:sz w:val="22"/>
                <w:szCs w:val="22"/>
              </w:rPr>
            </w:pPr>
            <w:r>
              <w:rPr>
                <w:rFonts w:cs="Calibri"/>
                <w:b/>
                <w:sz w:val="22"/>
                <w:szCs w:val="22"/>
              </w:rPr>
              <w:t>Παρατηρήσεις</w:t>
            </w:r>
          </w:p>
        </w:tc>
      </w:tr>
      <w:tr>
        <w:trPr/>
        <w:tc>
          <w:tcPr>
            <w:tcW w:w="2434" w:type="dxa"/>
            <w:tcBorders>
              <w:top w:val="single" w:sz="4" w:space="0" w:color="000000"/>
              <w:left w:val="single" w:sz="4" w:space="0" w:color="000000"/>
              <w:bottom w:val="single" w:sz="4" w:space="0" w:color="000000"/>
            </w:tcBorders>
          </w:tcPr>
          <w:p>
            <w:pPr>
              <w:pStyle w:val="Normal"/>
              <w:widowControl w:val="false"/>
              <w:snapToGrid w:val="false"/>
              <w:spacing w:before="0" w:after="120"/>
              <w:rPr>
                <w:rFonts w:ascii="Calibri" w:hAnsi="Calibri" w:cs="Calibri"/>
                <w:sz w:val="22"/>
                <w:szCs w:val="22"/>
              </w:rPr>
            </w:pPr>
            <w:r>
              <w:rPr>
                <w:rFonts w:cs="Calibri"/>
                <w:sz w:val="22"/>
                <w:szCs w:val="22"/>
              </w:rPr>
              <w:t>Χωρητικότητα</w:t>
            </w:r>
          </w:p>
        </w:tc>
        <w:tc>
          <w:tcPr>
            <w:tcW w:w="4353" w:type="dxa"/>
            <w:tcBorders>
              <w:top w:val="single" w:sz="4" w:space="0" w:color="000000"/>
              <w:left w:val="single" w:sz="4" w:space="0" w:color="000000"/>
              <w:bottom w:val="single" w:sz="4" w:space="0" w:color="000000"/>
            </w:tcBorders>
          </w:tcPr>
          <w:p>
            <w:pPr>
              <w:pStyle w:val="Normal"/>
              <w:widowControl w:val="false"/>
              <w:snapToGrid w:val="false"/>
              <w:spacing w:before="0" w:after="120"/>
              <w:rPr/>
            </w:pPr>
            <w:r>
              <w:rPr>
                <w:rFonts w:cs="Calibri"/>
                <w:sz w:val="22"/>
                <w:szCs w:val="22"/>
              </w:rPr>
              <w:t>13 έως 15</w:t>
            </w:r>
            <w:r>
              <w:rPr>
                <w:rFonts w:cs="Calibri"/>
                <w:sz w:val="22"/>
                <w:szCs w:val="22"/>
                <w:lang w:val="en-US"/>
              </w:rPr>
              <w:t>Lt</w:t>
            </w:r>
          </w:p>
        </w:tc>
        <w:tc>
          <w:tcPr>
            <w:tcW w:w="2629" w:type="dxa"/>
            <w:tcBorders>
              <w:top w:val="single" w:sz="4" w:space="0" w:color="000000"/>
              <w:left w:val="single" w:sz="4" w:space="0" w:color="000000"/>
              <w:bottom w:val="single" w:sz="4" w:space="0" w:color="000000"/>
              <w:right w:val="single" w:sz="4" w:space="0" w:color="000000"/>
            </w:tcBorders>
          </w:tcPr>
          <w:p>
            <w:pPr>
              <w:pStyle w:val="Style25"/>
              <w:widowControl w:val="false"/>
              <w:tabs>
                <w:tab w:val="clear" w:pos="720"/>
                <w:tab w:val="left" w:pos="-540" w:leader="none"/>
              </w:tabs>
              <w:snapToGrid w:val="false"/>
              <w:spacing w:before="0" w:after="240"/>
              <w:jc w:val="left"/>
              <w:rPr>
                <w:rFonts w:ascii="Calibri" w:hAnsi="Calibri" w:cs="Calibri"/>
                <w:sz w:val="22"/>
                <w:szCs w:val="22"/>
              </w:rPr>
            </w:pPr>
            <w:r>
              <w:rPr>
                <w:rFonts w:cs="Calibri"/>
                <w:sz w:val="22"/>
                <w:szCs w:val="22"/>
              </w:rPr>
            </w:r>
          </w:p>
        </w:tc>
      </w:tr>
      <w:tr>
        <w:trPr/>
        <w:tc>
          <w:tcPr>
            <w:tcW w:w="2434" w:type="dxa"/>
            <w:tcBorders>
              <w:left w:val="single" w:sz="4" w:space="0" w:color="000000"/>
              <w:bottom w:val="single" w:sz="4" w:space="0" w:color="000000"/>
            </w:tcBorders>
          </w:tcPr>
          <w:p>
            <w:pPr>
              <w:pStyle w:val="Normal"/>
              <w:widowControl w:val="false"/>
              <w:snapToGrid w:val="false"/>
              <w:spacing w:before="0" w:after="120"/>
              <w:rPr>
                <w:rFonts w:ascii="Calibri" w:hAnsi="Calibri" w:cs="Calibri"/>
                <w:sz w:val="22"/>
                <w:szCs w:val="22"/>
              </w:rPr>
            </w:pPr>
            <w:r>
              <w:rPr>
                <w:rFonts w:cs="Calibri"/>
                <w:sz w:val="22"/>
                <w:szCs w:val="22"/>
              </w:rPr>
              <w:t>Σετ</w:t>
            </w:r>
          </w:p>
        </w:tc>
        <w:tc>
          <w:tcPr>
            <w:tcW w:w="4353" w:type="dxa"/>
            <w:tcBorders>
              <w:left w:val="single" w:sz="4" w:space="0" w:color="000000"/>
              <w:bottom w:val="single" w:sz="4" w:space="0" w:color="000000"/>
            </w:tcBorders>
          </w:tcPr>
          <w:p>
            <w:pPr>
              <w:pStyle w:val="Normal"/>
              <w:widowControl w:val="false"/>
              <w:snapToGrid w:val="false"/>
              <w:spacing w:before="0" w:after="120"/>
              <w:rPr>
                <w:rFonts w:ascii="Calibri" w:hAnsi="Calibri" w:cs="Calibri"/>
                <w:sz w:val="22"/>
                <w:szCs w:val="22"/>
              </w:rPr>
            </w:pPr>
            <w:r>
              <w:rPr>
                <w:rFonts w:cs="Calibri"/>
                <w:sz w:val="22"/>
                <w:szCs w:val="22"/>
              </w:rPr>
              <w:t>Με στίφτη σφουγγαρίστρας</w:t>
            </w:r>
          </w:p>
        </w:tc>
        <w:tc>
          <w:tcPr>
            <w:tcW w:w="2629" w:type="dxa"/>
            <w:tcBorders>
              <w:left w:val="single" w:sz="4" w:space="0" w:color="000000"/>
              <w:bottom w:val="single" w:sz="4" w:space="0" w:color="000000"/>
              <w:right w:val="single" w:sz="4" w:space="0" w:color="000000"/>
            </w:tcBorders>
          </w:tcPr>
          <w:p>
            <w:pPr>
              <w:pStyle w:val="Style25"/>
              <w:widowControl w:val="false"/>
              <w:tabs>
                <w:tab w:val="clear" w:pos="720"/>
                <w:tab w:val="left" w:pos="-540" w:leader="none"/>
              </w:tabs>
              <w:snapToGrid w:val="false"/>
              <w:spacing w:before="0" w:after="240"/>
              <w:jc w:val="left"/>
              <w:rPr>
                <w:rFonts w:ascii="Calibri" w:hAnsi="Calibri" w:cs="Calibri"/>
                <w:sz w:val="22"/>
                <w:szCs w:val="22"/>
              </w:rPr>
            </w:pPr>
            <w:r>
              <w:rPr>
                <w:rFonts w:cs="Calibri"/>
                <w:sz w:val="22"/>
                <w:szCs w:val="22"/>
              </w:rPr>
            </w:r>
          </w:p>
        </w:tc>
      </w:tr>
      <w:tr>
        <w:trPr/>
        <w:tc>
          <w:tcPr>
            <w:tcW w:w="2434" w:type="dxa"/>
            <w:tcBorders>
              <w:left w:val="single" w:sz="4" w:space="0" w:color="000000"/>
              <w:bottom w:val="single" w:sz="4" w:space="0" w:color="000000"/>
            </w:tcBorders>
          </w:tcPr>
          <w:p>
            <w:pPr>
              <w:pStyle w:val="Normal"/>
              <w:widowControl w:val="false"/>
              <w:snapToGrid w:val="false"/>
              <w:spacing w:before="0" w:after="120"/>
              <w:rPr>
                <w:rFonts w:ascii="Calibri" w:hAnsi="Calibri" w:cs="Calibri"/>
                <w:sz w:val="22"/>
                <w:szCs w:val="22"/>
              </w:rPr>
            </w:pPr>
            <w:r>
              <w:rPr>
                <w:rFonts w:cs="Calibri"/>
                <w:sz w:val="22"/>
                <w:szCs w:val="22"/>
              </w:rPr>
              <w:t>Ρύγχος για εύκολο άδειασμα</w:t>
            </w:r>
          </w:p>
        </w:tc>
        <w:tc>
          <w:tcPr>
            <w:tcW w:w="4353" w:type="dxa"/>
            <w:tcBorders>
              <w:left w:val="single" w:sz="4" w:space="0" w:color="000000"/>
              <w:bottom w:val="single" w:sz="4" w:space="0" w:color="000000"/>
            </w:tcBorders>
          </w:tcPr>
          <w:p>
            <w:pPr>
              <w:pStyle w:val="Normal"/>
              <w:widowControl w:val="false"/>
              <w:snapToGrid w:val="false"/>
              <w:spacing w:before="0" w:after="120"/>
              <w:rPr>
                <w:rFonts w:ascii="Calibri" w:hAnsi="Calibri" w:cs="Calibri"/>
                <w:sz w:val="22"/>
                <w:szCs w:val="22"/>
              </w:rPr>
            </w:pPr>
            <w:r>
              <w:rPr>
                <w:rFonts w:cs="Calibri"/>
                <w:sz w:val="22"/>
                <w:szCs w:val="22"/>
              </w:rPr>
              <w:t>Ναι</w:t>
            </w:r>
          </w:p>
        </w:tc>
        <w:tc>
          <w:tcPr>
            <w:tcW w:w="2629" w:type="dxa"/>
            <w:tcBorders>
              <w:left w:val="single" w:sz="4" w:space="0" w:color="000000"/>
              <w:bottom w:val="single" w:sz="4" w:space="0" w:color="000000"/>
              <w:right w:val="single" w:sz="4" w:space="0" w:color="000000"/>
            </w:tcBorders>
          </w:tcPr>
          <w:p>
            <w:pPr>
              <w:pStyle w:val="Style25"/>
              <w:widowControl w:val="false"/>
              <w:tabs>
                <w:tab w:val="clear" w:pos="720"/>
                <w:tab w:val="left" w:pos="-540" w:leader="none"/>
              </w:tabs>
              <w:snapToGrid w:val="false"/>
              <w:spacing w:before="0" w:after="240"/>
              <w:jc w:val="left"/>
              <w:rPr>
                <w:rFonts w:ascii="Calibri" w:hAnsi="Calibri" w:cs="Calibri"/>
                <w:sz w:val="22"/>
                <w:szCs w:val="22"/>
              </w:rPr>
            </w:pPr>
            <w:r>
              <w:rPr>
                <w:rFonts w:cs="Calibri"/>
                <w:sz w:val="22"/>
                <w:szCs w:val="22"/>
              </w:rPr>
            </w:r>
          </w:p>
        </w:tc>
      </w:tr>
      <w:tr>
        <w:trPr/>
        <w:tc>
          <w:tcPr>
            <w:tcW w:w="2434" w:type="dxa"/>
            <w:tcBorders>
              <w:left w:val="single" w:sz="4" w:space="0" w:color="000000"/>
              <w:bottom w:val="single" w:sz="4" w:space="0" w:color="000000"/>
            </w:tcBorders>
          </w:tcPr>
          <w:p>
            <w:pPr>
              <w:pStyle w:val="Normal"/>
              <w:widowControl w:val="false"/>
              <w:snapToGrid w:val="false"/>
              <w:spacing w:before="0" w:after="120"/>
              <w:rPr>
                <w:rFonts w:ascii="Calibri" w:hAnsi="Calibri" w:cs="Calibri"/>
                <w:sz w:val="22"/>
                <w:szCs w:val="22"/>
              </w:rPr>
            </w:pPr>
            <w:r>
              <w:rPr>
                <w:rFonts w:cs="Calibri"/>
                <w:sz w:val="22"/>
                <w:szCs w:val="22"/>
              </w:rPr>
              <w:t>Υλικό</w:t>
            </w:r>
          </w:p>
        </w:tc>
        <w:tc>
          <w:tcPr>
            <w:tcW w:w="4353" w:type="dxa"/>
            <w:tcBorders>
              <w:left w:val="single" w:sz="4" w:space="0" w:color="000000"/>
              <w:bottom w:val="single" w:sz="4" w:space="0" w:color="000000"/>
            </w:tcBorders>
          </w:tcPr>
          <w:p>
            <w:pPr>
              <w:pStyle w:val="Normal"/>
              <w:widowControl w:val="false"/>
              <w:snapToGrid w:val="false"/>
              <w:spacing w:before="0" w:after="120"/>
              <w:rPr>
                <w:rFonts w:ascii="Calibri" w:hAnsi="Calibri" w:cs="Calibri"/>
                <w:sz w:val="22"/>
                <w:szCs w:val="22"/>
              </w:rPr>
            </w:pPr>
            <w:r>
              <w:rPr>
                <w:rFonts w:cs="Calibri"/>
                <w:sz w:val="22"/>
                <w:szCs w:val="22"/>
              </w:rPr>
              <w:t>Πλαστικό</w:t>
            </w:r>
          </w:p>
        </w:tc>
        <w:tc>
          <w:tcPr>
            <w:tcW w:w="2629" w:type="dxa"/>
            <w:tcBorders>
              <w:left w:val="single" w:sz="4" w:space="0" w:color="000000"/>
              <w:bottom w:val="single" w:sz="4" w:space="0" w:color="000000"/>
              <w:right w:val="single" w:sz="4" w:space="0" w:color="000000"/>
            </w:tcBorders>
          </w:tcPr>
          <w:p>
            <w:pPr>
              <w:pStyle w:val="Style25"/>
              <w:widowControl w:val="false"/>
              <w:tabs>
                <w:tab w:val="clear" w:pos="720"/>
                <w:tab w:val="left" w:pos="-540" w:leader="none"/>
              </w:tabs>
              <w:snapToGrid w:val="false"/>
              <w:spacing w:before="0" w:after="240"/>
              <w:jc w:val="left"/>
              <w:rPr>
                <w:rFonts w:ascii="Calibri" w:hAnsi="Calibri" w:cs="Calibri"/>
                <w:sz w:val="22"/>
                <w:szCs w:val="22"/>
              </w:rPr>
            </w:pPr>
            <w:r>
              <w:rPr>
                <w:rFonts w:cs="Calibri"/>
                <w:sz w:val="22"/>
                <w:szCs w:val="22"/>
              </w:rPr>
            </w:r>
          </w:p>
        </w:tc>
      </w:tr>
    </w:tbl>
    <w:p>
      <w:pPr>
        <w:pStyle w:val="Normal"/>
        <w:tabs>
          <w:tab w:val="clear" w:pos="720"/>
          <w:tab w:val="left" w:pos="4095" w:leader="none"/>
        </w:tabs>
        <w:ind w:left="1077" w:hanging="0"/>
        <w:rPr>
          <w:rFonts w:ascii="Calibri" w:hAnsi="Calibri" w:cs="Calibri"/>
          <w:sz w:val="22"/>
          <w:szCs w:val="22"/>
        </w:rPr>
      </w:pPr>
      <w:r>
        <w:rPr>
          <w:rFonts w:cs="Calibri"/>
          <w:sz w:val="22"/>
          <w:szCs w:val="22"/>
        </w:rPr>
      </w:r>
    </w:p>
    <w:p>
      <w:pPr>
        <w:pStyle w:val="Normal"/>
        <w:tabs>
          <w:tab w:val="clear" w:pos="720"/>
          <w:tab w:val="left" w:pos="4800" w:leader="none"/>
        </w:tabs>
        <w:ind w:left="1077" w:hanging="0"/>
        <w:rPr>
          <w:rFonts w:ascii="Calibri" w:hAnsi="Calibri" w:cs="Calibri"/>
          <w:b/>
          <w:b/>
          <w:bCs/>
          <w:sz w:val="22"/>
          <w:szCs w:val="22"/>
        </w:rPr>
      </w:pPr>
      <w:r>
        <w:rPr>
          <w:rFonts w:cs="Calibri"/>
          <w:b/>
          <w:bCs/>
          <w:sz w:val="22"/>
          <w:szCs w:val="22"/>
        </w:rPr>
        <w:t>57. Απλώστρα</w:t>
      </w:r>
    </w:p>
    <w:tbl>
      <w:tblPr>
        <w:tblW w:w="9416" w:type="dxa"/>
        <w:jc w:val="left"/>
        <w:tblInd w:w="-65" w:type="dxa"/>
        <w:tblLayout w:type="fixed"/>
        <w:tblCellMar>
          <w:top w:w="0" w:type="dxa"/>
          <w:left w:w="108" w:type="dxa"/>
          <w:bottom w:w="0" w:type="dxa"/>
          <w:right w:w="108" w:type="dxa"/>
        </w:tblCellMar>
      </w:tblPr>
      <w:tblGrid>
        <w:gridCol w:w="2434"/>
        <w:gridCol w:w="4353"/>
        <w:gridCol w:w="2629"/>
      </w:tblGrid>
      <w:tr>
        <w:trPr/>
        <w:tc>
          <w:tcPr>
            <w:tcW w:w="2434" w:type="dxa"/>
            <w:tcBorders>
              <w:top w:val="single" w:sz="4" w:space="0" w:color="000000"/>
              <w:left w:val="single" w:sz="4" w:space="0" w:color="000000"/>
              <w:bottom w:val="single" w:sz="4" w:space="0" w:color="000000"/>
            </w:tcBorders>
            <w:shd w:fill="F2F2F2" w:val="clear"/>
          </w:tcPr>
          <w:p>
            <w:pPr>
              <w:pStyle w:val="Style25"/>
              <w:widowControl w:val="false"/>
              <w:tabs>
                <w:tab w:val="clear" w:pos="720"/>
                <w:tab w:val="left" w:pos="-540" w:leader="none"/>
              </w:tabs>
              <w:spacing w:before="0" w:after="240"/>
              <w:jc w:val="left"/>
              <w:rPr>
                <w:rFonts w:ascii="Calibri" w:hAnsi="Calibri" w:cs="Calibri"/>
                <w:b/>
                <w:b/>
                <w:sz w:val="22"/>
                <w:szCs w:val="22"/>
              </w:rPr>
            </w:pPr>
            <w:r>
              <w:rPr>
                <w:rFonts w:cs="Calibri"/>
                <w:b/>
                <w:sz w:val="22"/>
                <w:szCs w:val="22"/>
              </w:rPr>
              <w:t>Χαρακτηριστικό</w:t>
            </w:r>
          </w:p>
        </w:tc>
        <w:tc>
          <w:tcPr>
            <w:tcW w:w="4353" w:type="dxa"/>
            <w:tcBorders>
              <w:top w:val="single" w:sz="4" w:space="0" w:color="000000"/>
              <w:left w:val="single" w:sz="4" w:space="0" w:color="000000"/>
              <w:bottom w:val="single" w:sz="4" w:space="0" w:color="000000"/>
            </w:tcBorders>
            <w:shd w:fill="F2F2F2" w:val="clear"/>
          </w:tcPr>
          <w:p>
            <w:pPr>
              <w:pStyle w:val="Style25"/>
              <w:widowControl w:val="false"/>
              <w:tabs>
                <w:tab w:val="clear" w:pos="720"/>
                <w:tab w:val="left" w:pos="-540" w:leader="none"/>
              </w:tabs>
              <w:spacing w:before="0" w:after="240"/>
              <w:jc w:val="left"/>
              <w:rPr>
                <w:rFonts w:ascii="Calibri" w:hAnsi="Calibri" w:cs="Calibri"/>
                <w:b/>
                <w:b/>
                <w:sz w:val="22"/>
                <w:szCs w:val="22"/>
              </w:rPr>
            </w:pPr>
            <w:r>
              <w:rPr>
                <w:rFonts w:cs="Calibri"/>
                <w:b/>
                <w:sz w:val="22"/>
                <w:szCs w:val="22"/>
              </w:rPr>
              <w:t>Απαίτηση</w:t>
            </w:r>
          </w:p>
        </w:tc>
        <w:tc>
          <w:tcPr>
            <w:tcW w:w="2629" w:type="dxa"/>
            <w:tcBorders>
              <w:top w:val="single" w:sz="4" w:space="0" w:color="000000"/>
              <w:left w:val="single" w:sz="4" w:space="0" w:color="000000"/>
              <w:bottom w:val="single" w:sz="4" w:space="0" w:color="000000"/>
              <w:right w:val="single" w:sz="4" w:space="0" w:color="000000"/>
            </w:tcBorders>
            <w:shd w:fill="F2F2F2" w:val="clear"/>
          </w:tcPr>
          <w:p>
            <w:pPr>
              <w:pStyle w:val="Style25"/>
              <w:widowControl w:val="false"/>
              <w:tabs>
                <w:tab w:val="clear" w:pos="720"/>
                <w:tab w:val="left" w:pos="-540" w:leader="none"/>
              </w:tabs>
              <w:spacing w:before="0" w:after="240"/>
              <w:jc w:val="left"/>
              <w:rPr>
                <w:rFonts w:ascii="Calibri" w:hAnsi="Calibri" w:cs="Calibri"/>
                <w:b/>
                <w:b/>
                <w:sz w:val="22"/>
                <w:szCs w:val="22"/>
              </w:rPr>
            </w:pPr>
            <w:r>
              <w:rPr>
                <w:rFonts w:cs="Calibri"/>
                <w:b/>
                <w:sz w:val="22"/>
                <w:szCs w:val="22"/>
              </w:rPr>
              <w:t>Παρατηρήσεις</w:t>
            </w:r>
          </w:p>
        </w:tc>
      </w:tr>
      <w:tr>
        <w:trPr/>
        <w:tc>
          <w:tcPr>
            <w:tcW w:w="2434" w:type="dxa"/>
            <w:tcBorders>
              <w:top w:val="single" w:sz="4" w:space="0" w:color="000000"/>
              <w:left w:val="single" w:sz="4" w:space="0" w:color="000000"/>
              <w:bottom w:val="single" w:sz="4" w:space="0" w:color="000000"/>
            </w:tcBorders>
          </w:tcPr>
          <w:p>
            <w:pPr>
              <w:pStyle w:val="Normal"/>
              <w:widowControl w:val="false"/>
              <w:snapToGrid w:val="false"/>
              <w:spacing w:before="0" w:after="120"/>
              <w:rPr>
                <w:rFonts w:ascii="Calibri" w:hAnsi="Calibri" w:cs="Calibri"/>
                <w:sz w:val="22"/>
                <w:szCs w:val="22"/>
              </w:rPr>
            </w:pPr>
            <w:r>
              <w:rPr>
                <w:rFonts w:cs="Calibri"/>
                <w:sz w:val="22"/>
                <w:szCs w:val="22"/>
              </w:rPr>
              <w:t>Τύπος</w:t>
            </w:r>
          </w:p>
        </w:tc>
        <w:tc>
          <w:tcPr>
            <w:tcW w:w="4353" w:type="dxa"/>
            <w:tcBorders>
              <w:top w:val="single" w:sz="4" w:space="0" w:color="000000"/>
              <w:left w:val="single" w:sz="4" w:space="0" w:color="000000"/>
              <w:bottom w:val="single" w:sz="4" w:space="0" w:color="000000"/>
            </w:tcBorders>
          </w:tcPr>
          <w:p>
            <w:pPr>
              <w:pStyle w:val="Normal"/>
              <w:widowControl w:val="false"/>
              <w:snapToGrid w:val="false"/>
              <w:spacing w:before="0" w:after="120"/>
              <w:rPr>
                <w:rFonts w:ascii="Calibri" w:hAnsi="Calibri" w:cs="Calibri"/>
                <w:sz w:val="22"/>
                <w:szCs w:val="22"/>
              </w:rPr>
            </w:pPr>
            <w:r>
              <w:rPr>
                <w:rFonts w:cs="Calibri"/>
                <w:sz w:val="22"/>
                <w:szCs w:val="22"/>
              </w:rPr>
              <w:t>Αναδιπλούμενη τρίφυλλη</w:t>
            </w:r>
          </w:p>
        </w:tc>
        <w:tc>
          <w:tcPr>
            <w:tcW w:w="2629" w:type="dxa"/>
            <w:tcBorders>
              <w:top w:val="single" w:sz="4" w:space="0" w:color="000000"/>
              <w:left w:val="single" w:sz="4" w:space="0" w:color="000000"/>
              <w:bottom w:val="single" w:sz="4" w:space="0" w:color="000000"/>
              <w:right w:val="single" w:sz="4" w:space="0" w:color="000000"/>
            </w:tcBorders>
          </w:tcPr>
          <w:p>
            <w:pPr>
              <w:pStyle w:val="Style25"/>
              <w:widowControl w:val="false"/>
              <w:tabs>
                <w:tab w:val="clear" w:pos="720"/>
                <w:tab w:val="left" w:pos="-540" w:leader="none"/>
              </w:tabs>
              <w:snapToGrid w:val="false"/>
              <w:spacing w:before="0" w:after="240"/>
              <w:jc w:val="left"/>
              <w:rPr>
                <w:rFonts w:ascii="Calibri" w:hAnsi="Calibri" w:cs="Calibri"/>
                <w:sz w:val="22"/>
                <w:szCs w:val="22"/>
              </w:rPr>
            </w:pPr>
            <w:r>
              <w:rPr>
                <w:rFonts w:cs="Calibri"/>
                <w:sz w:val="22"/>
                <w:szCs w:val="22"/>
              </w:rPr>
            </w:r>
          </w:p>
        </w:tc>
      </w:tr>
      <w:tr>
        <w:trPr/>
        <w:tc>
          <w:tcPr>
            <w:tcW w:w="2434" w:type="dxa"/>
            <w:tcBorders>
              <w:left w:val="single" w:sz="4" w:space="0" w:color="000000"/>
              <w:bottom w:val="single" w:sz="4" w:space="0" w:color="000000"/>
            </w:tcBorders>
          </w:tcPr>
          <w:p>
            <w:pPr>
              <w:pStyle w:val="Normal"/>
              <w:widowControl w:val="false"/>
              <w:snapToGrid w:val="false"/>
              <w:spacing w:before="0" w:after="120"/>
              <w:rPr>
                <w:rFonts w:ascii="Calibri" w:hAnsi="Calibri" w:cs="Calibri"/>
                <w:sz w:val="22"/>
                <w:szCs w:val="22"/>
              </w:rPr>
            </w:pPr>
            <w:r>
              <w:rPr>
                <w:rFonts w:cs="Calibri"/>
                <w:sz w:val="22"/>
                <w:szCs w:val="22"/>
              </w:rPr>
              <w:t>Μήκος απλώματος</w:t>
            </w:r>
          </w:p>
        </w:tc>
        <w:tc>
          <w:tcPr>
            <w:tcW w:w="4353" w:type="dxa"/>
            <w:tcBorders>
              <w:left w:val="single" w:sz="4" w:space="0" w:color="000000"/>
              <w:bottom w:val="single" w:sz="4" w:space="0" w:color="000000"/>
            </w:tcBorders>
          </w:tcPr>
          <w:p>
            <w:pPr>
              <w:pStyle w:val="Normal"/>
              <w:widowControl w:val="false"/>
              <w:snapToGrid w:val="false"/>
              <w:spacing w:before="0" w:after="120"/>
              <w:rPr/>
            </w:pPr>
            <w:r>
              <w:rPr>
                <w:rFonts w:cs="Calibri"/>
                <w:sz w:val="22"/>
                <w:szCs w:val="22"/>
              </w:rPr>
              <w:t xml:space="preserve">15 έως 20 </w:t>
            </w:r>
            <w:r>
              <w:rPr>
                <w:rFonts w:cs="Calibri"/>
                <w:sz w:val="22"/>
                <w:szCs w:val="22"/>
                <w:lang w:val="en-US"/>
              </w:rPr>
              <w:t xml:space="preserve">m </w:t>
            </w:r>
            <w:r>
              <w:rPr>
                <w:rFonts w:cs="Calibri"/>
                <w:sz w:val="22"/>
                <w:szCs w:val="22"/>
              </w:rPr>
              <w:t>περίπου</w:t>
            </w:r>
          </w:p>
        </w:tc>
        <w:tc>
          <w:tcPr>
            <w:tcW w:w="2629" w:type="dxa"/>
            <w:tcBorders>
              <w:left w:val="single" w:sz="4" w:space="0" w:color="000000"/>
              <w:bottom w:val="single" w:sz="4" w:space="0" w:color="000000"/>
              <w:right w:val="single" w:sz="4" w:space="0" w:color="000000"/>
            </w:tcBorders>
          </w:tcPr>
          <w:p>
            <w:pPr>
              <w:pStyle w:val="Style25"/>
              <w:widowControl w:val="false"/>
              <w:tabs>
                <w:tab w:val="clear" w:pos="720"/>
                <w:tab w:val="left" w:pos="-540" w:leader="none"/>
              </w:tabs>
              <w:snapToGrid w:val="false"/>
              <w:spacing w:before="0" w:after="240"/>
              <w:jc w:val="left"/>
              <w:rPr>
                <w:rFonts w:ascii="Calibri" w:hAnsi="Calibri" w:cs="Calibri"/>
                <w:sz w:val="22"/>
                <w:szCs w:val="22"/>
              </w:rPr>
            </w:pPr>
            <w:r>
              <w:rPr>
                <w:rFonts w:cs="Calibri"/>
                <w:sz w:val="22"/>
                <w:szCs w:val="22"/>
              </w:rPr>
            </w:r>
          </w:p>
        </w:tc>
      </w:tr>
      <w:tr>
        <w:trPr/>
        <w:tc>
          <w:tcPr>
            <w:tcW w:w="2434" w:type="dxa"/>
            <w:tcBorders>
              <w:left w:val="single" w:sz="4" w:space="0" w:color="000000"/>
              <w:bottom w:val="single" w:sz="4" w:space="0" w:color="000000"/>
            </w:tcBorders>
          </w:tcPr>
          <w:p>
            <w:pPr>
              <w:pStyle w:val="Normal"/>
              <w:widowControl w:val="false"/>
              <w:snapToGrid w:val="false"/>
              <w:spacing w:before="0" w:after="120"/>
              <w:rPr>
                <w:rFonts w:ascii="Calibri" w:hAnsi="Calibri" w:cs="Calibri"/>
                <w:sz w:val="22"/>
                <w:szCs w:val="22"/>
              </w:rPr>
            </w:pPr>
            <w:r>
              <w:rPr>
                <w:rFonts w:cs="Calibri"/>
                <w:sz w:val="22"/>
                <w:szCs w:val="22"/>
              </w:rPr>
              <w:t>Τοποθέτηση</w:t>
            </w:r>
          </w:p>
        </w:tc>
        <w:tc>
          <w:tcPr>
            <w:tcW w:w="4353" w:type="dxa"/>
            <w:tcBorders>
              <w:left w:val="single" w:sz="4" w:space="0" w:color="000000"/>
              <w:bottom w:val="single" w:sz="4" w:space="0" w:color="000000"/>
            </w:tcBorders>
          </w:tcPr>
          <w:p>
            <w:pPr>
              <w:pStyle w:val="Normal"/>
              <w:widowControl w:val="false"/>
              <w:snapToGrid w:val="false"/>
              <w:spacing w:before="0" w:after="120"/>
              <w:rPr>
                <w:rFonts w:ascii="Calibri" w:hAnsi="Calibri" w:cs="Calibri"/>
                <w:sz w:val="22"/>
                <w:szCs w:val="22"/>
              </w:rPr>
            </w:pPr>
            <w:r>
              <w:rPr>
                <w:rFonts w:cs="Calibri"/>
                <w:sz w:val="22"/>
                <w:szCs w:val="22"/>
              </w:rPr>
              <w:t>Δαπέδου</w:t>
            </w:r>
          </w:p>
        </w:tc>
        <w:tc>
          <w:tcPr>
            <w:tcW w:w="2629" w:type="dxa"/>
            <w:tcBorders>
              <w:left w:val="single" w:sz="4" w:space="0" w:color="000000"/>
              <w:bottom w:val="single" w:sz="4" w:space="0" w:color="000000"/>
              <w:right w:val="single" w:sz="4" w:space="0" w:color="000000"/>
            </w:tcBorders>
          </w:tcPr>
          <w:p>
            <w:pPr>
              <w:pStyle w:val="Style25"/>
              <w:widowControl w:val="false"/>
              <w:tabs>
                <w:tab w:val="clear" w:pos="720"/>
                <w:tab w:val="left" w:pos="-540" w:leader="none"/>
              </w:tabs>
              <w:snapToGrid w:val="false"/>
              <w:spacing w:before="0" w:after="240"/>
              <w:jc w:val="left"/>
              <w:rPr>
                <w:rFonts w:ascii="Calibri" w:hAnsi="Calibri" w:cs="Calibri"/>
                <w:sz w:val="22"/>
                <w:szCs w:val="22"/>
              </w:rPr>
            </w:pPr>
            <w:r>
              <w:rPr>
                <w:rFonts w:cs="Calibri"/>
                <w:sz w:val="22"/>
                <w:szCs w:val="22"/>
              </w:rPr>
            </w:r>
          </w:p>
        </w:tc>
      </w:tr>
      <w:tr>
        <w:trPr/>
        <w:tc>
          <w:tcPr>
            <w:tcW w:w="2434" w:type="dxa"/>
            <w:tcBorders>
              <w:left w:val="single" w:sz="4" w:space="0" w:color="000000"/>
              <w:bottom w:val="single" w:sz="4" w:space="0" w:color="000000"/>
            </w:tcBorders>
          </w:tcPr>
          <w:p>
            <w:pPr>
              <w:pStyle w:val="Normal"/>
              <w:widowControl w:val="false"/>
              <w:snapToGrid w:val="false"/>
              <w:spacing w:before="0" w:after="120"/>
              <w:rPr>
                <w:rFonts w:ascii="Calibri" w:hAnsi="Calibri" w:cs="Calibri"/>
                <w:sz w:val="22"/>
                <w:szCs w:val="22"/>
              </w:rPr>
            </w:pPr>
            <w:r>
              <w:rPr>
                <w:rFonts w:cs="Calibri"/>
                <w:sz w:val="22"/>
                <w:szCs w:val="22"/>
              </w:rPr>
              <w:t>Υλικό</w:t>
            </w:r>
          </w:p>
        </w:tc>
        <w:tc>
          <w:tcPr>
            <w:tcW w:w="4353" w:type="dxa"/>
            <w:tcBorders>
              <w:left w:val="single" w:sz="4" w:space="0" w:color="000000"/>
              <w:bottom w:val="single" w:sz="4" w:space="0" w:color="000000"/>
            </w:tcBorders>
          </w:tcPr>
          <w:p>
            <w:pPr>
              <w:pStyle w:val="Normal"/>
              <w:widowControl w:val="false"/>
              <w:snapToGrid w:val="false"/>
              <w:spacing w:before="0" w:after="120"/>
              <w:rPr>
                <w:rFonts w:ascii="Calibri" w:hAnsi="Calibri" w:cs="Calibri"/>
                <w:sz w:val="22"/>
                <w:szCs w:val="22"/>
              </w:rPr>
            </w:pPr>
            <w:r>
              <w:rPr>
                <w:rFonts w:cs="Calibri"/>
                <w:sz w:val="22"/>
                <w:szCs w:val="22"/>
              </w:rPr>
              <w:t>Μεταλλική ανοξείδωτη</w:t>
            </w:r>
          </w:p>
        </w:tc>
        <w:tc>
          <w:tcPr>
            <w:tcW w:w="2629" w:type="dxa"/>
            <w:tcBorders>
              <w:left w:val="single" w:sz="4" w:space="0" w:color="000000"/>
              <w:bottom w:val="single" w:sz="4" w:space="0" w:color="000000"/>
              <w:right w:val="single" w:sz="4" w:space="0" w:color="000000"/>
            </w:tcBorders>
          </w:tcPr>
          <w:p>
            <w:pPr>
              <w:pStyle w:val="Style25"/>
              <w:widowControl w:val="false"/>
              <w:tabs>
                <w:tab w:val="clear" w:pos="720"/>
                <w:tab w:val="left" w:pos="-540" w:leader="none"/>
              </w:tabs>
              <w:snapToGrid w:val="false"/>
              <w:spacing w:before="0" w:after="240"/>
              <w:jc w:val="left"/>
              <w:rPr>
                <w:rFonts w:ascii="Calibri" w:hAnsi="Calibri" w:cs="Calibri"/>
                <w:sz w:val="22"/>
                <w:szCs w:val="22"/>
              </w:rPr>
            </w:pPr>
            <w:r>
              <w:rPr>
                <w:rFonts w:cs="Calibri"/>
                <w:sz w:val="22"/>
                <w:szCs w:val="22"/>
              </w:rPr>
            </w:r>
          </w:p>
        </w:tc>
      </w:tr>
    </w:tbl>
    <w:p>
      <w:pPr>
        <w:pStyle w:val="Normal"/>
        <w:tabs>
          <w:tab w:val="clear" w:pos="720"/>
          <w:tab w:val="left" w:pos="4095" w:leader="none"/>
        </w:tabs>
        <w:ind w:left="1077" w:hanging="0"/>
        <w:rPr>
          <w:rFonts w:ascii="Calibri" w:hAnsi="Calibri" w:cs="Calibri"/>
          <w:sz w:val="22"/>
          <w:szCs w:val="22"/>
        </w:rPr>
      </w:pPr>
      <w:r>
        <w:rPr>
          <w:rFonts w:cs="Calibri"/>
          <w:sz w:val="22"/>
          <w:szCs w:val="22"/>
        </w:rPr>
      </w:r>
    </w:p>
    <w:p>
      <w:pPr>
        <w:pStyle w:val="Normal"/>
        <w:tabs>
          <w:tab w:val="clear" w:pos="720"/>
          <w:tab w:val="left" w:pos="4800" w:leader="none"/>
        </w:tabs>
        <w:ind w:left="1077" w:hanging="0"/>
        <w:rPr>
          <w:rFonts w:ascii="Calibri" w:hAnsi="Calibri" w:cs="Calibri"/>
          <w:b/>
          <w:b/>
          <w:bCs/>
          <w:sz w:val="22"/>
          <w:szCs w:val="22"/>
        </w:rPr>
      </w:pPr>
      <w:r>
        <w:rPr>
          <w:rFonts w:cs="Calibri"/>
          <w:b/>
          <w:bCs/>
          <w:sz w:val="22"/>
          <w:szCs w:val="22"/>
        </w:rPr>
        <w:t>58. Μανταλάκια απλώματος</w:t>
      </w:r>
    </w:p>
    <w:tbl>
      <w:tblPr>
        <w:tblW w:w="9416" w:type="dxa"/>
        <w:jc w:val="left"/>
        <w:tblInd w:w="-65" w:type="dxa"/>
        <w:tblLayout w:type="fixed"/>
        <w:tblCellMar>
          <w:top w:w="0" w:type="dxa"/>
          <w:left w:w="108" w:type="dxa"/>
          <w:bottom w:w="0" w:type="dxa"/>
          <w:right w:w="108" w:type="dxa"/>
        </w:tblCellMar>
      </w:tblPr>
      <w:tblGrid>
        <w:gridCol w:w="2434"/>
        <w:gridCol w:w="4353"/>
        <w:gridCol w:w="2629"/>
      </w:tblGrid>
      <w:tr>
        <w:trPr/>
        <w:tc>
          <w:tcPr>
            <w:tcW w:w="2434" w:type="dxa"/>
            <w:tcBorders>
              <w:top w:val="single" w:sz="4" w:space="0" w:color="000000"/>
              <w:left w:val="single" w:sz="4" w:space="0" w:color="000000"/>
              <w:bottom w:val="single" w:sz="4" w:space="0" w:color="000000"/>
            </w:tcBorders>
            <w:shd w:fill="F2F2F2" w:val="clear"/>
          </w:tcPr>
          <w:p>
            <w:pPr>
              <w:pStyle w:val="Style25"/>
              <w:widowControl w:val="false"/>
              <w:tabs>
                <w:tab w:val="clear" w:pos="720"/>
                <w:tab w:val="left" w:pos="-540" w:leader="none"/>
              </w:tabs>
              <w:spacing w:before="0" w:after="240"/>
              <w:jc w:val="left"/>
              <w:rPr>
                <w:rFonts w:ascii="Calibri" w:hAnsi="Calibri" w:cs="Calibri"/>
                <w:b/>
                <w:b/>
                <w:sz w:val="22"/>
                <w:szCs w:val="22"/>
              </w:rPr>
            </w:pPr>
            <w:r>
              <w:rPr>
                <w:rFonts w:cs="Calibri"/>
                <w:b/>
                <w:sz w:val="22"/>
                <w:szCs w:val="22"/>
              </w:rPr>
              <w:t>Χαρακτηριστικό</w:t>
            </w:r>
          </w:p>
        </w:tc>
        <w:tc>
          <w:tcPr>
            <w:tcW w:w="4353" w:type="dxa"/>
            <w:tcBorders>
              <w:top w:val="single" w:sz="4" w:space="0" w:color="000000"/>
              <w:left w:val="single" w:sz="4" w:space="0" w:color="000000"/>
              <w:bottom w:val="single" w:sz="4" w:space="0" w:color="000000"/>
            </w:tcBorders>
            <w:shd w:fill="F2F2F2" w:val="clear"/>
          </w:tcPr>
          <w:p>
            <w:pPr>
              <w:pStyle w:val="Style25"/>
              <w:widowControl w:val="false"/>
              <w:tabs>
                <w:tab w:val="clear" w:pos="720"/>
                <w:tab w:val="left" w:pos="-540" w:leader="none"/>
              </w:tabs>
              <w:spacing w:before="0" w:after="240"/>
              <w:jc w:val="left"/>
              <w:rPr>
                <w:rFonts w:ascii="Calibri" w:hAnsi="Calibri" w:cs="Calibri"/>
                <w:b/>
                <w:b/>
                <w:sz w:val="22"/>
                <w:szCs w:val="22"/>
              </w:rPr>
            </w:pPr>
            <w:r>
              <w:rPr>
                <w:rFonts w:cs="Calibri"/>
                <w:b/>
                <w:sz w:val="22"/>
                <w:szCs w:val="22"/>
              </w:rPr>
              <w:t>Απαίτηση</w:t>
            </w:r>
          </w:p>
        </w:tc>
        <w:tc>
          <w:tcPr>
            <w:tcW w:w="2629" w:type="dxa"/>
            <w:tcBorders>
              <w:top w:val="single" w:sz="4" w:space="0" w:color="000000"/>
              <w:left w:val="single" w:sz="4" w:space="0" w:color="000000"/>
              <w:bottom w:val="single" w:sz="4" w:space="0" w:color="000000"/>
              <w:right w:val="single" w:sz="4" w:space="0" w:color="000000"/>
            </w:tcBorders>
            <w:shd w:fill="F2F2F2" w:val="clear"/>
          </w:tcPr>
          <w:p>
            <w:pPr>
              <w:pStyle w:val="Style25"/>
              <w:widowControl w:val="false"/>
              <w:tabs>
                <w:tab w:val="clear" w:pos="720"/>
                <w:tab w:val="left" w:pos="-540" w:leader="none"/>
              </w:tabs>
              <w:spacing w:before="0" w:after="240"/>
              <w:jc w:val="left"/>
              <w:rPr>
                <w:rFonts w:ascii="Calibri" w:hAnsi="Calibri" w:cs="Calibri"/>
                <w:b/>
                <w:b/>
                <w:sz w:val="22"/>
                <w:szCs w:val="22"/>
              </w:rPr>
            </w:pPr>
            <w:r>
              <w:rPr>
                <w:rFonts w:cs="Calibri"/>
                <w:b/>
                <w:sz w:val="22"/>
                <w:szCs w:val="22"/>
              </w:rPr>
              <w:t>Παρατηρήσεις</w:t>
            </w:r>
          </w:p>
        </w:tc>
      </w:tr>
      <w:tr>
        <w:trPr/>
        <w:tc>
          <w:tcPr>
            <w:tcW w:w="2434" w:type="dxa"/>
            <w:tcBorders>
              <w:top w:val="single" w:sz="4" w:space="0" w:color="000000"/>
              <w:left w:val="single" w:sz="4" w:space="0" w:color="000000"/>
              <w:bottom w:val="single" w:sz="4" w:space="0" w:color="000000"/>
            </w:tcBorders>
          </w:tcPr>
          <w:p>
            <w:pPr>
              <w:pStyle w:val="Normal"/>
              <w:widowControl w:val="false"/>
              <w:snapToGrid w:val="false"/>
              <w:spacing w:before="0" w:after="120"/>
              <w:rPr>
                <w:rFonts w:ascii="Calibri" w:hAnsi="Calibri" w:cs="Calibri"/>
                <w:sz w:val="22"/>
                <w:szCs w:val="22"/>
              </w:rPr>
            </w:pPr>
            <w:r>
              <w:rPr>
                <w:rFonts w:cs="Calibri"/>
                <w:sz w:val="22"/>
                <w:szCs w:val="22"/>
              </w:rPr>
              <w:t>Τεμάχια</w:t>
            </w:r>
          </w:p>
        </w:tc>
        <w:tc>
          <w:tcPr>
            <w:tcW w:w="4353" w:type="dxa"/>
            <w:tcBorders>
              <w:top w:val="single" w:sz="4" w:space="0" w:color="000000"/>
              <w:left w:val="single" w:sz="4" w:space="0" w:color="000000"/>
              <w:bottom w:val="single" w:sz="4" w:space="0" w:color="000000"/>
            </w:tcBorders>
          </w:tcPr>
          <w:p>
            <w:pPr>
              <w:pStyle w:val="Normal"/>
              <w:widowControl w:val="false"/>
              <w:snapToGrid w:val="false"/>
              <w:spacing w:before="0" w:after="120"/>
              <w:rPr>
                <w:rFonts w:ascii="Calibri" w:hAnsi="Calibri" w:cs="Calibri"/>
                <w:sz w:val="22"/>
                <w:szCs w:val="22"/>
              </w:rPr>
            </w:pPr>
            <w:r>
              <w:rPr>
                <w:rFonts w:cs="Calibri"/>
                <w:sz w:val="22"/>
                <w:szCs w:val="22"/>
              </w:rPr>
              <w:t>Σετ 24</w:t>
            </w:r>
          </w:p>
        </w:tc>
        <w:tc>
          <w:tcPr>
            <w:tcW w:w="2629" w:type="dxa"/>
            <w:tcBorders>
              <w:top w:val="single" w:sz="4" w:space="0" w:color="000000"/>
              <w:left w:val="single" w:sz="4" w:space="0" w:color="000000"/>
              <w:bottom w:val="single" w:sz="4" w:space="0" w:color="000000"/>
              <w:right w:val="single" w:sz="4" w:space="0" w:color="000000"/>
            </w:tcBorders>
          </w:tcPr>
          <w:p>
            <w:pPr>
              <w:pStyle w:val="Style25"/>
              <w:widowControl w:val="false"/>
              <w:tabs>
                <w:tab w:val="clear" w:pos="720"/>
                <w:tab w:val="left" w:pos="-540" w:leader="none"/>
              </w:tabs>
              <w:snapToGrid w:val="false"/>
              <w:spacing w:before="0" w:after="240"/>
              <w:jc w:val="left"/>
              <w:rPr>
                <w:rFonts w:ascii="Calibri" w:hAnsi="Calibri" w:cs="Calibri"/>
                <w:sz w:val="22"/>
                <w:szCs w:val="22"/>
              </w:rPr>
            </w:pPr>
            <w:r>
              <w:rPr>
                <w:rFonts w:cs="Calibri"/>
                <w:sz w:val="22"/>
                <w:szCs w:val="22"/>
              </w:rPr>
            </w:r>
          </w:p>
        </w:tc>
      </w:tr>
      <w:tr>
        <w:trPr/>
        <w:tc>
          <w:tcPr>
            <w:tcW w:w="2434" w:type="dxa"/>
            <w:tcBorders>
              <w:left w:val="single" w:sz="4" w:space="0" w:color="000000"/>
              <w:bottom w:val="single" w:sz="4" w:space="0" w:color="000000"/>
            </w:tcBorders>
          </w:tcPr>
          <w:p>
            <w:pPr>
              <w:pStyle w:val="Normal"/>
              <w:widowControl w:val="false"/>
              <w:snapToGrid w:val="false"/>
              <w:spacing w:before="0" w:after="120"/>
              <w:rPr>
                <w:rFonts w:ascii="Calibri" w:hAnsi="Calibri" w:cs="Calibri"/>
                <w:sz w:val="22"/>
                <w:szCs w:val="22"/>
              </w:rPr>
            </w:pPr>
            <w:r>
              <w:rPr>
                <w:rFonts w:cs="Calibri"/>
                <w:sz w:val="22"/>
                <w:szCs w:val="22"/>
              </w:rPr>
              <w:t>Υλικό</w:t>
            </w:r>
          </w:p>
        </w:tc>
        <w:tc>
          <w:tcPr>
            <w:tcW w:w="4353" w:type="dxa"/>
            <w:tcBorders>
              <w:left w:val="single" w:sz="4" w:space="0" w:color="000000"/>
              <w:bottom w:val="single" w:sz="4" w:space="0" w:color="000000"/>
            </w:tcBorders>
          </w:tcPr>
          <w:p>
            <w:pPr>
              <w:pStyle w:val="Normal"/>
              <w:widowControl w:val="false"/>
              <w:snapToGrid w:val="false"/>
              <w:spacing w:before="0" w:after="120"/>
              <w:rPr>
                <w:rFonts w:ascii="Calibri" w:hAnsi="Calibri" w:cs="Calibri"/>
                <w:sz w:val="22"/>
                <w:szCs w:val="22"/>
              </w:rPr>
            </w:pPr>
            <w:r>
              <w:rPr>
                <w:rFonts w:cs="Calibri"/>
                <w:sz w:val="22"/>
                <w:szCs w:val="22"/>
              </w:rPr>
              <w:t>Πλαστικό</w:t>
            </w:r>
          </w:p>
        </w:tc>
        <w:tc>
          <w:tcPr>
            <w:tcW w:w="2629" w:type="dxa"/>
            <w:tcBorders>
              <w:left w:val="single" w:sz="4" w:space="0" w:color="000000"/>
              <w:bottom w:val="single" w:sz="4" w:space="0" w:color="000000"/>
              <w:right w:val="single" w:sz="4" w:space="0" w:color="000000"/>
            </w:tcBorders>
          </w:tcPr>
          <w:p>
            <w:pPr>
              <w:pStyle w:val="Style25"/>
              <w:widowControl w:val="false"/>
              <w:tabs>
                <w:tab w:val="clear" w:pos="720"/>
                <w:tab w:val="left" w:pos="-540" w:leader="none"/>
              </w:tabs>
              <w:snapToGrid w:val="false"/>
              <w:spacing w:before="0" w:after="240"/>
              <w:jc w:val="left"/>
              <w:rPr>
                <w:rFonts w:ascii="Calibri" w:hAnsi="Calibri" w:cs="Calibri"/>
                <w:sz w:val="22"/>
                <w:szCs w:val="22"/>
              </w:rPr>
            </w:pPr>
            <w:r>
              <w:rPr>
                <w:rFonts w:cs="Calibri"/>
                <w:sz w:val="22"/>
                <w:szCs w:val="22"/>
              </w:rPr>
            </w:r>
          </w:p>
        </w:tc>
      </w:tr>
      <w:tr>
        <w:trPr/>
        <w:tc>
          <w:tcPr>
            <w:tcW w:w="2434" w:type="dxa"/>
            <w:tcBorders>
              <w:left w:val="single" w:sz="4" w:space="0" w:color="000000"/>
              <w:bottom w:val="single" w:sz="4" w:space="0" w:color="000000"/>
            </w:tcBorders>
          </w:tcPr>
          <w:p>
            <w:pPr>
              <w:pStyle w:val="Normal"/>
              <w:widowControl w:val="false"/>
              <w:snapToGrid w:val="false"/>
              <w:spacing w:before="0" w:after="120"/>
              <w:rPr>
                <w:rFonts w:ascii="Calibri" w:hAnsi="Calibri" w:cs="Calibri"/>
                <w:sz w:val="22"/>
                <w:szCs w:val="22"/>
              </w:rPr>
            </w:pPr>
            <w:r>
              <w:rPr>
                <w:rFonts w:cs="Calibri"/>
                <w:sz w:val="22"/>
                <w:szCs w:val="22"/>
              </w:rPr>
              <w:t>Ελατήριο</w:t>
            </w:r>
          </w:p>
        </w:tc>
        <w:tc>
          <w:tcPr>
            <w:tcW w:w="4353" w:type="dxa"/>
            <w:tcBorders>
              <w:left w:val="single" w:sz="4" w:space="0" w:color="000000"/>
              <w:bottom w:val="single" w:sz="4" w:space="0" w:color="000000"/>
            </w:tcBorders>
          </w:tcPr>
          <w:p>
            <w:pPr>
              <w:pStyle w:val="Normal"/>
              <w:widowControl w:val="false"/>
              <w:snapToGrid w:val="false"/>
              <w:spacing w:before="0" w:after="120"/>
              <w:rPr>
                <w:rFonts w:ascii="Calibri" w:hAnsi="Calibri" w:cs="Calibri"/>
                <w:sz w:val="22"/>
                <w:szCs w:val="22"/>
              </w:rPr>
            </w:pPr>
            <w:r>
              <w:rPr>
                <w:rFonts w:cs="Calibri"/>
                <w:sz w:val="22"/>
                <w:szCs w:val="22"/>
              </w:rPr>
              <w:t>Ανοξείδωτο</w:t>
            </w:r>
          </w:p>
        </w:tc>
        <w:tc>
          <w:tcPr>
            <w:tcW w:w="2629" w:type="dxa"/>
            <w:tcBorders>
              <w:left w:val="single" w:sz="4" w:space="0" w:color="000000"/>
              <w:bottom w:val="single" w:sz="4" w:space="0" w:color="000000"/>
              <w:right w:val="single" w:sz="4" w:space="0" w:color="000000"/>
            </w:tcBorders>
          </w:tcPr>
          <w:p>
            <w:pPr>
              <w:pStyle w:val="Style25"/>
              <w:widowControl w:val="false"/>
              <w:tabs>
                <w:tab w:val="clear" w:pos="720"/>
                <w:tab w:val="left" w:pos="-540" w:leader="none"/>
              </w:tabs>
              <w:snapToGrid w:val="false"/>
              <w:spacing w:before="0" w:after="240"/>
              <w:jc w:val="left"/>
              <w:rPr>
                <w:rFonts w:ascii="Calibri" w:hAnsi="Calibri" w:cs="Calibri"/>
                <w:sz w:val="22"/>
                <w:szCs w:val="22"/>
              </w:rPr>
            </w:pPr>
            <w:r>
              <w:rPr>
                <w:rFonts w:cs="Calibri"/>
                <w:sz w:val="22"/>
                <w:szCs w:val="22"/>
              </w:rPr>
            </w:r>
          </w:p>
        </w:tc>
      </w:tr>
      <w:tr>
        <w:trPr/>
        <w:tc>
          <w:tcPr>
            <w:tcW w:w="2434" w:type="dxa"/>
            <w:tcBorders>
              <w:left w:val="single" w:sz="4" w:space="0" w:color="000000"/>
              <w:bottom w:val="single" w:sz="4" w:space="0" w:color="000000"/>
            </w:tcBorders>
          </w:tcPr>
          <w:p>
            <w:pPr>
              <w:pStyle w:val="Normal"/>
              <w:widowControl w:val="false"/>
              <w:snapToGrid w:val="false"/>
              <w:spacing w:before="0" w:after="120"/>
              <w:rPr>
                <w:rFonts w:ascii="Calibri" w:hAnsi="Calibri" w:cs="Calibri"/>
                <w:sz w:val="22"/>
                <w:szCs w:val="22"/>
              </w:rPr>
            </w:pPr>
            <w:r>
              <w:rPr>
                <w:rFonts w:cs="Calibri"/>
                <w:sz w:val="22"/>
                <w:szCs w:val="22"/>
              </w:rPr>
              <w:t>Μέγεθος</w:t>
            </w:r>
          </w:p>
        </w:tc>
        <w:tc>
          <w:tcPr>
            <w:tcW w:w="4353" w:type="dxa"/>
            <w:tcBorders>
              <w:left w:val="single" w:sz="4" w:space="0" w:color="000000"/>
              <w:bottom w:val="single" w:sz="4" w:space="0" w:color="000000"/>
            </w:tcBorders>
          </w:tcPr>
          <w:p>
            <w:pPr>
              <w:pStyle w:val="Normal"/>
              <w:widowControl w:val="false"/>
              <w:snapToGrid w:val="false"/>
              <w:spacing w:before="0" w:after="120"/>
              <w:rPr/>
            </w:pPr>
            <w:r>
              <w:rPr>
                <w:rFonts w:cs="Calibri"/>
                <w:sz w:val="22"/>
                <w:szCs w:val="22"/>
              </w:rPr>
              <w:t xml:space="preserve">5 έως 10 </w:t>
            </w:r>
            <w:r>
              <w:rPr>
                <w:rFonts w:cs="Calibri"/>
                <w:sz w:val="22"/>
                <w:szCs w:val="22"/>
                <w:lang w:val="en-US"/>
              </w:rPr>
              <w:t>cm</w:t>
            </w:r>
          </w:p>
        </w:tc>
        <w:tc>
          <w:tcPr>
            <w:tcW w:w="2629" w:type="dxa"/>
            <w:tcBorders>
              <w:left w:val="single" w:sz="4" w:space="0" w:color="000000"/>
              <w:bottom w:val="single" w:sz="4" w:space="0" w:color="000000"/>
              <w:right w:val="single" w:sz="4" w:space="0" w:color="000000"/>
            </w:tcBorders>
          </w:tcPr>
          <w:p>
            <w:pPr>
              <w:pStyle w:val="Style25"/>
              <w:widowControl w:val="false"/>
              <w:tabs>
                <w:tab w:val="clear" w:pos="720"/>
                <w:tab w:val="left" w:pos="-540" w:leader="none"/>
              </w:tabs>
              <w:snapToGrid w:val="false"/>
              <w:spacing w:before="0" w:after="240"/>
              <w:jc w:val="left"/>
              <w:rPr>
                <w:rFonts w:ascii="Calibri" w:hAnsi="Calibri" w:cs="Calibri"/>
                <w:sz w:val="22"/>
                <w:szCs w:val="22"/>
              </w:rPr>
            </w:pPr>
            <w:r>
              <w:rPr>
                <w:rFonts w:cs="Calibri"/>
                <w:sz w:val="22"/>
                <w:szCs w:val="22"/>
              </w:rPr>
            </w:r>
          </w:p>
        </w:tc>
      </w:tr>
    </w:tbl>
    <w:p>
      <w:pPr>
        <w:pStyle w:val="Normal"/>
        <w:tabs>
          <w:tab w:val="clear" w:pos="720"/>
          <w:tab w:val="left" w:pos="4800" w:leader="none"/>
        </w:tabs>
        <w:ind w:left="1077" w:hanging="0"/>
        <w:rPr>
          <w:rFonts w:ascii="Calibri" w:hAnsi="Calibri" w:cs="Calibri"/>
          <w:sz w:val="22"/>
          <w:szCs w:val="22"/>
        </w:rPr>
      </w:pPr>
      <w:r>
        <w:rPr>
          <w:rFonts w:cs="Calibri"/>
          <w:sz w:val="22"/>
          <w:szCs w:val="22"/>
        </w:rPr>
      </w:r>
    </w:p>
    <w:p>
      <w:pPr>
        <w:pStyle w:val="Normal"/>
        <w:tabs>
          <w:tab w:val="clear" w:pos="720"/>
          <w:tab w:val="left" w:pos="4800" w:leader="none"/>
        </w:tabs>
        <w:ind w:left="1077" w:hanging="0"/>
        <w:rPr>
          <w:rFonts w:ascii="Calibri" w:hAnsi="Calibri" w:cs="Calibri"/>
          <w:sz w:val="22"/>
          <w:szCs w:val="22"/>
        </w:rPr>
      </w:pPr>
      <w:r>
        <w:rPr>
          <w:rFonts w:cs="Calibri"/>
          <w:b/>
          <w:bCs/>
          <w:sz w:val="22"/>
          <w:szCs w:val="22"/>
        </w:rPr>
        <w:t>59. Κουρτίνα μπάνιου</w:t>
      </w:r>
    </w:p>
    <w:tbl>
      <w:tblPr>
        <w:tblW w:w="9416" w:type="dxa"/>
        <w:jc w:val="left"/>
        <w:tblInd w:w="-65" w:type="dxa"/>
        <w:tblLayout w:type="fixed"/>
        <w:tblCellMar>
          <w:top w:w="0" w:type="dxa"/>
          <w:left w:w="108" w:type="dxa"/>
          <w:bottom w:w="0" w:type="dxa"/>
          <w:right w:w="108" w:type="dxa"/>
        </w:tblCellMar>
      </w:tblPr>
      <w:tblGrid>
        <w:gridCol w:w="2434"/>
        <w:gridCol w:w="4353"/>
        <w:gridCol w:w="2629"/>
      </w:tblGrid>
      <w:tr>
        <w:trPr/>
        <w:tc>
          <w:tcPr>
            <w:tcW w:w="2434" w:type="dxa"/>
            <w:tcBorders>
              <w:top w:val="single" w:sz="4" w:space="0" w:color="000000"/>
              <w:left w:val="single" w:sz="4" w:space="0" w:color="000000"/>
              <w:bottom w:val="single" w:sz="4" w:space="0" w:color="000000"/>
            </w:tcBorders>
            <w:shd w:fill="F2F2F2" w:val="clear"/>
          </w:tcPr>
          <w:p>
            <w:pPr>
              <w:pStyle w:val="Style25"/>
              <w:widowControl w:val="false"/>
              <w:tabs>
                <w:tab w:val="clear" w:pos="720"/>
                <w:tab w:val="left" w:pos="-540" w:leader="none"/>
              </w:tabs>
              <w:spacing w:before="0" w:after="240"/>
              <w:jc w:val="left"/>
              <w:rPr>
                <w:rFonts w:ascii="Calibri" w:hAnsi="Calibri" w:cs="Calibri"/>
                <w:b/>
                <w:b/>
                <w:sz w:val="22"/>
                <w:szCs w:val="22"/>
              </w:rPr>
            </w:pPr>
            <w:r>
              <w:rPr>
                <w:rFonts w:cs="Calibri"/>
                <w:b/>
                <w:sz w:val="22"/>
                <w:szCs w:val="22"/>
              </w:rPr>
              <w:t>Χαρακτηριστικό</w:t>
            </w:r>
          </w:p>
        </w:tc>
        <w:tc>
          <w:tcPr>
            <w:tcW w:w="4353" w:type="dxa"/>
            <w:tcBorders>
              <w:top w:val="single" w:sz="4" w:space="0" w:color="000000"/>
              <w:left w:val="single" w:sz="4" w:space="0" w:color="000000"/>
              <w:bottom w:val="single" w:sz="4" w:space="0" w:color="000000"/>
            </w:tcBorders>
            <w:shd w:fill="F2F2F2" w:val="clear"/>
          </w:tcPr>
          <w:p>
            <w:pPr>
              <w:pStyle w:val="Style25"/>
              <w:widowControl w:val="false"/>
              <w:tabs>
                <w:tab w:val="clear" w:pos="720"/>
                <w:tab w:val="left" w:pos="-540" w:leader="none"/>
              </w:tabs>
              <w:spacing w:before="0" w:after="240"/>
              <w:jc w:val="left"/>
              <w:rPr>
                <w:rFonts w:ascii="Calibri" w:hAnsi="Calibri" w:cs="Calibri"/>
                <w:b/>
                <w:b/>
                <w:sz w:val="22"/>
                <w:szCs w:val="22"/>
              </w:rPr>
            </w:pPr>
            <w:r>
              <w:rPr>
                <w:rFonts w:cs="Calibri"/>
                <w:b/>
                <w:sz w:val="22"/>
                <w:szCs w:val="22"/>
              </w:rPr>
              <w:t>Απαίτηση</w:t>
            </w:r>
          </w:p>
        </w:tc>
        <w:tc>
          <w:tcPr>
            <w:tcW w:w="2629" w:type="dxa"/>
            <w:tcBorders>
              <w:top w:val="single" w:sz="4" w:space="0" w:color="000000"/>
              <w:left w:val="single" w:sz="4" w:space="0" w:color="000000"/>
              <w:bottom w:val="single" w:sz="4" w:space="0" w:color="000000"/>
              <w:right w:val="single" w:sz="4" w:space="0" w:color="000000"/>
            </w:tcBorders>
            <w:shd w:fill="F2F2F2" w:val="clear"/>
          </w:tcPr>
          <w:p>
            <w:pPr>
              <w:pStyle w:val="Style25"/>
              <w:widowControl w:val="false"/>
              <w:tabs>
                <w:tab w:val="clear" w:pos="720"/>
                <w:tab w:val="left" w:pos="-540" w:leader="none"/>
              </w:tabs>
              <w:spacing w:before="0" w:after="240"/>
              <w:jc w:val="left"/>
              <w:rPr>
                <w:rFonts w:ascii="Calibri" w:hAnsi="Calibri" w:cs="Calibri"/>
                <w:b/>
                <w:b/>
                <w:sz w:val="22"/>
                <w:szCs w:val="22"/>
              </w:rPr>
            </w:pPr>
            <w:r>
              <w:rPr>
                <w:rFonts w:cs="Calibri"/>
                <w:b/>
                <w:sz w:val="22"/>
                <w:szCs w:val="22"/>
              </w:rPr>
              <w:t>Παρατηρήσεις</w:t>
            </w:r>
          </w:p>
        </w:tc>
      </w:tr>
      <w:tr>
        <w:trPr/>
        <w:tc>
          <w:tcPr>
            <w:tcW w:w="2434" w:type="dxa"/>
            <w:tcBorders>
              <w:top w:val="single" w:sz="4" w:space="0" w:color="000000"/>
              <w:left w:val="single" w:sz="4" w:space="0" w:color="000000"/>
              <w:bottom w:val="single" w:sz="4" w:space="0" w:color="000000"/>
            </w:tcBorders>
          </w:tcPr>
          <w:p>
            <w:pPr>
              <w:pStyle w:val="Normal"/>
              <w:widowControl w:val="false"/>
              <w:snapToGrid w:val="false"/>
              <w:spacing w:before="0" w:after="120"/>
              <w:rPr>
                <w:rFonts w:ascii="Calibri" w:hAnsi="Calibri" w:cs="Calibri"/>
                <w:sz w:val="22"/>
                <w:szCs w:val="22"/>
              </w:rPr>
            </w:pPr>
            <w:r>
              <w:rPr>
                <w:rFonts w:cs="Calibri"/>
                <w:sz w:val="22"/>
                <w:szCs w:val="22"/>
              </w:rPr>
              <w:t>Υλικό</w:t>
            </w:r>
          </w:p>
        </w:tc>
        <w:tc>
          <w:tcPr>
            <w:tcW w:w="4353" w:type="dxa"/>
            <w:tcBorders>
              <w:top w:val="single" w:sz="4" w:space="0" w:color="000000"/>
              <w:left w:val="single" w:sz="4" w:space="0" w:color="000000"/>
              <w:bottom w:val="single" w:sz="4" w:space="0" w:color="000000"/>
            </w:tcBorders>
          </w:tcPr>
          <w:p>
            <w:pPr>
              <w:pStyle w:val="Normal"/>
              <w:widowControl w:val="false"/>
              <w:snapToGrid w:val="false"/>
              <w:spacing w:before="0" w:after="120"/>
              <w:rPr>
                <w:rFonts w:ascii="Calibri" w:hAnsi="Calibri" w:cs="Calibri"/>
                <w:sz w:val="22"/>
                <w:szCs w:val="22"/>
              </w:rPr>
            </w:pPr>
            <w:r>
              <w:rPr>
                <w:rFonts w:cs="Calibri"/>
                <w:sz w:val="22"/>
                <w:szCs w:val="22"/>
              </w:rPr>
              <w:t>Πλαστικό αδιάβροχο</w:t>
            </w:r>
          </w:p>
        </w:tc>
        <w:tc>
          <w:tcPr>
            <w:tcW w:w="2629" w:type="dxa"/>
            <w:tcBorders>
              <w:top w:val="single" w:sz="4" w:space="0" w:color="000000"/>
              <w:left w:val="single" w:sz="4" w:space="0" w:color="000000"/>
              <w:bottom w:val="single" w:sz="4" w:space="0" w:color="000000"/>
              <w:right w:val="single" w:sz="4" w:space="0" w:color="000000"/>
            </w:tcBorders>
          </w:tcPr>
          <w:p>
            <w:pPr>
              <w:pStyle w:val="Style25"/>
              <w:widowControl w:val="false"/>
              <w:tabs>
                <w:tab w:val="clear" w:pos="720"/>
                <w:tab w:val="left" w:pos="-540" w:leader="none"/>
              </w:tabs>
              <w:snapToGrid w:val="false"/>
              <w:spacing w:before="0" w:after="240"/>
              <w:jc w:val="left"/>
              <w:rPr>
                <w:rFonts w:ascii="Calibri" w:hAnsi="Calibri" w:cs="Calibri"/>
                <w:sz w:val="22"/>
                <w:szCs w:val="22"/>
              </w:rPr>
            </w:pPr>
            <w:r>
              <w:rPr>
                <w:rFonts w:cs="Calibri"/>
                <w:sz w:val="22"/>
                <w:szCs w:val="22"/>
              </w:rPr>
            </w:r>
          </w:p>
        </w:tc>
      </w:tr>
      <w:tr>
        <w:trPr/>
        <w:tc>
          <w:tcPr>
            <w:tcW w:w="2434" w:type="dxa"/>
            <w:tcBorders>
              <w:left w:val="single" w:sz="4" w:space="0" w:color="000000"/>
              <w:bottom w:val="single" w:sz="4" w:space="0" w:color="000000"/>
            </w:tcBorders>
          </w:tcPr>
          <w:p>
            <w:pPr>
              <w:pStyle w:val="Normal"/>
              <w:widowControl w:val="false"/>
              <w:snapToGrid w:val="false"/>
              <w:spacing w:before="0" w:after="120"/>
              <w:rPr>
                <w:rFonts w:ascii="Calibri" w:hAnsi="Calibri" w:cs="Calibri"/>
                <w:sz w:val="22"/>
                <w:szCs w:val="22"/>
              </w:rPr>
            </w:pPr>
            <w:r>
              <w:rPr>
                <w:rFonts w:cs="Calibri"/>
                <w:sz w:val="22"/>
                <w:szCs w:val="22"/>
              </w:rPr>
              <w:t>Διαστάσεις</w:t>
            </w:r>
          </w:p>
        </w:tc>
        <w:tc>
          <w:tcPr>
            <w:tcW w:w="4353" w:type="dxa"/>
            <w:tcBorders>
              <w:left w:val="single" w:sz="4" w:space="0" w:color="000000"/>
              <w:bottom w:val="single" w:sz="4" w:space="0" w:color="000000"/>
            </w:tcBorders>
          </w:tcPr>
          <w:p>
            <w:pPr>
              <w:pStyle w:val="Normal"/>
              <w:widowControl w:val="false"/>
              <w:snapToGrid w:val="false"/>
              <w:spacing w:before="0" w:after="120"/>
              <w:rPr/>
            </w:pPr>
            <w:r>
              <w:rPr>
                <w:rFonts w:cs="Calibri"/>
                <w:sz w:val="22"/>
                <w:szCs w:val="22"/>
              </w:rPr>
              <w:t>180</w:t>
            </w:r>
            <w:r>
              <w:rPr>
                <w:rFonts w:cs="Calibri"/>
                <w:sz w:val="22"/>
                <w:szCs w:val="22"/>
                <w:lang w:val="en-US"/>
              </w:rPr>
              <w:t>x200cm</w:t>
            </w:r>
          </w:p>
        </w:tc>
        <w:tc>
          <w:tcPr>
            <w:tcW w:w="2629" w:type="dxa"/>
            <w:tcBorders>
              <w:left w:val="single" w:sz="4" w:space="0" w:color="000000"/>
              <w:bottom w:val="single" w:sz="4" w:space="0" w:color="000000"/>
              <w:right w:val="single" w:sz="4" w:space="0" w:color="000000"/>
            </w:tcBorders>
          </w:tcPr>
          <w:p>
            <w:pPr>
              <w:pStyle w:val="Style25"/>
              <w:widowControl w:val="false"/>
              <w:tabs>
                <w:tab w:val="clear" w:pos="720"/>
                <w:tab w:val="left" w:pos="-540" w:leader="none"/>
              </w:tabs>
              <w:snapToGrid w:val="false"/>
              <w:spacing w:before="0" w:after="240"/>
              <w:jc w:val="left"/>
              <w:rPr>
                <w:rFonts w:ascii="Calibri" w:hAnsi="Calibri" w:cs="Calibri"/>
                <w:sz w:val="22"/>
                <w:szCs w:val="22"/>
              </w:rPr>
            </w:pPr>
            <w:r>
              <w:rPr>
                <w:rFonts w:cs="Calibri"/>
                <w:sz w:val="22"/>
                <w:szCs w:val="22"/>
              </w:rPr>
            </w:r>
          </w:p>
        </w:tc>
      </w:tr>
      <w:tr>
        <w:trPr/>
        <w:tc>
          <w:tcPr>
            <w:tcW w:w="2434" w:type="dxa"/>
            <w:tcBorders>
              <w:left w:val="single" w:sz="4" w:space="0" w:color="000000"/>
              <w:bottom w:val="single" w:sz="4" w:space="0" w:color="000000"/>
            </w:tcBorders>
          </w:tcPr>
          <w:p>
            <w:pPr>
              <w:pStyle w:val="Normal"/>
              <w:widowControl w:val="false"/>
              <w:snapToGrid w:val="false"/>
              <w:spacing w:before="0" w:after="120"/>
              <w:rPr>
                <w:rFonts w:ascii="Calibri" w:hAnsi="Calibri" w:cs="Calibri"/>
                <w:sz w:val="22"/>
                <w:szCs w:val="22"/>
              </w:rPr>
            </w:pPr>
            <w:r>
              <w:rPr>
                <w:rFonts w:cs="Calibri"/>
                <w:sz w:val="22"/>
                <w:szCs w:val="22"/>
              </w:rPr>
              <w:t>Τύπος</w:t>
            </w:r>
          </w:p>
        </w:tc>
        <w:tc>
          <w:tcPr>
            <w:tcW w:w="4353" w:type="dxa"/>
            <w:tcBorders>
              <w:left w:val="single" w:sz="4" w:space="0" w:color="000000"/>
              <w:bottom w:val="single" w:sz="4" w:space="0" w:color="000000"/>
            </w:tcBorders>
          </w:tcPr>
          <w:p>
            <w:pPr>
              <w:pStyle w:val="Normal"/>
              <w:widowControl w:val="false"/>
              <w:snapToGrid w:val="false"/>
              <w:spacing w:before="0" w:after="120"/>
              <w:rPr>
                <w:rFonts w:ascii="Calibri" w:hAnsi="Calibri" w:cs="Calibri"/>
                <w:sz w:val="22"/>
                <w:szCs w:val="22"/>
              </w:rPr>
            </w:pPr>
            <w:r>
              <w:rPr>
                <w:rFonts w:cs="Calibri"/>
                <w:sz w:val="22"/>
                <w:szCs w:val="22"/>
              </w:rPr>
              <w:t>Με κρίκους</w:t>
            </w:r>
          </w:p>
        </w:tc>
        <w:tc>
          <w:tcPr>
            <w:tcW w:w="2629" w:type="dxa"/>
            <w:tcBorders>
              <w:left w:val="single" w:sz="4" w:space="0" w:color="000000"/>
              <w:bottom w:val="single" w:sz="4" w:space="0" w:color="000000"/>
              <w:right w:val="single" w:sz="4" w:space="0" w:color="000000"/>
            </w:tcBorders>
          </w:tcPr>
          <w:p>
            <w:pPr>
              <w:pStyle w:val="Style25"/>
              <w:widowControl w:val="false"/>
              <w:tabs>
                <w:tab w:val="clear" w:pos="720"/>
                <w:tab w:val="left" w:pos="-540" w:leader="none"/>
              </w:tabs>
              <w:snapToGrid w:val="false"/>
              <w:spacing w:before="0" w:after="240"/>
              <w:jc w:val="left"/>
              <w:rPr>
                <w:rFonts w:ascii="Calibri" w:hAnsi="Calibri" w:cs="Calibri"/>
                <w:sz w:val="22"/>
                <w:szCs w:val="22"/>
              </w:rPr>
            </w:pPr>
            <w:r>
              <w:rPr>
                <w:rFonts w:cs="Calibri"/>
                <w:sz w:val="22"/>
                <w:szCs w:val="22"/>
              </w:rPr>
              <w:t>Να περιλαμβάνονται</w:t>
            </w:r>
          </w:p>
        </w:tc>
      </w:tr>
    </w:tbl>
    <w:p>
      <w:pPr>
        <w:pStyle w:val="Normal"/>
        <w:tabs>
          <w:tab w:val="clear" w:pos="720"/>
          <w:tab w:val="left" w:pos="4095" w:leader="none"/>
        </w:tabs>
        <w:ind w:left="1077" w:hanging="0"/>
        <w:rPr>
          <w:rFonts w:ascii="Calibri" w:hAnsi="Calibri" w:cs="Calibri"/>
          <w:sz w:val="22"/>
          <w:szCs w:val="22"/>
        </w:rPr>
      </w:pPr>
      <w:r>
        <w:rPr>
          <w:rFonts w:cs="Calibri"/>
          <w:sz w:val="22"/>
          <w:szCs w:val="22"/>
        </w:rPr>
      </w:r>
    </w:p>
    <w:p>
      <w:pPr>
        <w:pStyle w:val="Normal"/>
        <w:tabs>
          <w:tab w:val="clear" w:pos="720"/>
          <w:tab w:val="left" w:pos="4800" w:leader="none"/>
        </w:tabs>
        <w:ind w:left="1077" w:hanging="0"/>
        <w:rPr>
          <w:rFonts w:ascii="Calibri" w:hAnsi="Calibri" w:cs="Calibri"/>
          <w:b/>
          <w:b/>
          <w:bCs/>
          <w:sz w:val="22"/>
          <w:szCs w:val="22"/>
        </w:rPr>
      </w:pPr>
      <w:r>
        <w:rPr>
          <w:rFonts w:cs="Calibri"/>
          <w:b/>
          <w:bCs/>
          <w:sz w:val="22"/>
          <w:szCs w:val="22"/>
        </w:rPr>
        <w:t>60. Κουρτινόξυλο μπάνιου</w:t>
      </w:r>
    </w:p>
    <w:tbl>
      <w:tblPr>
        <w:tblW w:w="9416" w:type="dxa"/>
        <w:jc w:val="left"/>
        <w:tblInd w:w="-65" w:type="dxa"/>
        <w:tblLayout w:type="fixed"/>
        <w:tblCellMar>
          <w:top w:w="0" w:type="dxa"/>
          <w:left w:w="108" w:type="dxa"/>
          <w:bottom w:w="0" w:type="dxa"/>
          <w:right w:w="108" w:type="dxa"/>
        </w:tblCellMar>
      </w:tblPr>
      <w:tblGrid>
        <w:gridCol w:w="2434"/>
        <w:gridCol w:w="4353"/>
        <w:gridCol w:w="2629"/>
      </w:tblGrid>
      <w:tr>
        <w:trPr/>
        <w:tc>
          <w:tcPr>
            <w:tcW w:w="2434" w:type="dxa"/>
            <w:tcBorders>
              <w:top w:val="single" w:sz="4" w:space="0" w:color="000000"/>
              <w:left w:val="single" w:sz="4" w:space="0" w:color="000000"/>
              <w:bottom w:val="single" w:sz="4" w:space="0" w:color="000000"/>
            </w:tcBorders>
            <w:shd w:fill="F2F2F2" w:val="clear"/>
          </w:tcPr>
          <w:p>
            <w:pPr>
              <w:pStyle w:val="Style25"/>
              <w:widowControl w:val="false"/>
              <w:tabs>
                <w:tab w:val="clear" w:pos="720"/>
                <w:tab w:val="left" w:pos="-540" w:leader="none"/>
              </w:tabs>
              <w:spacing w:before="0" w:after="240"/>
              <w:jc w:val="left"/>
              <w:rPr>
                <w:rFonts w:ascii="Calibri" w:hAnsi="Calibri" w:cs="Calibri"/>
                <w:b/>
                <w:b/>
                <w:sz w:val="22"/>
                <w:szCs w:val="22"/>
              </w:rPr>
            </w:pPr>
            <w:r>
              <w:rPr>
                <w:rFonts w:cs="Calibri"/>
                <w:b/>
                <w:sz w:val="22"/>
                <w:szCs w:val="22"/>
              </w:rPr>
              <w:t>Χαρακτηριστικό</w:t>
            </w:r>
          </w:p>
        </w:tc>
        <w:tc>
          <w:tcPr>
            <w:tcW w:w="4353" w:type="dxa"/>
            <w:tcBorders>
              <w:top w:val="single" w:sz="4" w:space="0" w:color="000000"/>
              <w:left w:val="single" w:sz="4" w:space="0" w:color="000000"/>
              <w:bottom w:val="single" w:sz="4" w:space="0" w:color="000000"/>
            </w:tcBorders>
            <w:shd w:fill="F2F2F2" w:val="clear"/>
          </w:tcPr>
          <w:p>
            <w:pPr>
              <w:pStyle w:val="Style25"/>
              <w:widowControl w:val="false"/>
              <w:tabs>
                <w:tab w:val="clear" w:pos="720"/>
                <w:tab w:val="left" w:pos="-540" w:leader="none"/>
              </w:tabs>
              <w:spacing w:before="0" w:after="240"/>
              <w:jc w:val="left"/>
              <w:rPr>
                <w:rFonts w:ascii="Calibri" w:hAnsi="Calibri" w:cs="Calibri"/>
                <w:b/>
                <w:b/>
                <w:sz w:val="22"/>
                <w:szCs w:val="22"/>
              </w:rPr>
            </w:pPr>
            <w:r>
              <w:rPr>
                <w:rFonts w:cs="Calibri"/>
                <w:b/>
                <w:sz w:val="22"/>
                <w:szCs w:val="22"/>
              </w:rPr>
              <w:t>Απαίτηση</w:t>
            </w:r>
          </w:p>
        </w:tc>
        <w:tc>
          <w:tcPr>
            <w:tcW w:w="2629" w:type="dxa"/>
            <w:tcBorders>
              <w:top w:val="single" w:sz="4" w:space="0" w:color="000000"/>
              <w:left w:val="single" w:sz="4" w:space="0" w:color="000000"/>
              <w:bottom w:val="single" w:sz="4" w:space="0" w:color="000000"/>
              <w:right w:val="single" w:sz="4" w:space="0" w:color="000000"/>
            </w:tcBorders>
            <w:shd w:fill="F2F2F2" w:val="clear"/>
          </w:tcPr>
          <w:p>
            <w:pPr>
              <w:pStyle w:val="Style25"/>
              <w:widowControl w:val="false"/>
              <w:tabs>
                <w:tab w:val="clear" w:pos="720"/>
                <w:tab w:val="left" w:pos="-540" w:leader="none"/>
              </w:tabs>
              <w:spacing w:before="0" w:after="240"/>
              <w:jc w:val="left"/>
              <w:rPr>
                <w:rFonts w:ascii="Calibri" w:hAnsi="Calibri" w:cs="Calibri"/>
                <w:b/>
                <w:b/>
                <w:sz w:val="22"/>
                <w:szCs w:val="22"/>
              </w:rPr>
            </w:pPr>
            <w:r>
              <w:rPr>
                <w:rFonts w:cs="Calibri"/>
                <w:b/>
                <w:sz w:val="22"/>
                <w:szCs w:val="22"/>
              </w:rPr>
              <w:t>Παρατηρήσεις</w:t>
            </w:r>
          </w:p>
        </w:tc>
      </w:tr>
      <w:tr>
        <w:trPr/>
        <w:tc>
          <w:tcPr>
            <w:tcW w:w="2434" w:type="dxa"/>
            <w:tcBorders>
              <w:top w:val="single" w:sz="4" w:space="0" w:color="000000"/>
              <w:left w:val="single" w:sz="4" w:space="0" w:color="000000"/>
              <w:bottom w:val="single" w:sz="4" w:space="0" w:color="000000"/>
            </w:tcBorders>
          </w:tcPr>
          <w:p>
            <w:pPr>
              <w:pStyle w:val="Normal"/>
              <w:widowControl w:val="false"/>
              <w:snapToGrid w:val="false"/>
              <w:spacing w:before="0" w:after="120"/>
              <w:rPr>
                <w:rFonts w:ascii="Calibri" w:hAnsi="Calibri" w:cs="Calibri"/>
                <w:sz w:val="22"/>
                <w:szCs w:val="22"/>
              </w:rPr>
            </w:pPr>
            <w:r>
              <w:rPr>
                <w:rFonts w:cs="Calibri"/>
                <w:sz w:val="22"/>
                <w:szCs w:val="22"/>
              </w:rPr>
              <w:t>Είδος</w:t>
            </w:r>
          </w:p>
        </w:tc>
        <w:tc>
          <w:tcPr>
            <w:tcW w:w="4353" w:type="dxa"/>
            <w:tcBorders>
              <w:top w:val="single" w:sz="4" w:space="0" w:color="000000"/>
              <w:left w:val="single" w:sz="4" w:space="0" w:color="000000"/>
              <w:bottom w:val="single" w:sz="4" w:space="0" w:color="000000"/>
            </w:tcBorders>
          </w:tcPr>
          <w:p>
            <w:pPr>
              <w:pStyle w:val="Normal"/>
              <w:widowControl w:val="false"/>
              <w:snapToGrid w:val="false"/>
              <w:spacing w:before="0" w:after="120"/>
              <w:rPr>
                <w:rFonts w:ascii="Calibri" w:hAnsi="Calibri" w:cs="Calibri"/>
                <w:sz w:val="22"/>
                <w:szCs w:val="22"/>
              </w:rPr>
            </w:pPr>
            <w:r>
              <w:rPr>
                <w:rFonts w:cs="Calibri"/>
                <w:sz w:val="22"/>
                <w:szCs w:val="22"/>
              </w:rPr>
              <w:t>Πτυσσόμενο</w:t>
            </w:r>
          </w:p>
        </w:tc>
        <w:tc>
          <w:tcPr>
            <w:tcW w:w="2629" w:type="dxa"/>
            <w:tcBorders>
              <w:top w:val="single" w:sz="4" w:space="0" w:color="000000"/>
              <w:left w:val="single" w:sz="4" w:space="0" w:color="000000"/>
              <w:bottom w:val="single" w:sz="4" w:space="0" w:color="000000"/>
              <w:right w:val="single" w:sz="4" w:space="0" w:color="000000"/>
            </w:tcBorders>
          </w:tcPr>
          <w:p>
            <w:pPr>
              <w:pStyle w:val="Style25"/>
              <w:widowControl w:val="false"/>
              <w:tabs>
                <w:tab w:val="clear" w:pos="720"/>
                <w:tab w:val="left" w:pos="-540" w:leader="none"/>
              </w:tabs>
              <w:snapToGrid w:val="false"/>
              <w:spacing w:before="0" w:after="240"/>
              <w:jc w:val="left"/>
              <w:rPr>
                <w:rFonts w:ascii="Calibri" w:hAnsi="Calibri" w:cs="Calibri"/>
                <w:sz w:val="22"/>
                <w:szCs w:val="22"/>
              </w:rPr>
            </w:pPr>
            <w:r>
              <w:rPr>
                <w:rFonts w:cs="Calibri"/>
                <w:sz w:val="22"/>
                <w:szCs w:val="22"/>
              </w:rPr>
              <w:t>Ίσιο</w:t>
            </w:r>
          </w:p>
        </w:tc>
      </w:tr>
      <w:tr>
        <w:trPr/>
        <w:tc>
          <w:tcPr>
            <w:tcW w:w="2434" w:type="dxa"/>
            <w:tcBorders>
              <w:left w:val="single" w:sz="4" w:space="0" w:color="000000"/>
              <w:bottom w:val="single" w:sz="4" w:space="0" w:color="000000"/>
            </w:tcBorders>
          </w:tcPr>
          <w:p>
            <w:pPr>
              <w:pStyle w:val="Normal"/>
              <w:widowControl w:val="false"/>
              <w:snapToGrid w:val="false"/>
              <w:spacing w:before="0" w:after="120"/>
              <w:rPr>
                <w:rFonts w:ascii="Calibri" w:hAnsi="Calibri" w:cs="Calibri"/>
                <w:sz w:val="22"/>
                <w:szCs w:val="22"/>
              </w:rPr>
            </w:pPr>
            <w:r>
              <w:rPr>
                <w:rFonts w:cs="Calibri"/>
                <w:sz w:val="22"/>
                <w:szCs w:val="22"/>
              </w:rPr>
              <w:t>Διαστάσεις</w:t>
            </w:r>
          </w:p>
        </w:tc>
        <w:tc>
          <w:tcPr>
            <w:tcW w:w="4353" w:type="dxa"/>
            <w:tcBorders>
              <w:left w:val="single" w:sz="4" w:space="0" w:color="000000"/>
              <w:bottom w:val="single" w:sz="4" w:space="0" w:color="000000"/>
            </w:tcBorders>
          </w:tcPr>
          <w:p>
            <w:pPr>
              <w:pStyle w:val="Normal"/>
              <w:widowControl w:val="false"/>
              <w:snapToGrid w:val="false"/>
              <w:spacing w:before="0" w:after="120"/>
              <w:rPr/>
            </w:pPr>
            <w:r>
              <w:rPr>
                <w:rFonts w:cs="Calibri"/>
                <w:sz w:val="22"/>
                <w:szCs w:val="22"/>
              </w:rPr>
              <w:t>Από 110 έως 200</w:t>
            </w:r>
            <w:r>
              <w:rPr>
                <w:rFonts w:cs="Calibri"/>
                <w:sz w:val="22"/>
                <w:szCs w:val="22"/>
                <w:lang w:val="en-US"/>
              </w:rPr>
              <w:t>cm</w:t>
            </w:r>
          </w:p>
        </w:tc>
        <w:tc>
          <w:tcPr>
            <w:tcW w:w="2629" w:type="dxa"/>
            <w:tcBorders>
              <w:left w:val="single" w:sz="4" w:space="0" w:color="000000"/>
              <w:bottom w:val="single" w:sz="4" w:space="0" w:color="000000"/>
              <w:right w:val="single" w:sz="4" w:space="0" w:color="000000"/>
            </w:tcBorders>
          </w:tcPr>
          <w:p>
            <w:pPr>
              <w:pStyle w:val="Style25"/>
              <w:widowControl w:val="false"/>
              <w:tabs>
                <w:tab w:val="clear" w:pos="720"/>
                <w:tab w:val="left" w:pos="-540" w:leader="none"/>
              </w:tabs>
              <w:snapToGrid w:val="false"/>
              <w:spacing w:before="0" w:after="240"/>
              <w:jc w:val="left"/>
              <w:rPr>
                <w:rFonts w:ascii="Calibri" w:hAnsi="Calibri" w:cs="Calibri"/>
                <w:sz w:val="22"/>
                <w:szCs w:val="22"/>
              </w:rPr>
            </w:pPr>
            <w:r>
              <w:rPr>
                <w:rFonts w:cs="Calibri"/>
                <w:sz w:val="22"/>
                <w:szCs w:val="22"/>
              </w:rPr>
            </w:r>
          </w:p>
        </w:tc>
      </w:tr>
      <w:tr>
        <w:trPr/>
        <w:tc>
          <w:tcPr>
            <w:tcW w:w="2434" w:type="dxa"/>
            <w:tcBorders>
              <w:left w:val="single" w:sz="4" w:space="0" w:color="000000"/>
              <w:bottom w:val="single" w:sz="4" w:space="0" w:color="000000"/>
            </w:tcBorders>
          </w:tcPr>
          <w:p>
            <w:pPr>
              <w:pStyle w:val="Normal"/>
              <w:widowControl w:val="false"/>
              <w:snapToGrid w:val="false"/>
              <w:spacing w:before="0" w:after="120"/>
              <w:rPr>
                <w:rFonts w:ascii="Calibri" w:hAnsi="Calibri" w:cs="Calibri"/>
                <w:sz w:val="22"/>
                <w:szCs w:val="22"/>
              </w:rPr>
            </w:pPr>
            <w:r>
              <w:rPr>
                <w:rFonts w:cs="Calibri"/>
                <w:sz w:val="22"/>
                <w:szCs w:val="22"/>
              </w:rPr>
              <w:t>Υλικό</w:t>
            </w:r>
          </w:p>
        </w:tc>
        <w:tc>
          <w:tcPr>
            <w:tcW w:w="4353" w:type="dxa"/>
            <w:tcBorders>
              <w:left w:val="single" w:sz="4" w:space="0" w:color="000000"/>
              <w:bottom w:val="single" w:sz="4" w:space="0" w:color="000000"/>
            </w:tcBorders>
          </w:tcPr>
          <w:p>
            <w:pPr>
              <w:pStyle w:val="Normal"/>
              <w:widowControl w:val="false"/>
              <w:snapToGrid w:val="false"/>
              <w:spacing w:before="0" w:after="120"/>
              <w:rPr>
                <w:rFonts w:ascii="Calibri" w:hAnsi="Calibri" w:cs="Calibri"/>
                <w:sz w:val="22"/>
                <w:szCs w:val="22"/>
              </w:rPr>
            </w:pPr>
            <w:r>
              <w:rPr>
                <w:rFonts w:cs="Calibri"/>
                <w:sz w:val="22"/>
                <w:szCs w:val="22"/>
              </w:rPr>
              <w:t>Αλουμίνιο</w:t>
            </w:r>
          </w:p>
        </w:tc>
        <w:tc>
          <w:tcPr>
            <w:tcW w:w="2629" w:type="dxa"/>
            <w:tcBorders>
              <w:left w:val="single" w:sz="4" w:space="0" w:color="000000"/>
              <w:bottom w:val="single" w:sz="4" w:space="0" w:color="000000"/>
              <w:right w:val="single" w:sz="4" w:space="0" w:color="000000"/>
            </w:tcBorders>
          </w:tcPr>
          <w:p>
            <w:pPr>
              <w:pStyle w:val="Style25"/>
              <w:widowControl w:val="false"/>
              <w:tabs>
                <w:tab w:val="clear" w:pos="720"/>
                <w:tab w:val="left" w:pos="-540" w:leader="none"/>
              </w:tabs>
              <w:snapToGrid w:val="false"/>
              <w:spacing w:before="0" w:after="240"/>
              <w:jc w:val="left"/>
              <w:rPr>
                <w:rFonts w:ascii="Calibri" w:hAnsi="Calibri" w:cs="Calibri"/>
                <w:sz w:val="22"/>
                <w:szCs w:val="22"/>
              </w:rPr>
            </w:pPr>
            <w:r>
              <w:rPr>
                <w:rFonts w:cs="Calibri"/>
                <w:sz w:val="22"/>
                <w:szCs w:val="22"/>
              </w:rPr>
            </w:r>
          </w:p>
        </w:tc>
      </w:tr>
      <w:tr>
        <w:trPr/>
        <w:tc>
          <w:tcPr>
            <w:tcW w:w="2434" w:type="dxa"/>
            <w:tcBorders>
              <w:left w:val="single" w:sz="4" w:space="0" w:color="000000"/>
              <w:bottom w:val="single" w:sz="4" w:space="0" w:color="000000"/>
            </w:tcBorders>
          </w:tcPr>
          <w:p>
            <w:pPr>
              <w:pStyle w:val="Normal"/>
              <w:widowControl w:val="false"/>
              <w:snapToGrid w:val="false"/>
              <w:spacing w:before="0" w:after="120"/>
              <w:rPr>
                <w:rFonts w:ascii="Calibri" w:hAnsi="Calibri" w:cs="Calibri"/>
                <w:sz w:val="22"/>
                <w:szCs w:val="22"/>
              </w:rPr>
            </w:pPr>
            <w:r>
              <w:rPr>
                <w:rFonts w:cs="Calibri"/>
                <w:sz w:val="22"/>
                <w:szCs w:val="22"/>
              </w:rPr>
              <w:t>Χρώμα</w:t>
            </w:r>
          </w:p>
        </w:tc>
        <w:tc>
          <w:tcPr>
            <w:tcW w:w="4353" w:type="dxa"/>
            <w:tcBorders>
              <w:left w:val="single" w:sz="4" w:space="0" w:color="000000"/>
              <w:bottom w:val="single" w:sz="4" w:space="0" w:color="000000"/>
            </w:tcBorders>
          </w:tcPr>
          <w:p>
            <w:pPr>
              <w:pStyle w:val="Normal"/>
              <w:widowControl w:val="false"/>
              <w:snapToGrid w:val="false"/>
              <w:spacing w:before="0" w:after="120"/>
              <w:rPr>
                <w:rFonts w:ascii="Calibri" w:hAnsi="Calibri" w:cs="Calibri"/>
                <w:sz w:val="22"/>
                <w:szCs w:val="22"/>
              </w:rPr>
            </w:pPr>
            <w:r>
              <w:rPr>
                <w:rFonts w:cs="Calibri"/>
                <w:sz w:val="22"/>
                <w:szCs w:val="22"/>
              </w:rPr>
              <w:t>Λευκό</w:t>
            </w:r>
          </w:p>
        </w:tc>
        <w:tc>
          <w:tcPr>
            <w:tcW w:w="2629" w:type="dxa"/>
            <w:tcBorders>
              <w:left w:val="single" w:sz="4" w:space="0" w:color="000000"/>
              <w:bottom w:val="single" w:sz="4" w:space="0" w:color="000000"/>
              <w:right w:val="single" w:sz="4" w:space="0" w:color="000000"/>
            </w:tcBorders>
          </w:tcPr>
          <w:p>
            <w:pPr>
              <w:pStyle w:val="Style25"/>
              <w:widowControl w:val="false"/>
              <w:tabs>
                <w:tab w:val="clear" w:pos="720"/>
                <w:tab w:val="left" w:pos="-540" w:leader="none"/>
              </w:tabs>
              <w:snapToGrid w:val="false"/>
              <w:spacing w:before="0" w:after="240"/>
              <w:jc w:val="left"/>
              <w:rPr>
                <w:rFonts w:ascii="Calibri" w:hAnsi="Calibri" w:cs="Calibri"/>
                <w:sz w:val="22"/>
                <w:szCs w:val="22"/>
              </w:rPr>
            </w:pPr>
            <w:r>
              <w:rPr>
                <w:rFonts w:cs="Calibri"/>
                <w:sz w:val="22"/>
                <w:szCs w:val="22"/>
              </w:rPr>
            </w:r>
          </w:p>
        </w:tc>
      </w:tr>
    </w:tbl>
    <w:p>
      <w:pPr>
        <w:pStyle w:val="Normal"/>
        <w:tabs>
          <w:tab w:val="clear" w:pos="720"/>
          <w:tab w:val="left" w:pos="4095" w:leader="none"/>
        </w:tabs>
        <w:ind w:left="1077" w:hanging="0"/>
        <w:rPr>
          <w:rFonts w:ascii="Calibri" w:hAnsi="Calibri" w:cs="Calibri"/>
          <w:sz w:val="22"/>
          <w:szCs w:val="22"/>
        </w:rPr>
      </w:pPr>
      <w:r>
        <w:rPr>
          <w:rFonts w:cs="Calibri"/>
          <w:sz w:val="22"/>
          <w:szCs w:val="22"/>
        </w:rPr>
      </w:r>
    </w:p>
    <w:p>
      <w:pPr>
        <w:pStyle w:val="Normal"/>
        <w:tabs>
          <w:tab w:val="clear" w:pos="720"/>
          <w:tab w:val="left" w:pos="4800" w:leader="none"/>
        </w:tabs>
        <w:ind w:left="1077" w:hanging="0"/>
        <w:rPr>
          <w:rFonts w:ascii="Calibri" w:hAnsi="Calibri" w:cs="Calibri"/>
          <w:b/>
          <w:b/>
          <w:bCs/>
          <w:sz w:val="22"/>
          <w:szCs w:val="22"/>
        </w:rPr>
      </w:pPr>
      <w:r>
        <w:rPr>
          <w:rFonts w:cs="Calibri"/>
          <w:b/>
          <w:bCs/>
          <w:sz w:val="22"/>
          <w:szCs w:val="22"/>
        </w:rPr>
        <w:t>61. Σετ μπάνιου (καλάθι και πιγκάλ)</w:t>
      </w:r>
    </w:p>
    <w:tbl>
      <w:tblPr>
        <w:tblW w:w="9416" w:type="dxa"/>
        <w:jc w:val="left"/>
        <w:tblInd w:w="-65" w:type="dxa"/>
        <w:tblLayout w:type="fixed"/>
        <w:tblCellMar>
          <w:top w:w="0" w:type="dxa"/>
          <w:left w:w="108" w:type="dxa"/>
          <w:bottom w:w="0" w:type="dxa"/>
          <w:right w:w="108" w:type="dxa"/>
        </w:tblCellMar>
      </w:tblPr>
      <w:tblGrid>
        <w:gridCol w:w="2434"/>
        <w:gridCol w:w="4353"/>
        <w:gridCol w:w="2629"/>
      </w:tblGrid>
      <w:tr>
        <w:trPr/>
        <w:tc>
          <w:tcPr>
            <w:tcW w:w="2434" w:type="dxa"/>
            <w:tcBorders>
              <w:top w:val="single" w:sz="4" w:space="0" w:color="000000"/>
              <w:left w:val="single" w:sz="4" w:space="0" w:color="000000"/>
              <w:bottom w:val="single" w:sz="4" w:space="0" w:color="000000"/>
            </w:tcBorders>
            <w:shd w:fill="F2F2F2" w:val="clear"/>
          </w:tcPr>
          <w:p>
            <w:pPr>
              <w:pStyle w:val="Style25"/>
              <w:widowControl w:val="false"/>
              <w:tabs>
                <w:tab w:val="clear" w:pos="720"/>
                <w:tab w:val="left" w:pos="-540" w:leader="none"/>
              </w:tabs>
              <w:spacing w:before="0" w:after="240"/>
              <w:jc w:val="left"/>
              <w:rPr>
                <w:rFonts w:ascii="Calibri" w:hAnsi="Calibri" w:cs="Calibri"/>
                <w:b/>
                <w:b/>
                <w:sz w:val="22"/>
                <w:szCs w:val="22"/>
              </w:rPr>
            </w:pPr>
            <w:r>
              <w:rPr>
                <w:rFonts w:cs="Calibri"/>
                <w:b/>
                <w:sz w:val="22"/>
                <w:szCs w:val="22"/>
              </w:rPr>
              <w:t>Χαρακτηριστικό</w:t>
            </w:r>
          </w:p>
        </w:tc>
        <w:tc>
          <w:tcPr>
            <w:tcW w:w="4353" w:type="dxa"/>
            <w:tcBorders>
              <w:top w:val="single" w:sz="4" w:space="0" w:color="000000"/>
              <w:left w:val="single" w:sz="4" w:space="0" w:color="000000"/>
              <w:bottom w:val="single" w:sz="4" w:space="0" w:color="000000"/>
            </w:tcBorders>
            <w:shd w:fill="F2F2F2" w:val="clear"/>
          </w:tcPr>
          <w:p>
            <w:pPr>
              <w:pStyle w:val="Style25"/>
              <w:widowControl w:val="false"/>
              <w:tabs>
                <w:tab w:val="clear" w:pos="720"/>
                <w:tab w:val="left" w:pos="-540" w:leader="none"/>
              </w:tabs>
              <w:spacing w:before="0" w:after="240"/>
              <w:jc w:val="left"/>
              <w:rPr>
                <w:rFonts w:ascii="Calibri" w:hAnsi="Calibri" w:cs="Calibri"/>
                <w:b/>
                <w:b/>
                <w:sz w:val="22"/>
                <w:szCs w:val="22"/>
              </w:rPr>
            </w:pPr>
            <w:r>
              <w:rPr>
                <w:rFonts w:cs="Calibri"/>
                <w:b/>
                <w:sz w:val="22"/>
                <w:szCs w:val="22"/>
              </w:rPr>
              <w:t>Απαίτηση</w:t>
            </w:r>
          </w:p>
        </w:tc>
        <w:tc>
          <w:tcPr>
            <w:tcW w:w="2629" w:type="dxa"/>
            <w:tcBorders>
              <w:top w:val="single" w:sz="4" w:space="0" w:color="000000"/>
              <w:left w:val="single" w:sz="4" w:space="0" w:color="000000"/>
              <w:bottom w:val="single" w:sz="4" w:space="0" w:color="000000"/>
              <w:right w:val="single" w:sz="4" w:space="0" w:color="000000"/>
            </w:tcBorders>
            <w:shd w:fill="F2F2F2" w:val="clear"/>
          </w:tcPr>
          <w:p>
            <w:pPr>
              <w:pStyle w:val="Style25"/>
              <w:widowControl w:val="false"/>
              <w:tabs>
                <w:tab w:val="clear" w:pos="720"/>
                <w:tab w:val="left" w:pos="-540" w:leader="none"/>
              </w:tabs>
              <w:spacing w:before="0" w:after="240"/>
              <w:jc w:val="left"/>
              <w:rPr>
                <w:rFonts w:ascii="Calibri" w:hAnsi="Calibri" w:cs="Calibri"/>
                <w:b/>
                <w:b/>
                <w:sz w:val="22"/>
                <w:szCs w:val="22"/>
              </w:rPr>
            </w:pPr>
            <w:r>
              <w:rPr>
                <w:rFonts w:cs="Calibri"/>
                <w:b/>
                <w:sz w:val="22"/>
                <w:szCs w:val="22"/>
              </w:rPr>
              <w:t>Παρατηρήσεις</w:t>
            </w:r>
          </w:p>
        </w:tc>
      </w:tr>
      <w:tr>
        <w:trPr/>
        <w:tc>
          <w:tcPr>
            <w:tcW w:w="2434" w:type="dxa"/>
            <w:tcBorders>
              <w:top w:val="single" w:sz="4" w:space="0" w:color="000000"/>
              <w:left w:val="single" w:sz="4" w:space="0" w:color="000000"/>
              <w:bottom w:val="single" w:sz="4" w:space="0" w:color="000000"/>
            </w:tcBorders>
          </w:tcPr>
          <w:p>
            <w:pPr>
              <w:pStyle w:val="Normal"/>
              <w:widowControl w:val="false"/>
              <w:snapToGrid w:val="false"/>
              <w:spacing w:before="0" w:after="120"/>
              <w:rPr>
                <w:rFonts w:ascii="Calibri" w:hAnsi="Calibri" w:cs="Calibri"/>
                <w:sz w:val="22"/>
                <w:szCs w:val="22"/>
              </w:rPr>
            </w:pPr>
            <w:r>
              <w:rPr>
                <w:rFonts w:cs="Calibri"/>
                <w:sz w:val="22"/>
                <w:szCs w:val="22"/>
              </w:rPr>
              <w:t>Πιγκάλ</w:t>
            </w:r>
          </w:p>
        </w:tc>
        <w:tc>
          <w:tcPr>
            <w:tcW w:w="4353" w:type="dxa"/>
            <w:tcBorders>
              <w:top w:val="single" w:sz="4" w:space="0" w:color="000000"/>
              <w:left w:val="single" w:sz="4" w:space="0" w:color="000000"/>
              <w:bottom w:val="single" w:sz="4" w:space="0" w:color="000000"/>
            </w:tcBorders>
          </w:tcPr>
          <w:p>
            <w:pPr>
              <w:pStyle w:val="Normal"/>
              <w:widowControl w:val="false"/>
              <w:snapToGrid w:val="false"/>
              <w:spacing w:before="0" w:after="120"/>
              <w:rPr>
                <w:rFonts w:ascii="Calibri" w:hAnsi="Calibri" w:cs="Calibri"/>
                <w:sz w:val="22"/>
                <w:szCs w:val="22"/>
              </w:rPr>
            </w:pPr>
            <w:r>
              <w:rPr>
                <w:rFonts w:cs="Calibri"/>
                <w:sz w:val="22"/>
                <w:szCs w:val="22"/>
              </w:rPr>
              <w:t>1</w:t>
            </w:r>
          </w:p>
        </w:tc>
        <w:tc>
          <w:tcPr>
            <w:tcW w:w="2629" w:type="dxa"/>
            <w:tcBorders>
              <w:top w:val="single" w:sz="4" w:space="0" w:color="000000"/>
              <w:left w:val="single" w:sz="4" w:space="0" w:color="000000"/>
              <w:bottom w:val="single" w:sz="4" w:space="0" w:color="000000"/>
              <w:right w:val="single" w:sz="4" w:space="0" w:color="000000"/>
            </w:tcBorders>
          </w:tcPr>
          <w:p>
            <w:pPr>
              <w:pStyle w:val="Style25"/>
              <w:widowControl w:val="false"/>
              <w:tabs>
                <w:tab w:val="clear" w:pos="720"/>
                <w:tab w:val="left" w:pos="-540" w:leader="none"/>
              </w:tabs>
              <w:snapToGrid w:val="false"/>
              <w:spacing w:before="0" w:after="240"/>
              <w:jc w:val="left"/>
              <w:rPr>
                <w:rFonts w:ascii="Calibri" w:hAnsi="Calibri" w:cs="Calibri"/>
                <w:sz w:val="22"/>
                <w:szCs w:val="22"/>
              </w:rPr>
            </w:pPr>
            <w:r>
              <w:rPr>
                <w:rFonts w:cs="Calibri"/>
                <w:sz w:val="22"/>
                <w:szCs w:val="22"/>
              </w:rPr>
            </w:r>
          </w:p>
        </w:tc>
      </w:tr>
      <w:tr>
        <w:trPr/>
        <w:tc>
          <w:tcPr>
            <w:tcW w:w="2434" w:type="dxa"/>
            <w:tcBorders>
              <w:left w:val="single" w:sz="4" w:space="0" w:color="000000"/>
              <w:bottom w:val="single" w:sz="4" w:space="0" w:color="000000"/>
            </w:tcBorders>
          </w:tcPr>
          <w:p>
            <w:pPr>
              <w:pStyle w:val="Normal"/>
              <w:widowControl w:val="false"/>
              <w:snapToGrid w:val="false"/>
              <w:spacing w:before="0" w:after="120"/>
              <w:rPr>
                <w:rFonts w:ascii="Calibri" w:hAnsi="Calibri" w:cs="Calibri"/>
                <w:sz w:val="22"/>
                <w:szCs w:val="22"/>
              </w:rPr>
            </w:pPr>
            <w:r>
              <w:rPr>
                <w:rFonts w:cs="Calibri"/>
                <w:sz w:val="22"/>
                <w:szCs w:val="22"/>
              </w:rPr>
              <w:t>Καλάθι απορριμάτων</w:t>
            </w:r>
          </w:p>
        </w:tc>
        <w:tc>
          <w:tcPr>
            <w:tcW w:w="4353" w:type="dxa"/>
            <w:tcBorders>
              <w:left w:val="single" w:sz="4" w:space="0" w:color="000000"/>
              <w:bottom w:val="single" w:sz="4" w:space="0" w:color="000000"/>
            </w:tcBorders>
          </w:tcPr>
          <w:p>
            <w:pPr>
              <w:pStyle w:val="Normal"/>
              <w:widowControl w:val="false"/>
              <w:snapToGrid w:val="false"/>
              <w:spacing w:before="0" w:after="120"/>
              <w:rPr>
                <w:rFonts w:ascii="Calibri" w:hAnsi="Calibri" w:cs="Calibri"/>
                <w:sz w:val="22"/>
                <w:szCs w:val="22"/>
              </w:rPr>
            </w:pPr>
            <w:r>
              <w:rPr>
                <w:rFonts w:cs="Calibri"/>
                <w:sz w:val="22"/>
                <w:szCs w:val="22"/>
              </w:rPr>
              <w:t>1</w:t>
            </w:r>
          </w:p>
        </w:tc>
        <w:tc>
          <w:tcPr>
            <w:tcW w:w="2629" w:type="dxa"/>
            <w:tcBorders>
              <w:left w:val="single" w:sz="4" w:space="0" w:color="000000"/>
              <w:bottom w:val="single" w:sz="4" w:space="0" w:color="000000"/>
              <w:right w:val="single" w:sz="4" w:space="0" w:color="000000"/>
            </w:tcBorders>
          </w:tcPr>
          <w:p>
            <w:pPr>
              <w:pStyle w:val="Style25"/>
              <w:widowControl w:val="false"/>
              <w:tabs>
                <w:tab w:val="clear" w:pos="720"/>
                <w:tab w:val="left" w:pos="-540" w:leader="none"/>
              </w:tabs>
              <w:snapToGrid w:val="false"/>
              <w:spacing w:before="0" w:after="240"/>
              <w:jc w:val="left"/>
              <w:rPr>
                <w:rFonts w:ascii="Calibri" w:hAnsi="Calibri" w:cs="Calibri"/>
                <w:sz w:val="22"/>
                <w:szCs w:val="22"/>
              </w:rPr>
            </w:pPr>
            <w:r>
              <w:rPr>
                <w:rFonts w:cs="Calibri"/>
                <w:sz w:val="22"/>
                <w:szCs w:val="22"/>
              </w:rPr>
            </w:r>
          </w:p>
        </w:tc>
      </w:tr>
      <w:tr>
        <w:trPr/>
        <w:tc>
          <w:tcPr>
            <w:tcW w:w="2434" w:type="dxa"/>
            <w:tcBorders>
              <w:left w:val="single" w:sz="4" w:space="0" w:color="000000"/>
              <w:bottom w:val="single" w:sz="4" w:space="0" w:color="000000"/>
            </w:tcBorders>
          </w:tcPr>
          <w:p>
            <w:pPr>
              <w:pStyle w:val="Normal"/>
              <w:widowControl w:val="false"/>
              <w:snapToGrid w:val="false"/>
              <w:spacing w:before="0" w:after="120"/>
              <w:rPr>
                <w:rFonts w:ascii="Calibri" w:hAnsi="Calibri" w:cs="Calibri"/>
                <w:sz w:val="22"/>
                <w:szCs w:val="22"/>
              </w:rPr>
            </w:pPr>
            <w:r>
              <w:rPr>
                <w:rFonts w:cs="Calibri"/>
                <w:sz w:val="22"/>
                <w:szCs w:val="22"/>
              </w:rPr>
              <w:t>Άνοιγμα καλαθιού</w:t>
            </w:r>
          </w:p>
        </w:tc>
        <w:tc>
          <w:tcPr>
            <w:tcW w:w="4353" w:type="dxa"/>
            <w:tcBorders>
              <w:left w:val="single" w:sz="4" w:space="0" w:color="000000"/>
              <w:bottom w:val="single" w:sz="4" w:space="0" w:color="000000"/>
            </w:tcBorders>
          </w:tcPr>
          <w:p>
            <w:pPr>
              <w:pStyle w:val="Normal"/>
              <w:widowControl w:val="false"/>
              <w:snapToGrid w:val="false"/>
              <w:spacing w:before="0" w:after="120"/>
              <w:rPr>
                <w:rFonts w:ascii="Calibri" w:hAnsi="Calibri" w:cs="Calibri"/>
                <w:sz w:val="22"/>
                <w:szCs w:val="22"/>
              </w:rPr>
            </w:pPr>
            <w:r>
              <w:rPr>
                <w:rFonts w:cs="Calibri"/>
                <w:sz w:val="22"/>
                <w:szCs w:val="22"/>
              </w:rPr>
              <w:t>Με πεντάλ</w:t>
            </w:r>
          </w:p>
        </w:tc>
        <w:tc>
          <w:tcPr>
            <w:tcW w:w="2629" w:type="dxa"/>
            <w:tcBorders>
              <w:left w:val="single" w:sz="4" w:space="0" w:color="000000"/>
              <w:bottom w:val="single" w:sz="4" w:space="0" w:color="000000"/>
              <w:right w:val="single" w:sz="4" w:space="0" w:color="000000"/>
            </w:tcBorders>
          </w:tcPr>
          <w:p>
            <w:pPr>
              <w:pStyle w:val="Style25"/>
              <w:widowControl w:val="false"/>
              <w:tabs>
                <w:tab w:val="clear" w:pos="720"/>
                <w:tab w:val="left" w:pos="-540" w:leader="none"/>
              </w:tabs>
              <w:snapToGrid w:val="false"/>
              <w:spacing w:before="0" w:after="240"/>
              <w:jc w:val="left"/>
              <w:rPr>
                <w:rFonts w:ascii="Calibri" w:hAnsi="Calibri" w:cs="Calibri"/>
                <w:sz w:val="22"/>
                <w:szCs w:val="22"/>
              </w:rPr>
            </w:pPr>
            <w:r>
              <w:rPr>
                <w:rFonts w:cs="Calibri"/>
                <w:sz w:val="22"/>
                <w:szCs w:val="22"/>
              </w:rPr>
            </w:r>
          </w:p>
        </w:tc>
      </w:tr>
      <w:tr>
        <w:trPr/>
        <w:tc>
          <w:tcPr>
            <w:tcW w:w="2434" w:type="dxa"/>
            <w:tcBorders>
              <w:left w:val="single" w:sz="4" w:space="0" w:color="000000"/>
              <w:bottom w:val="single" w:sz="4" w:space="0" w:color="000000"/>
            </w:tcBorders>
          </w:tcPr>
          <w:p>
            <w:pPr>
              <w:pStyle w:val="Normal"/>
              <w:widowControl w:val="false"/>
              <w:snapToGrid w:val="false"/>
              <w:spacing w:before="0" w:after="120"/>
              <w:rPr>
                <w:rFonts w:ascii="Calibri" w:hAnsi="Calibri" w:cs="Calibri"/>
                <w:sz w:val="22"/>
                <w:szCs w:val="22"/>
              </w:rPr>
            </w:pPr>
            <w:r>
              <w:rPr>
                <w:rFonts w:cs="Calibri"/>
                <w:sz w:val="22"/>
                <w:szCs w:val="22"/>
              </w:rPr>
              <w:t>Χωρητικότητα καλαθιού</w:t>
            </w:r>
          </w:p>
        </w:tc>
        <w:tc>
          <w:tcPr>
            <w:tcW w:w="4353" w:type="dxa"/>
            <w:tcBorders>
              <w:left w:val="single" w:sz="4" w:space="0" w:color="000000"/>
              <w:bottom w:val="single" w:sz="4" w:space="0" w:color="000000"/>
            </w:tcBorders>
          </w:tcPr>
          <w:p>
            <w:pPr>
              <w:pStyle w:val="Normal"/>
              <w:widowControl w:val="false"/>
              <w:snapToGrid w:val="false"/>
              <w:spacing w:before="0" w:after="120"/>
              <w:rPr/>
            </w:pPr>
            <w:r>
              <w:rPr>
                <w:rFonts w:cs="Calibri"/>
                <w:sz w:val="22"/>
                <w:szCs w:val="22"/>
              </w:rPr>
              <w:t>Έως 5</w:t>
            </w:r>
            <w:r>
              <w:rPr>
                <w:rFonts w:cs="Calibri"/>
                <w:sz w:val="22"/>
                <w:szCs w:val="22"/>
                <w:lang w:val="en-US"/>
              </w:rPr>
              <w:t>Lt</w:t>
            </w:r>
          </w:p>
        </w:tc>
        <w:tc>
          <w:tcPr>
            <w:tcW w:w="2629" w:type="dxa"/>
            <w:tcBorders>
              <w:left w:val="single" w:sz="4" w:space="0" w:color="000000"/>
              <w:bottom w:val="single" w:sz="4" w:space="0" w:color="000000"/>
              <w:right w:val="single" w:sz="4" w:space="0" w:color="000000"/>
            </w:tcBorders>
          </w:tcPr>
          <w:p>
            <w:pPr>
              <w:pStyle w:val="Style25"/>
              <w:widowControl w:val="false"/>
              <w:tabs>
                <w:tab w:val="clear" w:pos="720"/>
                <w:tab w:val="left" w:pos="-540" w:leader="none"/>
              </w:tabs>
              <w:snapToGrid w:val="false"/>
              <w:spacing w:before="0" w:after="240"/>
              <w:jc w:val="left"/>
              <w:rPr>
                <w:rFonts w:ascii="Calibri" w:hAnsi="Calibri" w:cs="Calibri"/>
                <w:sz w:val="22"/>
                <w:szCs w:val="22"/>
              </w:rPr>
            </w:pPr>
            <w:r>
              <w:rPr>
                <w:rFonts w:cs="Calibri"/>
                <w:sz w:val="22"/>
                <w:szCs w:val="22"/>
              </w:rPr>
            </w:r>
          </w:p>
        </w:tc>
      </w:tr>
      <w:tr>
        <w:trPr/>
        <w:tc>
          <w:tcPr>
            <w:tcW w:w="2434" w:type="dxa"/>
            <w:tcBorders>
              <w:left w:val="single" w:sz="4" w:space="0" w:color="000000"/>
              <w:bottom w:val="single" w:sz="4" w:space="0" w:color="000000"/>
            </w:tcBorders>
          </w:tcPr>
          <w:p>
            <w:pPr>
              <w:pStyle w:val="Normal"/>
              <w:widowControl w:val="false"/>
              <w:snapToGrid w:val="false"/>
              <w:spacing w:before="0" w:after="120"/>
              <w:rPr>
                <w:rFonts w:ascii="Calibri" w:hAnsi="Calibri" w:cs="Calibri"/>
                <w:sz w:val="22"/>
                <w:szCs w:val="22"/>
              </w:rPr>
            </w:pPr>
            <w:r>
              <w:rPr>
                <w:rFonts w:cs="Calibri"/>
                <w:sz w:val="22"/>
                <w:szCs w:val="22"/>
              </w:rPr>
              <w:t>Υλικό</w:t>
            </w:r>
          </w:p>
        </w:tc>
        <w:tc>
          <w:tcPr>
            <w:tcW w:w="4353" w:type="dxa"/>
            <w:tcBorders>
              <w:left w:val="single" w:sz="4" w:space="0" w:color="000000"/>
              <w:bottom w:val="single" w:sz="4" w:space="0" w:color="000000"/>
            </w:tcBorders>
          </w:tcPr>
          <w:p>
            <w:pPr>
              <w:pStyle w:val="Normal"/>
              <w:widowControl w:val="false"/>
              <w:snapToGrid w:val="false"/>
              <w:spacing w:before="0" w:after="120"/>
              <w:rPr>
                <w:rFonts w:ascii="Calibri" w:hAnsi="Calibri" w:cs="Calibri"/>
                <w:sz w:val="22"/>
                <w:szCs w:val="22"/>
              </w:rPr>
            </w:pPr>
            <w:r>
              <w:rPr>
                <w:rFonts w:cs="Calibri"/>
                <w:sz w:val="22"/>
                <w:szCs w:val="22"/>
              </w:rPr>
              <w:t>Ανοξείδωτο μέταλλο</w:t>
            </w:r>
          </w:p>
        </w:tc>
        <w:tc>
          <w:tcPr>
            <w:tcW w:w="2629" w:type="dxa"/>
            <w:tcBorders>
              <w:left w:val="single" w:sz="4" w:space="0" w:color="000000"/>
              <w:bottom w:val="single" w:sz="4" w:space="0" w:color="000000"/>
              <w:right w:val="single" w:sz="4" w:space="0" w:color="000000"/>
            </w:tcBorders>
          </w:tcPr>
          <w:p>
            <w:pPr>
              <w:pStyle w:val="Style25"/>
              <w:widowControl w:val="false"/>
              <w:tabs>
                <w:tab w:val="clear" w:pos="720"/>
                <w:tab w:val="left" w:pos="-540" w:leader="none"/>
              </w:tabs>
              <w:snapToGrid w:val="false"/>
              <w:spacing w:before="0" w:after="240"/>
              <w:jc w:val="left"/>
              <w:rPr>
                <w:rFonts w:ascii="Calibri" w:hAnsi="Calibri" w:cs="Calibri"/>
                <w:sz w:val="22"/>
                <w:szCs w:val="22"/>
              </w:rPr>
            </w:pPr>
            <w:r>
              <w:rPr>
                <w:rFonts w:cs="Calibri"/>
                <w:sz w:val="22"/>
                <w:szCs w:val="22"/>
              </w:rPr>
            </w:r>
          </w:p>
        </w:tc>
      </w:tr>
    </w:tbl>
    <w:p>
      <w:pPr>
        <w:pStyle w:val="Normal"/>
        <w:tabs>
          <w:tab w:val="clear" w:pos="720"/>
          <w:tab w:val="left" w:pos="4095" w:leader="none"/>
        </w:tabs>
        <w:rPr>
          <w:rFonts w:ascii="Calibri" w:hAnsi="Calibri" w:cs="Calibri"/>
          <w:sz w:val="22"/>
          <w:szCs w:val="22"/>
        </w:rPr>
      </w:pPr>
      <w:r>
        <w:rPr>
          <w:rFonts w:cs="Calibri"/>
          <w:sz w:val="22"/>
          <w:szCs w:val="22"/>
        </w:rPr>
      </w:r>
    </w:p>
    <w:p>
      <w:pPr>
        <w:pStyle w:val="Normal"/>
        <w:tabs>
          <w:tab w:val="clear" w:pos="720"/>
          <w:tab w:val="left" w:pos="4800" w:leader="none"/>
        </w:tabs>
        <w:ind w:left="1077" w:hanging="0"/>
        <w:rPr>
          <w:rFonts w:ascii="Calibri" w:hAnsi="Calibri" w:cs="Calibri"/>
          <w:b/>
          <w:b/>
          <w:bCs/>
          <w:sz w:val="22"/>
          <w:szCs w:val="22"/>
        </w:rPr>
      </w:pPr>
      <w:r>
        <w:rPr>
          <w:rFonts w:cs="Calibri"/>
          <w:b/>
          <w:bCs/>
          <w:sz w:val="22"/>
          <w:szCs w:val="22"/>
        </w:rPr>
        <w:t>62. Σετ νιπτήρα μπάνιου (4 τεμαχίων)</w:t>
      </w:r>
    </w:p>
    <w:tbl>
      <w:tblPr>
        <w:tblW w:w="9416" w:type="dxa"/>
        <w:jc w:val="left"/>
        <w:tblInd w:w="-65" w:type="dxa"/>
        <w:tblLayout w:type="fixed"/>
        <w:tblCellMar>
          <w:top w:w="0" w:type="dxa"/>
          <w:left w:w="108" w:type="dxa"/>
          <w:bottom w:w="0" w:type="dxa"/>
          <w:right w:w="108" w:type="dxa"/>
        </w:tblCellMar>
      </w:tblPr>
      <w:tblGrid>
        <w:gridCol w:w="2434"/>
        <w:gridCol w:w="4353"/>
        <w:gridCol w:w="2629"/>
      </w:tblGrid>
      <w:tr>
        <w:trPr/>
        <w:tc>
          <w:tcPr>
            <w:tcW w:w="2434" w:type="dxa"/>
            <w:tcBorders>
              <w:top w:val="single" w:sz="4" w:space="0" w:color="000000"/>
              <w:left w:val="single" w:sz="4" w:space="0" w:color="000000"/>
              <w:bottom w:val="single" w:sz="4" w:space="0" w:color="000000"/>
            </w:tcBorders>
            <w:shd w:fill="F2F2F2" w:val="clear"/>
          </w:tcPr>
          <w:p>
            <w:pPr>
              <w:pStyle w:val="Style25"/>
              <w:widowControl w:val="false"/>
              <w:tabs>
                <w:tab w:val="clear" w:pos="720"/>
                <w:tab w:val="left" w:pos="-540" w:leader="none"/>
              </w:tabs>
              <w:spacing w:before="0" w:after="240"/>
              <w:jc w:val="left"/>
              <w:rPr>
                <w:rFonts w:ascii="Calibri" w:hAnsi="Calibri" w:cs="Calibri"/>
                <w:b/>
                <w:b/>
                <w:sz w:val="22"/>
                <w:szCs w:val="22"/>
              </w:rPr>
            </w:pPr>
            <w:r>
              <w:rPr>
                <w:rFonts w:cs="Calibri"/>
                <w:b/>
                <w:sz w:val="22"/>
                <w:szCs w:val="22"/>
              </w:rPr>
              <w:t>Χαρακτηριστικό</w:t>
            </w:r>
          </w:p>
        </w:tc>
        <w:tc>
          <w:tcPr>
            <w:tcW w:w="4353" w:type="dxa"/>
            <w:tcBorders>
              <w:top w:val="single" w:sz="4" w:space="0" w:color="000000"/>
              <w:left w:val="single" w:sz="4" w:space="0" w:color="000000"/>
              <w:bottom w:val="single" w:sz="4" w:space="0" w:color="000000"/>
            </w:tcBorders>
            <w:shd w:fill="F2F2F2" w:val="clear"/>
          </w:tcPr>
          <w:p>
            <w:pPr>
              <w:pStyle w:val="Style25"/>
              <w:widowControl w:val="false"/>
              <w:tabs>
                <w:tab w:val="clear" w:pos="720"/>
                <w:tab w:val="left" w:pos="-540" w:leader="none"/>
              </w:tabs>
              <w:spacing w:before="0" w:after="240"/>
              <w:jc w:val="left"/>
              <w:rPr>
                <w:rFonts w:ascii="Calibri" w:hAnsi="Calibri" w:cs="Calibri"/>
                <w:b/>
                <w:b/>
                <w:sz w:val="22"/>
                <w:szCs w:val="22"/>
              </w:rPr>
            </w:pPr>
            <w:r>
              <w:rPr>
                <w:rFonts w:cs="Calibri"/>
                <w:b/>
                <w:sz w:val="22"/>
                <w:szCs w:val="22"/>
              </w:rPr>
              <w:t>Απαίτηση</w:t>
            </w:r>
          </w:p>
        </w:tc>
        <w:tc>
          <w:tcPr>
            <w:tcW w:w="2629" w:type="dxa"/>
            <w:tcBorders>
              <w:top w:val="single" w:sz="4" w:space="0" w:color="000000"/>
              <w:left w:val="single" w:sz="4" w:space="0" w:color="000000"/>
              <w:bottom w:val="single" w:sz="4" w:space="0" w:color="000000"/>
              <w:right w:val="single" w:sz="4" w:space="0" w:color="000000"/>
            </w:tcBorders>
            <w:shd w:fill="F2F2F2" w:val="clear"/>
          </w:tcPr>
          <w:p>
            <w:pPr>
              <w:pStyle w:val="Style25"/>
              <w:widowControl w:val="false"/>
              <w:tabs>
                <w:tab w:val="clear" w:pos="720"/>
                <w:tab w:val="left" w:pos="-540" w:leader="none"/>
              </w:tabs>
              <w:spacing w:before="0" w:after="240"/>
              <w:jc w:val="left"/>
              <w:rPr>
                <w:rFonts w:ascii="Calibri" w:hAnsi="Calibri" w:cs="Calibri"/>
                <w:b/>
                <w:b/>
                <w:sz w:val="22"/>
                <w:szCs w:val="22"/>
              </w:rPr>
            </w:pPr>
            <w:r>
              <w:rPr>
                <w:rFonts w:cs="Calibri"/>
                <w:b/>
                <w:sz w:val="22"/>
                <w:szCs w:val="22"/>
              </w:rPr>
              <w:t>Παρατηρήσεις</w:t>
            </w:r>
          </w:p>
        </w:tc>
      </w:tr>
      <w:tr>
        <w:trPr/>
        <w:tc>
          <w:tcPr>
            <w:tcW w:w="2434" w:type="dxa"/>
            <w:tcBorders>
              <w:top w:val="single" w:sz="4" w:space="0" w:color="000000"/>
              <w:left w:val="single" w:sz="4" w:space="0" w:color="000000"/>
              <w:bottom w:val="single" w:sz="4" w:space="0" w:color="000000"/>
            </w:tcBorders>
          </w:tcPr>
          <w:p>
            <w:pPr>
              <w:pStyle w:val="Normal"/>
              <w:widowControl w:val="false"/>
              <w:snapToGrid w:val="false"/>
              <w:spacing w:before="0" w:after="120"/>
              <w:rPr>
                <w:rFonts w:ascii="Calibri" w:hAnsi="Calibri" w:cs="Calibri"/>
                <w:sz w:val="22"/>
                <w:szCs w:val="22"/>
              </w:rPr>
            </w:pPr>
            <w:r>
              <w:rPr>
                <w:rFonts w:cs="Calibri"/>
                <w:sz w:val="22"/>
                <w:szCs w:val="22"/>
              </w:rPr>
              <w:t>Σαπουνοθήκη</w:t>
            </w:r>
          </w:p>
        </w:tc>
        <w:tc>
          <w:tcPr>
            <w:tcW w:w="4353" w:type="dxa"/>
            <w:tcBorders>
              <w:top w:val="single" w:sz="4" w:space="0" w:color="000000"/>
              <w:left w:val="single" w:sz="4" w:space="0" w:color="000000"/>
              <w:bottom w:val="single" w:sz="4" w:space="0" w:color="000000"/>
            </w:tcBorders>
          </w:tcPr>
          <w:p>
            <w:pPr>
              <w:pStyle w:val="Normal"/>
              <w:widowControl w:val="false"/>
              <w:snapToGrid w:val="false"/>
              <w:spacing w:before="0" w:after="120"/>
              <w:rPr>
                <w:rFonts w:ascii="Calibri" w:hAnsi="Calibri" w:cs="Calibri"/>
                <w:sz w:val="22"/>
                <w:szCs w:val="22"/>
              </w:rPr>
            </w:pPr>
            <w:r>
              <w:rPr>
                <w:rFonts w:cs="Calibri"/>
                <w:sz w:val="22"/>
                <w:szCs w:val="22"/>
              </w:rPr>
              <w:t>1</w:t>
            </w:r>
          </w:p>
        </w:tc>
        <w:tc>
          <w:tcPr>
            <w:tcW w:w="2629" w:type="dxa"/>
            <w:tcBorders>
              <w:top w:val="single" w:sz="4" w:space="0" w:color="000000"/>
              <w:left w:val="single" w:sz="4" w:space="0" w:color="000000"/>
              <w:bottom w:val="single" w:sz="4" w:space="0" w:color="000000"/>
              <w:right w:val="single" w:sz="4" w:space="0" w:color="000000"/>
            </w:tcBorders>
          </w:tcPr>
          <w:p>
            <w:pPr>
              <w:pStyle w:val="Style25"/>
              <w:widowControl w:val="false"/>
              <w:tabs>
                <w:tab w:val="clear" w:pos="720"/>
                <w:tab w:val="left" w:pos="-540" w:leader="none"/>
              </w:tabs>
              <w:snapToGrid w:val="false"/>
              <w:spacing w:before="0" w:after="240"/>
              <w:jc w:val="left"/>
              <w:rPr>
                <w:rFonts w:ascii="Calibri" w:hAnsi="Calibri" w:cs="Calibri"/>
                <w:sz w:val="22"/>
                <w:szCs w:val="22"/>
              </w:rPr>
            </w:pPr>
            <w:r>
              <w:rPr>
                <w:rFonts w:cs="Calibri"/>
                <w:sz w:val="22"/>
                <w:szCs w:val="22"/>
              </w:rPr>
            </w:r>
          </w:p>
        </w:tc>
      </w:tr>
      <w:tr>
        <w:trPr/>
        <w:tc>
          <w:tcPr>
            <w:tcW w:w="2434" w:type="dxa"/>
            <w:tcBorders>
              <w:left w:val="single" w:sz="4" w:space="0" w:color="000000"/>
              <w:bottom w:val="single" w:sz="4" w:space="0" w:color="000000"/>
            </w:tcBorders>
          </w:tcPr>
          <w:p>
            <w:pPr>
              <w:pStyle w:val="Normal"/>
              <w:widowControl w:val="false"/>
              <w:snapToGrid w:val="false"/>
              <w:spacing w:before="0" w:after="120"/>
              <w:rPr>
                <w:rFonts w:ascii="Calibri" w:hAnsi="Calibri" w:cs="Calibri"/>
                <w:sz w:val="22"/>
                <w:szCs w:val="22"/>
              </w:rPr>
            </w:pPr>
            <w:r>
              <w:rPr>
                <w:rFonts w:cs="Calibri"/>
                <w:sz w:val="22"/>
                <w:szCs w:val="22"/>
              </w:rPr>
              <w:t>Ποτηροθήκη για οδοντόβουρτσα</w:t>
            </w:r>
          </w:p>
        </w:tc>
        <w:tc>
          <w:tcPr>
            <w:tcW w:w="4353" w:type="dxa"/>
            <w:tcBorders>
              <w:left w:val="single" w:sz="4" w:space="0" w:color="000000"/>
              <w:bottom w:val="single" w:sz="4" w:space="0" w:color="000000"/>
            </w:tcBorders>
          </w:tcPr>
          <w:p>
            <w:pPr>
              <w:pStyle w:val="Normal"/>
              <w:widowControl w:val="false"/>
              <w:snapToGrid w:val="false"/>
              <w:spacing w:before="0" w:after="120"/>
              <w:rPr>
                <w:rFonts w:ascii="Calibri" w:hAnsi="Calibri" w:cs="Calibri"/>
                <w:sz w:val="22"/>
                <w:szCs w:val="22"/>
              </w:rPr>
            </w:pPr>
            <w:r>
              <w:rPr>
                <w:rFonts w:cs="Calibri"/>
                <w:sz w:val="22"/>
                <w:szCs w:val="22"/>
              </w:rPr>
              <w:t>1</w:t>
            </w:r>
          </w:p>
        </w:tc>
        <w:tc>
          <w:tcPr>
            <w:tcW w:w="2629" w:type="dxa"/>
            <w:tcBorders>
              <w:left w:val="single" w:sz="4" w:space="0" w:color="000000"/>
              <w:bottom w:val="single" w:sz="4" w:space="0" w:color="000000"/>
              <w:right w:val="single" w:sz="4" w:space="0" w:color="000000"/>
            </w:tcBorders>
          </w:tcPr>
          <w:p>
            <w:pPr>
              <w:pStyle w:val="Style25"/>
              <w:widowControl w:val="false"/>
              <w:tabs>
                <w:tab w:val="clear" w:pos="720"/>
                <w:tab w:val="left" w:pos="-540" w:leader="none"/>
              </w:tabs>
              <w:snapToGrid w:val="false"/>
              <w:spacing w:before="0" w:after="240"/>
              <w:jc w:val="left"/>
              <w:rPr>
                <w:rFonts w:ascii="Calibri" w:hAnsi="Calibri" w:cs="Calibri"/>
                <w:sz w:val="22"/>
                <w:szCs w:val="22"/>
              </w:rPr>
            </w:pPr>
            <w:r>
              <w:rPr>
                <w:rFonts w:cs="Calibri"/>
                <w:sz w:val="22"/>
                <w:szCs w:val="22"/>
              </w:rPr>
            </w:r>
          </w:p>
        </w:tc>
      </w:tr>
      <w:tr>
        <w:trPr/>
        <w:tc>
          <w:tcPr>
            <w:tcW w:w="2434" w:type="dxa"/>
            <w:tcBorders>
              <w:left w:val="single" w:sz="4" w:space="0" w:color="000000"/>
              <w:bottom w:val="single" w:sz="4" w:space="0" w:color="000000"/>
            </w:tcBorders>
          </w:tcPr>
          <w:p>
            <w:pPr>
              <w:pStyle w:val="Normal"/>
              <w:widowControl w:val="false"/>
              <w:snapToGrid w:val="false"/>
              <w:spacing w:before="0" w:after="120"/>
              <w:rPr>
                <w:rFonts w:ascii="Calibri" w:hAnsi="Calibri" w:cs="Calibri"/>
                <w:sz w:val="22"/>
                <w:szCs w:val="22"/>
              </w:rPr>
            </w:pPr>
            <w:r>
              <w:rPr>
                <w:rFonts w:cs="Calibri"/>
                <w:sz w:val="22"/>
                <w:szCs w:val="22"/>
              </w:rPr>
              <w:t>Ποτήρι γενικής χρήσης</w:t>
            </w:r>
          </w:p>
        </w:tc>
        <w:tc>
          <w:tcPr>
            <w:tcW w:w="4353" w:type="dxa"/>
            <w:tcBorders>
              <w:left w:val="single" w:sz="4" w:space="0" w:color="000000"/>
              <w:bottom w:val="single" w:sz="4" w:space="0" w:color="000000"/>
            </w:tcBorders>
          </w:tcPr>
          <w:p>
            <w:pPr>
              <w:pStyle w:val="Normal"/>
              <w:widowControl w:val="false"/>
              <w:snapToGrid w:val="false"/>
              <w:spacing w:before="0" w:after="120"/>
              <w:rPr>
                <w:rFonts w:ascii="Calibri" w:hAnsi="Calibri" w:cs="Calibri"/>
                <w:sz w:val="22"/>
                <w:szCs w:val="22"/>
              </w:rPr>
            </w:pPr>
            <w:r>
              <w:rPr>
                <w:rFonts w:cs="Calibri"/>
                <w:sz w:val="22"/>
                <w:szCs w:val="22"/>
              </w:rPr>
              <w:t>1</w:t>
            </w:r>
          </w:p>
        </w:tc>
        <w:tc>
          <w:tcPr>
            <w:tcW w:w="2629" w:type="dxa"/>
            <w:tcBorders>
              <w:left w:val="single" w:sz="4" w:space="0" w:color="000000"/>
              <w:bottom w:val="single" w:sz="4" w:space="0" w:color="000000"/>
              <w:right w:val="single" w:sz="4" w:space="0" w:color="000000"/>
            </w:tcBorders>
          </w:tcPr>
          <w:p>
            <w:pPr>
              <w:pStyle w:val="Style25"/>
              <w:widowControl w:val="false"/>
              <w:tabs>
                <w:tab w:val="clear" w:pos="720"/>
                <w:tab w:val="left" w:pos="-540" w:leader="none"/>
              </w:tabs>
              <w:snapToGrid w:val="false"/>
              <w:spacing w:before="0" w:after="240"/>
              <w:jc w:val="left"/>
              <w:rPr>
                <w:rFonts w:ascii="Calibri" w:hAnsi="Calibri" w:cs="Calibri"/>
                <w:sz w:val="22"/>
                <w:szCs w:val="22"/>
              </w:rPr>
            </w:pPr>
            <w:r>
              <w:rPr>
                <w:rFonts w:cs="Calibri"/>
                <w:sz w:val="22"/>
                <w:szCs w:val="22"/>
              </w:rPr>
            </w:r>
          </w:p>
        </w:tc>
      </w:tr>
      <w:tr>
        <w:trPr/>
        <w:tc>
          <w:tcPr>
            <w:tcW w:w="2434" w:type="dxa"/>
            <w:tcBorders>
              <w:left w:val="single" w:sz="4" w:space="0" w:color="000000"/>
              <w:bottom w:val="single" w:sz="4" w:space="0" w:color="000000"/>
            </w:tcBorders>
          </w:tcPr>
          <w:p>
            <w:pPr>
              <w:pStyle w:val="Normal"/>
              <w:widowControl w:val="false"/>
              <w:snapToGrid w:val="false"/>
              <w:spacing w:before="0" w:after="120"/>
              <w:rPr/>
            </w:pPr>
            <w:r>
              <w:rPr>
                <w:rFonts w:cs="Calibri"/>
                <w:sz w:val="22"/>
                <w:szCs w:val="22"/>
                <w:lang w:val="en-US"/>
              </w:rPr>
              <w:t xml:space="preserve">Dispencer </w:t>
            </w:r>
            <w:r>
              <w:rPr>
                <w:rFonts w:cs="Calibri"/>
                <w:sz w:val="22"/>
                <w:szCs w:val="22"/>
              </w:rPr>
              <w:t>υγρού σαπουνιού</w:t>
            </w:r>
          </w:p>
        </w:tc>
        <w:tc>
          <w:tcPr>
            <w:tcW w:w="4353" w:type="dxa"/>
            <w:tcBorders>
              <w:left w:val="single" w:sz="4" w:space="0" w:color="000000"/>
              <w:bottom w:val="single" w:sz="4" w:space="0" w:color="000000"/>
            </w:tcBorders>
          </w:tcPr>
          <w:p>
            <w:pPr>
              <w:pStyle w:val="Normal"/>
              <w:widowControl w:val="false"/>
              <w:snapToGrid w:val="false"/>
              <w:spacing w:before="0" w:after="120"/>
              <w:rPr>
                <w:rFonts w:ascii="Calibri" w:hAnsi="Calibri" w:cs="Calibri"/>
                <w:sz w:val="22"/>
                <w:szCs w:val="22"/>
              </w:rPr>
            </w:pPr>
            <w:r>
              <w:rPr>
                <w:rFonts w:cs="Calibri"/>
                <w:sz w:val="22"/>
                <w:szCs w:val="22"/>
              </w:rPr>
              <w:t>1</w:t>
            </w:r>
          </w:p>
        </w:tc>
        <w:tc>
          <w:tcPr>
            <w:tcW w:w="2629" w:type="dxa"/>
            <w:tcBorders>
              <w:left w:val="single" w:sz="4" w:space="0" w:color="000000"/>
              <w:bottom w:val="single" w:sz="4" w:space="0" w:color="000000"/>
              <w:right w:val="single" w:sz="4" w:space="0" w:color="000000"/>
            </w:tcBorders>
          </w:tcPr>
          <w:p>
            <w:pPr>
              <w:pStyle w:val="Style25"/>
              <w:widowControl w:val="false"/>
              <w:tabs>
                <w:tab w:val="clear" w:pos="720"/>
                <w:tab w:val="left" w:pos="-540" w:leader="none"/>
              </w:tabs>
              <w:snapToGrid w:val="false"/>
              <w:spacing w:before="0" w:after="240"/>
              <w:jc w:val="left"/>
              <w:rPr>
                <w:rFonts w:ascii="Calibri" w:hAnsi="Calibri" w:cs="Calibri"/>
                <w:sz w:val="22"/>
                <w:szCs w:val="22"/>
              </w:rPr>
            </w:pPr>
            <w:r>
              <w:rPr>
                <w:rFonts w:cs="Calibri"/>
                <w:sz w:val="22"/>
                <w:szCs w:val="22"/>
              </w:rPr>
            </w:r>
          </w:p>
        </w:tc>
      </w:tr>
      <w:tr>
        <w:trPr/>
        <w:tc>
          <w:tcPr>
            <w:tcW w:w="2434" w:type="dxa"/>
            <w:tcBorders>
              <w:left w:val="single" w:sz="4" w:space="0" w:color="000000"/>
              <w:bottom w:val="single" w:sz="4" w:space="0" w:color="000000"/>
            </w:tcBorders>
          </w:tcPr>
          <w:p>
            <w:pPr>
              <w:pStyle w:val="Normal"/>
              <w:widowControl w:val="false"/>
              <w:snapToGrid w:val="false"/>
              <w:spacing w:before="0" w:after="120"/>
              <w:rPr>
                <w:rFonts w:ascii="Calibri" w:hAnsi="Calibri" w:cs="Calibri"/>
                <w:sz w:val="22"/>
                <w:szCs w:val="22"/>
              </w:rPr>
            </w:pPr>
            <w:r>
              <w:rPr>
                <w:rFonts w:cs="Calibri"/>
                <w:sz w:val="22"/>
                <w:szCs w:val="22"/>
              </w:rPr>
              <w:t>Υλικό</w:t>
            </w:r>
          </w:p>
        </w:tc>
        <w:tc>
          <w:tcPr>
            <w:tcW w:w="4353" w:type="dxa"/>
            <w:tcBorders>
              <w:left w:val="single" w:sz="4" w:space="0" w:color="000000"/>
              <w:bottom w:val="single" w:sz="4" w:space="0" w:color="000000"/>
            </w:tcBorders>
          </w:tcPr>
          <w:p>
            <w:pPr>
              <w:pStyle w:val="Normal"/>
              <w:widowControl w:val="false"/>
              <w:snapToGrid w:val="false"/>
              <w:spacing w:before="0" w:after="120"/>
              <w:rPr>
                <w:rFonts w:ascii="Calibri" w:hAnsi="Calibri" w:cs="Calibri"/>
                <w:sz w:val="22"/>
                <w:szCs w:val="22"/>
              </w:rPr>
            </w:pPr>
            <w:r>
              <w:rPr>
                <w:rFonts w:cs="Calibri"/>
                <w:sz w:val="22"/>
                <w:szCs w:val="22"/>
              </w:rPr>
              <w:t>Πλαστικό</w:t>
            </w:r>
          </w:p>
        </w:tc>
        <w:tc>
          <w:tcPr>
            <w:tcW w:w="2629" w:type="dxa"/>
            <w:tcBorders>
              <w:left w:val="single" w:sz="4" w:space="0" w:color="000000"/>
              <w:bottom w:val="single" w:sz="4" w:space="0" w:color="000000"/>
              <w:right w:val="single" w:sz="4" w:space="0" w:color="000000"/>
            </w:tcBorders>
          </w:tcPr>
          <w:p>
            <w:pPr>
              <w:pStyle w:val="Style25"/>
              <w:widowControl w:val="false"/>
              <w:tabs>
                <w:tab w:val="clear" w:pos="720"/>
                <w:tab w:val="left" w:pos="-540" w:leader="none"/>
              </w:tabs>
              <w:snapToGrid w:val="false"/>
              <w:spacing w:before="0" w:after="240"/>
              <w:jc w:val="left"/>
              <w:rPr>
                <w:rFonts w:ascii="Calibri" w:hAnsi="Calibri" w:cs="Calibri"/>
                <w:sz w:val="22"/>
                <w:szCs w:val="22"/>
              </w:rPr>
            </w:pPr>
            <w:r>
              <w:rPr>
                <w:rFonts w:cs="Calibri"/>
                <w:sz w:val="22"/>
                <w:szCs w:val="22"/>
              </w:rPr>
            </w:r>
          </w:p>
        </w:tc>
      </w:tr>
    </w:tbl>
    <w:p>
      <w:pPr>
        <w:pStyle w:val="Normal"/>
        <w:tabs>
          <w:tab w:val="clear" w:pos="720"/>
          <w:tab w:val="left" w:pos="4800" w:leader="none"/>
        </w:tabs>
        <w:ind w:firstLine="1134"/>
        <w:rPr>
          <w:rFonts w:ascii="Calibri" w:hAnsi="Calibri" w:cs="Calibri"/>
          <w:b/>
          <w:b/>
          <w:bCs/>
          <w:sz w:val="22"/>
          <w:szCs w:val="22"/>
        </w:rPr>
      </w:pPr>
      <w:r>
        <w:rPr>
          <w:rFonts w:cs="Calibri"/>
          <w:b/>
          <w:bCs/>
          <w:sz w:val="22"/>
          <w:szCs w:val="22"/>
        </w:rPr>
        <w:t>63. Φορητός ηλεκτρονικός υπολογιστής</w:t>
      </w:r>
    </w:p>
    <w:tbl>
      <w:tblPr>
        <w:tblW w:w="9416" w:type="dxa"/>
        <w:jc w:val="left"/>
        <w:tblInd w:w="-65" w:type="dxa"/>
        <w:tblLayout w:type="fixed"/>
        <w:tblCellMar>
          <w:top w:w="0" w:type="dxa"/>
          <w:left w:w="108" w:type="dxa"/>
          <w:bottom w:w="0" w:type="dxa"/>
          <w:right w:w="108" w:type="dxa"/>
        </w:tblCellMar>
      </w:tblPr>
      <w:tblGrid>
        <w:gridCol w:w="2434"/>
        <w:gridCol w:w="4353"/>
        <w:gridCol w:w="2629"/>
      </w:tblGrid>
      <w:tr>
        <w:trPr/>
        <w:tc>
          <w:tcPr>
            <w:tcW w:w="2434" w:type="dxa"/>
            <w:tcBorders>
              <w:top w:val="single" w:sz="4" w:space="0" w:color="000000"/>
              <w:left w:val="single" w:sz="4" w:space="0" w:color="000000"/>
              <w:bottom w:val="single" w:sz="4" w:space="0" w:color="000000"/>
            </w:tcBorders>
            <w:shd w:fill="F2F2F2" w:val="clear"/>
          </w:tcPr>
          <w:p>
            <w:pPr>
              <w:pStyle w:val="Style25"/>
              <w:widowControl w:val="false"/>
              <w:tabs>
                <w:tab w:val="clear" w:pos="720"/>
                <w:tab w:val="left" w:pos="-540" w:leader="none"/>
              </w:tabs>
              <w:spacing w:before="0" w:after="240"/>
              <w:jc w:val="left"/>
              <w:rPr>
                <w:rFonts w:ascii="Calibri" w:hAnsi="Calibri" w:cs="Calibri"/>
                <w:b/>
                <w:b/>
                <w:sz w:val="22"/>
                <w:szCs w:val="22"/>
              </w:rPr>
            </w:pPr>
            <w:r>
              <w:rPr>
                <w:rFonts w:cs="Calibri"/>
                <w:b/>
                <w:sz w:val="22"/>
                <w:szCs w:val="22"/>
              </w:rPr>
              <w:t>Χαρακτηριστικό</w:t>
            </w:r>
          </w:p>
        </w:tc>
        <w:tc>
          <w:tcPr>
            <w:tcW w:w="4353" w:type="dxa"/>
            <w:tcBorders>
              <w:top w:val="single" w:sz="4" w:space="0" w:color="000000"/>
              <w:left w:val="single" w:sz="4" w:space="0" w:color="000000"/>
              <w:bottom w:val="single" w:sz="4" w:space="0" w:color="000000"/>
            </w:tcBorders>
            <w:shd w:fill="F2F2F2" w:val="clear"/>
          </w:tcPr>
          <w:p>
            <w:pPr>
              <w:pStyle w:val="Style25"/>
              <w:widowControl w:val="false"/>
              <w:tabs>
                <w:tab w:val="clear" w:pos="720"/>
                <w:tab w:val="left" w:pos="-540" w:leader="none"/>
              </w:tabs>
              <w:spacing w:before="0" w:after="240"/>
              <w:jc w:val="left"/>
              <w:rPr>
                <w:rFonts w:ascii="Calibri" w:hAnsi="Calibri" w:cs="Calibri"/>
                <w:b/>
                <w:b/>
                <w:sz w:val="22"/>
                <w:szCs w:val="22"/>
              </w:rPr>
            </w:pPr>
            <w:r>
              <w:rPr>
                <w:rFonts w:cs="Calibri"/>
                <w:b/>
                <w:sz w:val="22"/>
                <w:szCs w:val="22"/>
              </w:rPr>
              <w:t>Απαίτηση</w:t>
            </w:r>
          </w:p>
        </w:tc>
        <w:tc>
          <w:tcPr>
            <w:tcW w:w="2629" w:type="dxa"/>
            <w:tcBorders>
              <w:top w:val="single" w:sz="4" w:space="0" w:color="000000"/>
              <w:left w:val="single" w:sz="4" w:space="0" w:color="000000"/>
              <w:bottom w:val="single" w:sz="4" w:space="0" w:color="000000"/>
              <w:right w:val="single" w:sz="4" w:space="0" w:color="000000"/>
            </w:tcBorders>
            <w:shd w:fill="F2F2F2" w:val="clear"/>
          </w:tcPr>
          <w:p>
            <w:pPr>
              <w:pStyle w:val="Style25"/>
              <w:widowControl w:val="false"/>
              <w:tabs>
                <w:tab w:val="clear" w:pos="720"/>
                <w:tab w:val="left" w:pos="-540" w:leader="none"/>
              </w:tabs>
              <w:spacing w:before="0" w:after="240"/>
              <w:jc w:val="left"/>
              <w:rPr>
                <w:rFonts w:ascii="Calibri" w:hAnsi="Calibri" w:cs="Calibri"/>
                <w:b/>
                <w:b/>
                <w:sz w:val="22"/>
                <w:szCs w:val="22"/>
              </w:rPr>
            </w:pPr>
            <w:r>
              <w:rPr>
                <w:rFonts w:cs="Calibri"/>
                <w:b/>
                <w:sz w:val="22"/>
                <w:szCs w:val="22"/>
              </w:rPr>
              <w:t>Παρατηρήσεις</w:t>
            </w:r>
          </w:p>
        </w:tc>
      </w:tr>
      <w:tr>
        <w:trPr/>
        <w:tc>
          <w:tcPr>
            <w:tcW w:w="2434" w:type="dxa"/>
            <w:tcBorders>
              <w:top w:val="single" w:sz="4" w:space="0" w:color="000000"/>
              <w:left w:val="single" w:sz="4" w:space="0" w:color="000000"/>
              <w:bottom w:val="single" w:sz="4" w:space="0" w:color="000000"/>
            </w:tcBorders>
          </w:tcPr>
          <w:p>
            <w:pPr>
              <w:pStyle w:val="Normal"/>
              <w:widowControl w:val="false"/>
              <w:snapToGrid w:val="false"/>
              <w:spacing w:before="0" w:after="120"/>
              <w:rPr>
                <w:rFonts w:ascii="Calibri" w:hAnsi="Calibri" w:cs="Calibri"/>
                <w:sz w:val="22"/>
                <w:szCs w:val="22"/>
              </w:rPr>
            </w:pPr>
            <w:r>
              <w:rPr>
                <w:rFonts w:cs="Calibri"/>
                <w:sz w:val="22"/>
                <w:szCs w:val="22"/>
              </w:rPr>
              <w:t>Διαγώνιος οθόνης</w:t>
            </w:r>
          </w:p>
        </w:tc>
        <w:tc>
          <w:tcPr>
            <w:tcW w:w="4353" w:type="dxa"/>
            <w:tcBorders>
              <w:top w:val="single" w:sz="4" w:space="0" w:color="000000"/>
              <w:left w:val="single" w:sz="4" w:space="0" w:color="000000"/>
              <w:bottom w:val="single" w:sz="4" w:space="0" w:color="000000"/>
            </w:tcBorders>
          </w:tcPr>
          <w:p>
            <w:pPr>
              <w:pStyle w:val="Normal"/>
              <w:widowControl w:val="false"/>
              <w:snapToGrid w:val="false"/>
              <w:spacing w:before="0" w:after="120"/>
              <w:rPr>
                <w:rFonts w:ascii="Calibri" w:hAnsi="Calibri" w:cs="Calibri"/>
                <w:sz w:val="22"/>
                <w:szCs w:val="22"/>
              </w:rPr>
            </w:pPr>
            <w:r>
              <w:rPr>
                <w:rFonts w:cs="Calibri"/>
                <w:sz w:val="22"/>
                <w:szCs w:val="22"/>
              </w:rPr>
              <w:t>15,6”</w:t>
            </w:r>
          </w:p>
        </w:tc>
        <w:tc>
          <w:tcPr>
            <w:tcW w:w="2629" w:type="dxa"/>
            <w:tcBorders>
              <w:top w:val="single" w:sz="4" w:space="0" w:color="000000"/>
              <w:left w:val="single" w:sz="4" w:space="0" w:color="000000"/>
              <w:bottom w:val="single" w:sz="4" w:space="0" w:color="000000"/>
              <w:right w:val="single" w:sz="4" w:space="0" w:color="000000"/>
            </w:tcBorders>
          </w:tcPr>
          <w:p>
            <w:pPr>
              <w:pStyle w:val="Style25"/>
              <w:widowControl w:val="false"/>
              <w:tabs>
                <w:tab w:val="clear" w:pos="720"/>
                <w:tab w:val="left" w:pos="-540" w:leader="none"/>
              </w:tabs>
              <w:snapToGrid w:val="false"/>
              <w:spacing w:before="0" w:after="240"/>
              <w:jc w:val="left"/>
              <w:rPr>
                <w:rFonts w:ascii="Calibri" w:hAnsi="Calibri" w:cs="Calibri"/>
                <w:sz w:val="22"/>
                <w:szCs w:val="22"/>
              </w:rPr>
            </w:pPr>
            <w:r>
              <w:rPr>
                <w:rFonts w:cs="Calibri"/>
                <w:sz w:val="22"/>
                <w:szCs w:val="22"/>
              </w:rPr>
              <w:t>μέγεθος</w:t>
            </w:r>
          </w:p>
        </w:tc>
      </w:tr>
      <w:tr>
        <w:trPr/>
        <w:tc>
          <w:tcPr>
            <w:tcW w:w="2434" w:type="dxa"/>
            <w:tcBorders>
              <w:left w:val="single" w:sz="4" w:space="0" w:color="000000"/>
              <w:bottom w:val="single" w:sz="4" w:space="0" w:color="000000"/>
            </w:tcBorders>
          </w:tcPr>
          <w:p>
            <w:pPr>
              <w:pStyle w:val="Normal"/>
              <w:widowControl w:val="false"/>
              <w:snapToGrid w:val="false"/>
              <w:spacing w:before="0" w:after="120"/>
              <w:rPr>
                <w:rFonts w:ascii="Calibri" w:hAnsi="Calibri" w:cs="Calibri"/>
                <w:sz w:val="22"/>
                <w:szCs w:val="22"/>
              </w:rPr>
            </w:pPr>
            <w:r>
              <w:rPr>
                <w:rFonts w:cs="Calibri"/>
                <w:sz w:val="22"/>
                <w:szCs w:val="22"/>
              </w:rPr>
              <w:t>Ανάλυση</w:t>
            </w:r>
          </w:p>
        </w:tc>
        <w:tc>
          <w:tcPr>
            <w:tcW w:w="4353" w:type="dxa"/>
            <w:tcBorders>
              <w:left w:val="single" w:sz="4" w:space="0" w:color="000000"/>
              <w:bottom w:val="single" w:sz="4" w:space="0" w:color="000000"/>
            </w:tcBorders>
          </w:tcPr>
          <w:p>
            <w:pPr>
              <w:pStyle w:val="Normal"/>
              <w:widowControl w:val="false"/>
              <w:snapToGrid w:val="false"/>
              <w:spacing w:before="0" w:after="120"/>
              <w:rPr/>
            </w:pPr>
            <w:r>
              <w:rPr>
                <w:rFonts w:cs="Calibri"/>
                <w:sz w:val="22"/>
                <w:szCs w:val="22"/>
              </w:rPr>
              <w:t>Τουλάχιστον 1920</w:t>
            </w:r>
            <w:r>
              <w:rPr>
                <w:rFonts w:cs="Calibri"/>
                <w:sz w:val="22"/>
                <w:szCs w:val="22"/>
                <w:lang w:val="en-US"/>
              </w:rPr>
              <w:t>x1080 pixels</w:t>
            </w:r>
          </w:p>
        </w:tc>
        <w:tc>
          <w:tcPr>
            <w:tcW w:w="2629" w:type="dxa"/>
            <w:tcBorders>
              <w:left w:val="single" w:sz="4" w:space="0" w:color="000000"/>
              <w:bottom w:val="single" w:sz="4" w:space="0" w:color="000000"/>
              <w:right w:val="single" w:sz="4" w:space="0" w:color="000000"/>
            </w:tcBorders>
          </w:tcPr>
          <w:p>
            <w:pPr>
              <w:pStyle w:val="Style25"/>
              <w:widowControl w:val="false"/>
              <w:tabs>
                <w:tab w:val="clear" w:pos="720"/>
                <w:tab w:val="left" w:pos="-540" w:leader="none"/>
              </w:tabs>
              <w:snapToGrid w:val="false"/>
              <w:spacing w:before="0" w:after="240"/>
              <w:jc w:val="left"/>
              <w:rPr>
                <w:rFonts w:ascii="Calibri" w:hAnsi="Calibri" w:cs="Calibri"/>
                <w:sz w:val="22"/>
                <w:szCs w:val="22"/>
              </w:rPr>
            </w:pPr>
            <w:r>
              <w:rPr>
                <w:rFonts w:cs="Calibri"/>
                <w:sz w:val="22"/>
                <w:szCs w:val="22"/>
              </w:rPr>
            </w:r>
          </w:p>
        </w:tc>
      </w:tr>
      <w:tr>
        <w:trPr/>
        <w:tc>
          <w:tcPr>
            <w:tcW w:w="2434" w:type="dxa"/>
            <w:tcBorders>
              <w:left w:val="single" w:sz="4" w:space="0" w:color="000000"/>
              <w:bottom w:val="single" w:sz="4" w:space="0" w:color="000000"/>
            </w:tcBorders>
          </w:tcPr>
          <w:p>
            <w:pPr>
              <w:pStyle w:val="Normal"/>
              <w:widowControl w:val="false"/>
              <w:snapToGrid w:val="false"/>
              <w:spacing w:before="0" w:after="120"/>
              <w:rPr>
                <w:rFonts w:ascii="Calibri" w:hAnsi="Calibri" w:cs="Calibri"/>
                <w:sz w:val="22"/>
                <w:szCs w:val="22"/>
              </w:rPr>
            </w:pPr>
            <w:r>
              <w:rPr>
                <w:rFonts w:cs="Calibri"/>
                <w:sz w:val="22"/>
                <w:szCs w:val="22"/>
              </w:rPr>
              <w:t>Ποιότητα εικόνας</w:t>
            </w:r>
          </w:p>
        </w:tc>
        <w:tc>
          <w:tcPr>
            <w:tcW w:w="4353" w:type="dxa"/>
            <w:tcBorders>
              <w:left w:val="single" w:sz="4" w:space="0" w:color="000000"/>
              <w:bottom w:val="single" w:sz="4" w:space="0" w:color="000000"/>
            </w:tcBorders>
          </w:tcPr>
          <w:p>
            <w:pPr>
              <w:pStyle w:val="Normal"/>
              <w:widowControl w:val="false"/>
              <w:snapToGrid w:val="false"/>
              <w:spacing w:before="0" w:after="120"/>
              <w:rPr>
                <w:rFonts w:ascii="Calibri" w:hAnsi="Calibri" w:cs="Calibri"/>
                <w:sz w:val="22"/>
                <w:szCs w:val="22"/>
                <w:lang w:val="en-US"/>
              </w:rPr>
            </w:pPr>
            <w:r>
              <w:rPr>
                <w:rFonts w:cs="Calibri"/>
                <w:sz w:val="22"/>
                <w:szCs w:val="22"/>
                <w:lang w:val="en-US"/>
              </w:rPr>
              <w:t>Full HD</w:t>
            </w:r>
          </w:p>
        </w:tc>
        <w:tc>
          <w:tcPr>
            <w:tcW w:w="2629" w:type="dxa"/>
            <w:tcBorders>
              <w:left w:val="single" w:sz="4" w:space="0" w:color="000000"/>
              <w:bottom w:val="single" w:sz="4" w:space="0" w:color="000000"/>
              <w:right w:val="single" w:sz="4" w:space="0" w:color="000000"/>
            </w:tcBorders>
          </w:tcPr>
          <w:p>
            <w:pPr>
              <w:pStyle w:val="Style25"/>
              <w:widowControl w:val="false"/>
              <w:tabs>
                <w:tab w:val="clear" w:pos="720"/>
                <w:tab w:val="left" w:pos="-540" w:leader="none"/>
              </w:tabs>
              <w:snapToGrid w:val="false"/>
              <w:spacing w:before="0" w:after="240"/>
              <w:jc w:val="left"/>
              <w:rPr>
                <w:rFonts w:ascii="Calibri" w:hAnsi="Calibri" w:cs="Calibri"/>
                <w:sz w:val="22"/>
                <w:szCs w:val="22"/>
              </w:rPr>
            </w:pPr>
            <w:r>
              <w:rPr>
                <w:rFonts w:cs="Calibri"/>
                <w:sz w:val="22"/>
                <w:szCs w:val="22"/>
              </w:rPr>
            </w:r>
          </w:p>
        </w:tc>
      </w:tr>
      <w:tr>
        <w:trPr/>
        <w:tc>
          <w:tcPr>
            <w:tcW w:w="2434" w:type="dxa"/>
            <w:tcBorders>
              <w:left w:val="single" w:sz="4" w:space="0" w:color="000000"/>
              <w:bottom w:val="single" w:sz="4" w:space="0" w:color="000000"/>
            </w:tcBorders>
          </w:tcPr>
          <w:p>
            <w:pPr>
              <w:pStyle w:val="Normal"/>
              <w:widowControl w:val="false"/>
              <w:snapToGrid w:val="false"/>
              <w:spacing w:before="0" w:after="120"/>
              <w:rPr>
                <w:rFonts w:ascii="Calibri" w:hAnsi="Calibri" w:cs="Calibri"/>
                <w:sz w:val="22"/>
                <w:szCs w:val="22"/>
              </w:rPr>
            </w:pPr>
            <w:r>
              <w:rPr>
                <w:rFonts w:cs="Calibri"/>
                <w:sz w:val="22"/>
                <w:szCs w:val="22"/>
              </w:rPr>
              <w:t>Επεξεργαστής</w:t>
            </w:r>
          </w:p>
        </w:tc>
        <w:tc>
          <w:tcPr>
            <w:tcW w:w="4353" w:type="dxa"/>
            <w:tcBorders>
              <w:left w:val="single" w:sz="4" w:space="0" w:color="000000"/>
              <w:bottom w:val="single" w:sz="4" w:space="0" w:color="000000"/>
            </w:tcBorders>
          </w:tcPr>
          <w:p>
            <w:pPr>
              <w:pStyle w:val="Normal"/>
              <w:widowControl w:val="false"/>
              <w:snapToGrid w:val="false"/>
              <w:spacing w:before="0" w:after="120"/>
              <w:rPr>
                <w:rFonts w:ascii="Calibri" w:hAnsi="Calibri" w:cs="Calibri"/>
                <w:sz w:val="22"/>
                <w:szCs w:val="22"/>
                <w:lang w:val="en-US"/>
              </w:rPr>
            </w:pPr>
            <w:r>
              <w:rPr>
                <w:rFonts w:cs="Calibri"/>
                <w:sz w:val="22"/>
                <w:szCs w:val="22"/>
                <w:lang w:val="en-US"/>
              </w:rPr>
              <w:t>Intel Core i5</w:t>
            </w:r>
          </w:p>
        </w:tc>
        <w:tc>
          <w:tcPr>
            <w:tcW w:w="2629" w:type="dxa"/>
            <w:tcBorders>
              <w:left w:val="single" w:sz="4" w:space="0" w:color="000000"/>
              <w:bottom w:val="single" w:sz="4" w:space="0" w:color="000000"/>
              <w:right w:val="single" w:sz="4" w:space="0" w:color="000000"/>
            </w:tcBorders>
          </w:tcPr>
          <w:p>
            <w:pPr>
              <w:pStyle w:val="Style25"/>
              <w:widowControl w:val="false"/>
              <w:tabs>
                <w:tab w:val="clear" w:pos="720"/>
                <w:tab w:val="left" w:pos="-540" w:leader="none"/>
              </w:tabs>
              <w:snapToGrid w:val="false"/>
              <w:spacing w:before="0" w:after="240"/>
              <w:jc w:val="left"/>
              <w:rPr>
                <w:rFonts w:ascii="Calibri" w:hAnsi="Calibri" w:cs="Calibri"/>
                <w:sz w:val="22"/>
                <w:szCs w:val="22"/>
              </w:rPr>
            </w:pPr>
            <w:r>
              <w:rPr>
                <w:rFonts w:cs="Calibri"/>
                <w:sz w:val="22"/>
                <w:szCs w:val="22"/>
              </w:rPr>
            </w:r>
          </w:p>
        </w:tc>
      </w:tr>
      <w:tr>
        <w:trPr/>
        <w:tc>
          <w:tcPr>
            <w:tcW w:w="2434" w:type="dxa"/>
            <w:tcBorders>
              <w:left w:val="single" w:sz="4" w:space="0" w:color="000000"/>
              <w:bottom w:val="single" w:sz="4" w:space="0" w:color="000000"/>
            </w:tcBorders>
          </w:tcPr>
          <w:p>
            <w:pPr>
              <w:pStyle w:val="Normal"/>
              <w:widowControl w:val="false"/>
              <w:snapToGrid w:val="false"/>
              <w:spacing w:before="0" w:after="120"/>
              <w:rPr>
                <w:rFonts w:ascii="Calibri" w:hAnsi="Calibri" w:cs="Calibri"/>
                <w:sz w:val="22"/>
                <w:szCs w:val="22"/>
              </w:rPr>
            </w:pPr>
            <w:r>
              <w:rPr>
                <w:rFonts w:cs="Calibri"/>
                <w:sz w:val="22"/>
                <w:szCs w:val="22"/>
              </w:rPr>
              <w:t>Ταχύτητα επεξεργαστή</w:t>
            </w:r>
          </w:p>
        </w:tc>
        <w:tc>
          <w:tcPr>
            <w:tcW w:w="4353" w:type="dxa"/>
            <w:tcBorders>
              <w:left w:val="single" w:sz="4" w:space="0" w:color="000000"/>
              <w:bottom w:val="single" w:sz="4" w:space="0" w:color="000000"/>
            </w:tcBorders>
          </w:tcPr>
          <w:p>
            <w:pPr>
              <w:pStyle w:val="Normal"/>
              <w:widowControl w:val="false"/>
              <w:snapToGrid w:val="false"/>
              <w:spacing w:before="0" w:after="120"/>
              <w:rPr/>
            </w:pPr>
            <w:r>
              <w:rPr>
                <w:rFonts w:cs="Calibri"/>
                <w:sz w:val="22"/>
                <w:szCs w:val="22"/>
              </w:rPr>
              <w:t xml:space="preserve">Τουλάχιστον 1,00 </w:t>
            </w:r>
            <w:r>
              <w:rPr>
                <w:rFonts w:cs="Calibri"/>
                <w:sz w:val="22"/>
                <w:szCs w:val="22"/>
                <w:lang w:val="en-US"/>
              </w:rPr>
              <w:t>GHz</w:t>
            </w:r>
          </w:p>
        </w:tc>
        <w:tc>
          <w:tcPr>
            <w:tcW w:w="2629" w:type="dxa"/>
            <w:tcBorders>
              <w:left w:val="single" w:sz="4" w:space="0" w:color="000000"/>
              <w:bottom w:val="single" w:sz="4" w:space="0" w:color="000000"/>
              <w:right w:val="single" w:sz="4" w:space="0" w:color="000000"/>
            </w:tcBorders>
          </w:tcPr>
          <w:p>
            <w:pPr>
              <w:pStyle w:val="Style25"/>
              <w:widowControl w:val="false"/>
              <w:tabs>
                <w:tab w:val="clear" w:pos="720"/>
                <w:tab w:val="left" w:pos="-540" w:leader="none"/>
              </w:tabs>
              <w:snapToGrid w:val="false"/>
              <w:spacing w:before="0" w:after="240"/>
              <w:jc w:val="left"/>
              <w:rPr>
                <w:rFonts w:ascii="Calibri" w:hAnsi="Calibri" w:cs="Calibri"/>
                <w:sz w:val="22"/>
                <w:szCs w:val="22"/>
              </w:rPr>
            </w:pPr>
            <w:r>
              <w:rPr>
                <w:rFonts w:cs="Calibri"/>
                <w:sz w:val="22"/>
                <w:szCs w:val="22"/>
              </w:rPr>
            </w:r>
          </w:p>
        </w:tc>
      </w:tr>
      <w:tr>
        <w:trPr/>
        <w:tc>
          <w:tcPr>
            <w:tcW w:w="2434" w:type="dxa"/>
            <w:tcBorders>
              <w:left w:val="single" w:sz="4" w:space="0" w:color="000000"/>
              <w:bottom w:val="single" w:sz="4" w:space="0" w:color="000000"/>
            </w:tcBorders>
          </w:tcPr>
          <w:p>
            <w:pPr>
              <w:pStyle w:val="Normal"/>
              <w:widowControl w:val="false"/>
              <w:snapToGrid w:val="false"/>
              <w:spacing w:before="0" w:after="120"/>
              <w:rPr/>
            </w:pPr>
            <w:r>
              <w:rPr>
                <w:rFonts w:cs="Calibri"/>
                <w:sz w:val="22"/>
                <w:szCs w:val="22"/>
              </w:rPr>
              <w:t xml:space="preserve">Χωρητικότητα </w:t>
            </w:r>
            <w:r>
              <w:rPr>
                <w:rFonts w:cs="Calibri"/>
                <w:sz w:val="22"/>
                <w:szCs w:val="22"/>
                <w:lang w:val="en-US"/>
              </w:rPr>
              <w:t>RAM</w:t>
            </w:r>
          </w:p>
        </w:tc>
        <w:tc>
          <w:tcPr>
            <w:tcW w:w="4353" w:type="dxa"/>
            <w:tcBorders>
              <w:left w:val="single" w:sz="4" w:space="0" w:color="000000"/>
              <w:bottom w:val="single" w:sz="4" w:space="0" w:color="000000"/>
            </w:tcBorders>
          </w:tcPr>
          <w:p>
            <w:pPr>
              <w:pStyle w:val="Normal"/>
              <w:widowControl w:val="false"/>
              <w:snapToGrid w:val="false"/>
              <w:spacing w:before="0" w:after="120"/>
              <w:rPr/>
            </w:pPr>
            <w:r>
              <w:rPr>
                <w:rFonts w:cs="Calibri"/>
                <w:sz w:val="22"/>
                <w:szCs w:val="22"/>
              </w:rPr>
              <w:t>Τουλάχιστον 4</w:t>
            </w:r>
            <w:r>
              <w:rPr>
                <w:rFonts w:cs="Calibri"/>
                <w:sz w:val="22"/>
                <w:szCs w:val="22"/>
                <w:lang w:val="en-US"/>
              </w:rPr>
              <w:t>GB</w:t>
            </w:r>
          </w:p>
        </w:tc>
        <w:tc>
          <w:tcPr>
            <w:tcW w:w="2629" w:type="dxa"/>
            <w:tcBorders>
              <w:left w:val="single" w:sz="4" w:space="0" w:color="000000"/>
              <w:bottom w:val="single" w:sz="4" w:space="0" w:color="000000"/>
              <w:right w:val="single" w:sz="4" w:space="0" w:color="000000"/>
            </w:tcBorders>
          </w:tcPr>
          <w:p>
            <w:pPr>
              <w:pStyle w:val="Style25"/>
              <w:widowControl w:val="false"/>
              <w:tabs>
                <w:tab w:val="clear" w:pos="720"/>
                <w:tab w:val="left" w:pos="-540" w:leader="none"/>
              </w:tabs>
              <w:snapToGrid w:val="false"/>
              <w:spacing w:before="0" w:after="240"/>
              <w:jc w:val="left"/>
              <w:rPr>
                <w:rFonts w:ascii="Calibri" w:hAnsi="Calibri" w:cs="Calibri"/>
                <w:sz w:val="22"/>
                <w:szCs w:val="22"/>
              </w:rPr>
            </w:pPr>
            <w:r>
              <w:rPr>
                <w:rFonts w:cs="Calibri"/>
                <w:sz w:val="22"/>
                <w:szCs w:val="22"/>
              </w:rPr>
            </w:r>
          </w:p>
        </w:tc>
      </w:tr>
      <w:tr>
        <w:trPr/>
        <w:tc>
          <w:tcPr>
            <w:tcW w:w="2434" w:type="dxa"/>
            <w:tcBorders>
              <w:left w:val="single" w:sz="4" w:space="0" w:color="000000"/>
              <w:bottom w:val="single" w:sz="4" w:space="0" w:color="000000"/>
            </w:tcBorders>
          </w:tcPr>
          <w:p>
            <w:pPr>
              <w:pStyle w:val="Normal"/>
              <w:widowControl w:val="false"/>
              <w:snapToGrid w:val="false"/>
              <w:spacing w:before="0" w:after="120"/>
              <w:rPr/>
            </w:pPr>
            <w:r>
              <w:rPr>
                <w:rFonts w:cs="Calibri"/>
                <w:sz w:val="22"/>
                <w:szCs w:val="22"/>
              </w:rPr>
              <w:t xml:space="preserve">Τύπος </w:t>
            </w:r>
            <w:r>
              <w:rPr>
                <w:rFonts w:cs="Calibri"/>
                <w:sz w:val="22"/>
                <w:szCs w:val="22"/>
                <w:lang w:val="en-US"/>
              </w:rPr>
              <w:t>RAM</w:t>
            </w:r>
          </w:p>
        </w:tc>
        <w:tc>
          <w:tcPr>
            <w:tcW w:w="4353" w:type="dxa"/>
            <w:tcBorders>
              <w:left w:val="single" w:sz="4" w:space="0" w:color="000000"/>
              <w:bottom w:val="single" w:sz="4" w:space="0" w:color="000000"/>
            </w:tcBorders>
          </w:tcPr>
          <w:p>
            <w:pPr>
              <w:pStyle w:val="Normal"/>
              <w:widowControl w:val="false"/>
              <w:snapToGrid w:val="false"/>
              <w:spacing w:before="0" w:after="120"/>
              <w:rPr>
                <w:rFonts w:ascii="Calibri" w:hAnsi="Calibri" w:cs="Calibri"/>
                <w:sz w:val="22"/>
                <w:szCs w:val="22"/>
                <w:lang w:val="en-US"/>
              </w:rPr>
            </w:pPr>
            <w:r>
              <w:rPr>
                <w:rFonts w:cs="Calibri"/>
                <w:sz w:val="22"/>
                <w:szCs w:val="22"/>
                <w:lang w:val="en-US"/>
              </w:rPr>
              <w:t>DDR4</w:t>
            </w:r>
          </w:p>
        </w:tc>
        <w:tc>
          <w:tcPr>
            <w:tcW w:w="2629" w:type="dxa"/>
            <w:tcBorders>
              <w:left w:val="single" w:sz="4" w:space="0" w:color="000000"/>
              <w:bottom w:val="single" w:sz="4" w:space="0" w:color="000000"/>
              <w:right w:val="single" w:sz="4" w:space="0" w:color="000000"/>
            </w:tcBorders>
          </w:tcPr>
          <w:p>
            <w:pPr>
              <w:pStyle w:val="Style25"/>
              <w:widowControl w:val="false"/>
              <w:tabs>
                <w:tab w:val="clear" w:pos="720"/>
                <w:tab w:val="left" w:pos="-540" w:leader="none"/>
              </w:tabs>
              <w:snapToGrid w:val="false"/>
              <w:spacing w:before="0" w:after="240"/>
              <w:jc w:val="left"/>
              <w:rPr>
                <w:rFonts w:ascii="Calibri" w:hAnsi="Calibri" w:cs="Calibri"/>
                <w:sz w:val="22"/>
                <w:szCs w:val="22"/>
              </w:rPr>
            </w:pPr>
            <w:r>
              <w:rPr>
                <w:rFonts w:cs="Calibri"/>
                <w:sz w:val="22"/>
                <w:szCs w:val="22"/>
              </w:rPr>
            </w:r>
          </w:p>
        </w:tc>
      </w:tr>
      <w:tr>
        <w:trPr/>
        <w:tc>
          <w:tcPr>
            <w:tcW w:w="2434" w:type="dxa"/>
            <w:tcBorders>
              <w:left w:val="single" w:sz="4" w:space="0" w:color="000000"/>
              <w:bottom w:val="single" w:sz="4" w:space="0" w:color="000000"/>
            </w:tcBorders>
          </w:tcPr>
          <w:p>
            <w:pPr>
              <w:pStyle w:val="Normal"/>
              <w:widowControl w:val="false"/>
              <w:snapToGrid w:val="false"/>
              <w:spacing w:before="0" w:after="120"/>
              <w:rPr>
                <w:rFonts w:ascii="Calibri" w:hAnsi="Calibri" w:cs="Calibri"/>
                <w:sz w:val="22"/>
                <w:szCs w:val="22"/>
              </w:rPr>
            </w:pPr>
            <w:r>
              <w:rPr>
                <w:rFonts w:cs="Calibri"/>
                <w:sz w:val="22"/>
                <w:szCs w:val="22"/>
              </w:rPr>
              <w:t>Τύπος σκληρού δίσκου</w:t>
            </w:r>
          </w:p>
        </w:tc>
        <w:tc>
          <w:tcPr>
            <w:tcW w:w="4353" w:type="dxa"/>
            <w:tcBorders>
              <w:left w:val="single" w:sz="4" w:space="0" w:color="000000"/>
              <w:bottom w:val="single" w:sz="4" w:space="0" w:color="000000"/>
            </w:tcBorders>
          </w:tcPr>
          <w:p>
            <w:pPr>
              <w:pStyle w:val="Normal"/>
              <w:widowControl w:val="false"/>
              <w:snapToGrid w:val="false"/>
              <w:spacing w:before="0" w:after="120"/>
              <w:rPr>
                <w:rFonts w:ascii="Calibri" w:hAnsi="Calibri" w:cs="Calibri"/>
                <w:sz w:val="22"/>
                <w:szCs w:val="22"/>
                <w:lang w:val="en-US"/>
              </w:rPr>
            </w:pPr>
            <w:r>
              <w:rPr>
                <w:rFonts w:cs="Calibri"/>
                <w:sz w:val="22"/>
                <w:szCs w:val="22"/>
                <w:lang w:val="en-US"/>
              </w:rPr>
              <w:t>SSD</w:t>
            </w:r>
          </w:p>
        </w:tc>
        <w:tc>
          <w:tcPr>
            <w:tcW w:w="2629" w:type="dxa"/>
            <w:tcBorders>
              <w:left w:val="single" w:sz="4" w:space="0" w:color="000000"/>
              <w:bottom w:val="single" w:sz="4" w:space="0" w:color="000000"/>
              <w:right w:val="single" w:sz="4" w:space="0" w:color="000000"/>
            </w:tcBorders>
          </w:tcPr>
          <w:p>
            <w:pPr>
              <w:pStyle w:val="Style25"/>
              <w:widowControl w:val="false"/>
              <w:tabs>
                <w:tab w:val="clear" w:pos="720"/>
                <w:tab w:val="left" w:pos="-540" w:leader="none"/>
              </w:tabs>
              <w:snapToGrid w:val="false"/>
              <w:spacing w:before="0" w:after="240"/>
              <w:jc w:val="left"/>
              <w:rPr>
                <w:rFonts w:ascii="Calibri" w:hAnsi="Calibri" w:cs="Calibri"/>
                <w:sz w:val="22"/>
                <w:szCs w:val="22"/>
              </w:rPr>
            </w:pPr>
            <w:r>
              <w:rPr>
                <w:rFonts w:cs="Calibri"/>
                <w:sz w:val="22"/>
                <w:szCs w:val="22"/>
              </w:rPr>
            </w:r>
          </w:p>
        </w:tc>
      </w:tr>
      <w:tr>
        <w:trPr/>
        <w:tc>
          <w:tcPr>
            <w:tcW w:w="2434" w:type="dxa"/>
            <w:tcBorders>
              <w:left w:val="single" w:sz="4" w:space="0" w:color="000000"/>
              <w:bottom w:val="single" w:sz="4" w:space="0" w:color="000000"/>
            </w:tcBorders>
          </w:tcPr>
          <w:p>
            <w:pPr>
              <w:pStyle w:val="Normal"/>
              <w:widowControl w:val="false"/>
              <w:snapToGrid w:val="false"/>
              <w:spacing w:before="0" w:after="120"/>
              <w:rPr>
                <w:rFonts w:ascii="Calibri" w:hAnsi="Calibri" w:cs="Calibri"/>
                <w:sz w:val="22"/>
                <w:szCs w:val="22"/>
              </w:rPr>
            </w:pPr>
            <w:r>
              <w:rPr>
                <w:rFonts w:cs="Calibri"/>
                <w:sz w:val="22"/>
                <w:szCs w:val="22"/>
              </w:rPr>
              <w:t>Χωρητικότητα σκληρού δίσκου</w:t>
            </w:r>
          </w:p>
        </w:tc>
        <w:tc>
          <w:tcPr>
            <w:tcW w:w="4353" w:type="dxa"/>
            <w:tcBorders>
              <w:left w:val="single" w:sz="4" w:space="0" w:color="000000"/>
              <w:bottom w:val="single" w:sz="4" w:space="0" w:color="000000"/>
            </w:tcBorders>
          </w:tcPr>
          <w:p>
            <w:pPr>
              <w:pStyle w:val="Normal"/>
              <w:widowControl w:val="false"/>
              <w:snapToGrid w:val="false"/>
              <w:spacing w:before="0" w:after="120"/>
              <w:rPr/>
            </w:pPr>
            <w:r>
              <w:rPr>
                <w:rFonts w:cs="Calibri"/>
                <w:sz w:val="22"/>
                <w:szCs w:val="22"/>
              </w:rPr>
              <w:t>Τουλάχιστον 256</w:t>
            </w:r>
            <w:r>
              <w:rPr>
                <w:rFonts w:cs="Calibri"/>
                <w:sz w:val="22"/>
                <w:szCs w:val="22"/>
                <w:lang w:val="en-US"/>
              </w:rPr>
              <w:t>GB</w:t>
            </w:r>
          </w:p>
        </w:tc>
        <w:tc>
          <w:tcPr>
            <w:tcW w:w="2629" w:type="dxa"/>
            <w:tcBorders>
              <w:left w:val="single" w:sz="4" w:space="0" w:color="000000"/>
              <w:bottom w:val="single" w:sz="4" w:space="0" w:color="000000"/>
              <w:right w:val="single" w:sz="4" w:space="0" w:color="000000"/>
            </w:tcBorders>
          </w:tcPr>
          <w:p>
            <w:pPr>
              <w:pStyle w:val="Style25"/>
              <w:widowControl w:val="false"/>
              <w:tabs>
                <w:tab w:val="clear" w:pos="720"/>
                <w:tab w:val="left" w:pos="-540" w:leader="none"/>
              </w:tabs>
              <w:snapToGrid w:val="false"/>
              <w:spacing w:before="0" w:after="240"/>
              <w:jc w:val="left"/>
              <w:rPr>
                <w:rFonts w:ascii="Calibri" w:hAnsi="Calibri" w:cs="Calibri"/>
                <w:sz w:val="22"/>
                <w:szCs w:val="22"/>
              </w:rPr>
            </w:pPr>
            <w:r>
              <w:rPr>
                <w:rFonts w:cs="Calibri"/>
                <w:sz w:val="22"/>
                <w:szCs w:val="22"/>
              </w:rPr>
            </w:r>
          </w:p>
        </w:tc>
      </w:tr>
      <w:tr>
        <w:trPr/>
        <w:tc>
          <w:tcPr>
            <w:tcW w:w="2434" w:type="dxa"/>
            <w:tcBorders>
              <w:left w:val="single" w:sz="4" w:space="0" w:color="000000"/>
              <w:bottom w:val="single" w:sz="4" w:space="0" w:color="000000"/>
            </w:tcBorders>
          </w:tcPr>
          <w:p>
            <w:pPr>
              <w:pStyle w:val="Normal"/>
              <w:widowControl w:val="false"/>
              <w:snapToGrid w:val="false"/>
              <w:spacing w:before="0" w:after="120"/>
              <w:rPr>
                <w:rFonts w:ascii="Calibri" w:hAnsi="Calibri" w:cs="Calibri"/>
                <w:sz w:val="22"/>
                <w:szCs w:val="22"/>
              </w:rPr>
            </w:pPr>
            <w:r>
              <w:rPr>
                <w:rFonts w:cs="Calibri"/>
                <w:sz w:val="22"/>
                <w:szCs w:val="22"/>
              </w:rPr>
              <w:t>Συνδεσιμότητα</w:t>
            </w:r>
          </w:p>
        </w:tc>
        <w:tc>
          <w:tcPr>
            <w:tcW w:w="4353" w:type="dxa"/>
            <w:tcBorders>
              <w:left w:val="single" w:sz="4" w:space="0" w:color="000000"/>
              <w:bottom w:val="single" w:sz="4" w:space="0" w:color="000000"/>
            </w:tcBorders>
          </w:tcPr>
          <w:p>
            <w:pPr>
              <w:pStyle w:val="Normal"/>
              <w:widowControl w:val="false"/>
              <w:snapToGrid w:val="false"/>
              <w:spacing w:before="0" w:after="120"/>
              <w:rPr>
                <w:rFonts w:ascii="Calibri" w:hAnsi="Calibri" w:cs="Calibri"/>
                <w:sz w:val="22"/>
                <w:szCs w:val="22"/>
                <w:lang w:val="en-US"/>
              </w:rPr>
            </w:pPr>
            <w:r>
              <w:rPr>
                <w:rFonts w:cs="Calibri"/>
                <w:sz w:val="22"/>
                <w:szCs w:val="22"/>
                <w:lang w:val="en-US"/>
              </w:rPr>
              <w:t>Bluetooth, Wi – fi, USB</w:t>
            </w:r>
          </w:p>
        </w:tc>
        <w:tc>
          <w:tcPr>
            <w:tcW w:w="2629" w:type="dxa"/>
            <w:tcBorders>
              <w:left w:val="single" w:sz="4" w:space="0" w:color="000000"/>
              <w:bottom w:val="single" w:sz="4" w:space="0" w:color="000000"/>
              <w:right w:val="single" w:sz="4" w:space="0" w:color="000000"/>
            </w:tcBorders>
          </w:tcPr>
          <w:p>
            <w:pPr>
              <w:pStyle w:val="Style25"/>
              <w:widowControl w:val="false"/>
              <w:tabs>
                <w:tab w:val="clear" w:pos="720"/>
                <w:tab w:val="left" w:pos="-540" w:leader="none"/>
              </w:tabs>
              <w:snapToGrid w:val="false"/>
              <w:spacing w:before="0" w:after="240"/>
              <w:jc w:val="left"/>
              <w:rPr>
                <w:rFonts w:ascii="Calibri" w:hAnsi="Calibri" w:cs="Calibri"/>
                <w:sz w:val="22"/>
                <w:szCs w:val="22"/>
              </w:rPr>
            </w:pPr>
            <w:r>
              <w:rPr>
                <w:rFonts w:cs="Calibri"/>
                <w:sz w:val="22"/>
                <w:szCs w:val="22"/>
              </w:rPr>
            </w:r>
          </w:p>
        </w:tc>
      </w:tr>
      <w:tr>
        <w:trPr/>
        <w:tc>
          <w:tcPr>
            <w:tcW w:w="2434" w:type="dxa"/>
            <w:tcBorders>
              <w:left w:val="single" w:sz="4" w:space="0" w:color="000000"/>
              <w:bottom w:val="single" w:sz="4" w:space="0" w:color="000000"/>
            </w:tcBorders>
          </w:tcPr>
          <w:p>
            <w:pPr>
              <w:pStyle w:val="Normal"/>
              <w:widowControl w:val="false"/>
              <w:snapToGrid w:val="false"/>
              <w:spacing w:before="0" w:after="120"/>
              <w:rPr>
                <w:rFonts w:ascii="Calibri" w:hAnsi="Calibri" w:cs="Calibri"/>
                <w:sz w:val="22"/>
                <w:szCs w:val="22"/>
              </w:rPr>
            </w:pPr>
            <w:r>
              <w:rPr>
                <w:rFonts w:cs="Calibri"/>
                <w:sz w:val="22"/>
                <w:szCs w:val="22"/>
              </w:rPr>
              <w:t>Λειτουργικό σύστημα</w:t>
            </w:r>
          </w:p>
        </w:tc>
        <w:tc>
          <w:tcPr>
            <w:tcW w:w="4353" w:type="dxa"/>
            <w:tcBorders>
              <w:left w:val="single" w:sz="4" w:space="0" w:color="000000"/>
              <w:bottom w:val="single" w:sz="4" w:space="0" w:color="000000"/>
            </w:tcBorders>
          </w:tcPr>
          <w:p>
            <w:pPr>
              <w:pStyle w:val="Normal"/>
              <w:widowControl w:val="false"/>
              <w:snapToGrid w:val="false"/>
              <w:spacing w:before="0" w:after="120"/>
              <w:rPr>
                <w:rFonts w:ascii="Calibri" w:hAnsi="Calibri" w:cs="Calibri"/>
                <w:sz w:val="22"/>
                <w:szCs w:val="22"/>
                <w:lang w:val="en-US"/>
              </w:rPr>
            </w:pPr>
            <w:r>
              <w:rPr>
                <w:rFonts w:cs="Calibri"/>
                <w:sz w:val="22"/>
                <w:szCs w:val="22"/>
                <w:lang w:val="en-US"/>
              </w:rPr>
              <w:t>Windows 10</w:t>
            </w:r>
          </w:p>
        </w:tc>
        <w:tc>
          <w:tcPr>
            <w:tcW w:w="2629" w:type="dxa"/>
            <w:tcBorders>
              <w:left w:val="single" w:sz="4" w:space="0" w:color="000000"/>
              <w:bottom w:val="single" w:sz="4" w:space="0" w:color="000000"/>
              <w:right w:val="single" w:sz="4" w:space="0" w:color="000000"/>
            </w:tcBorders>
          </w:tcPr>
          <w:p>
            <w:pPr>
              <w:pStyle w:val="Style25"/>
              <w:widowControl w:val="false"/>
              <w:tabs>
                <w:tab w:val="clear" w:pos="720"/>
                <w:tab w:val="left" w:pos="-540" w:leader="none"/>
              </w:tabs>
              <w:snapToGrid w:val="false"/>
              <w:spacing w:before="0" w:after="240"/>
              <w:jc w:val="left"/>
              <w:rPr>
                <w:rFonts w:ascii="Calibri" w:hAnsi="Calibri" w:cs="Calibri"/>
                <w:sz w:val="22"/>
                <w:szCs w:val="22"/>
              </w:rPr>
            </w:pPr>
            <w:r>
              <w:rPr>
                <w:rFonts w:cs="Calibri"/>
                <w:sz w:val="22"/>
                <w:szCs w:val="22"/>
              </w:rPr>
            </w:r>
          </w:p>
        </w:tc>
      </w:tr>
      <w:tr>
        <w:trPr/>
        <w:tc>
          <w:tcPr>
            <w:tcW w:w="2434" w:type="dxa"/>
            <w:tcBorders>
              <w:left w:val="single" w:sz="4" w:space="0" w:color="000000"/>
              <w:bottom w:val="single" w:sz="4" w:space="0" w:color="000000"/>
            </w:tcBorders>
          </w:tcPr>
          <w:p>
            <w:pPr>
              <w:pStyle w:val="Normal"/>
              <w:widowControl w:val="false"/>
              <w:snapToGrid w:val="false"/>
              <w:spacing w:before="0" w:after="120"/>
              <w:rPr>
                <w:rFonts w:ascii="Calibri" w:hAnsi="Calibri" w:cs="Calibri"/>
                <w:sz w:val="22"/>
                <w:szCs w:val="22"/>
              </w:rPr>
            </w:pPr>
            <w:r>
              <w:rPr>
                <w:rFonts w:cs="Calibri"/>
                <w:sz w:val="22"/>
                <w:szCs w:val="22"/>
              </w:rPr>
              <w:t>Εγγύηση</w:t>
            </w:r>
          </w:p>
        </w:tc>
        <w:tc>
          <w:tcPr>
            <w:tcW w:w="4353" w:type="dxa"/>
            <w:tcBorders>
              <w:left w:val="single" w:sz="4" w:space="0" w:color="000000"/>
              <w:bottom w:val="single" w:sz="4" w:space="0" w:color="000000"/>
            </w:tcBorders>
          </w:tcPr>
          <w:p>
            <w:pPr>
              <w:pStyle w:val="Normal"/>
              <w:widowControl w:val="false"/>
              <w:snapToGrid w:val="false"/>
              <w:spacing w:before="0" w:after="120"/>
              <w:rPr>
                <w:rFonts w:ascii="Calibri" w:hAnsi="Calibri" w:cs="Calibri"/>
                <w:sz w:val="22"/>
                <w:szCs w:val="22"/>
              </w:rPr>
            </w:pPr>
            <w:r>
              <w:rPr>
                <w:rFonts w:cs="Calibri"/>
                <w:sz w:val="22"/>
                <w:szCs w:val="22"/>
              </w:rPr>
              <w:t>&gt;=1 έτος</w:t>
            </w:r>
          </w:p>
        </w:tc>
        <w:tc>
          <w:tcPr>
            <w:tcW w:w="2629" w:type="dxa"/>
            <w:tcBorders>
              <w:left w:val="single" w:sz="4" w:space="0" w:color="000000"/>
              <w:bottom w:val="single" w:sz="4" w:space="0" w:color="000000"/>
              <w:right w:val="single" w:sz="4" w:space="0" w:color="000000"/>
            </w:tcBorders>
          </w:tcPr>
          <w:p>
            <w:pPr>
              <w:pStyle w:val="Style25"/>
              <w:widowControl w:val="false"/>
              <w:tabs>
                <w:tab w:val="clear" w:pos="720"/>
                <w:tab w:val="left" w:pos="-540" w:leader="none"/>
              </w:tabs>
              <w:snapToGrid w:val="false"/>
              <w:spacing w:before="0" w:after="240"/>
              <w:jc w:val="left"/>
              <w:rPr>
                <w:rFonts w:ascii="Calibri" w:hAnsi="Calibri" w:cs="Calibri"/>
                <w:sz w:val="22"/>
                <w:szCs w:val="22"/>
              </w:rPr>
            </w:pPr>
            <w:r>
              <w:rPr>
                <w:rFonts w:cs="Calibri"/>
                <w:sz w:val="22"/>
                <w:szCs w:val="22"/>
              </w:rPr>
            </w:r>
          </w:p>
        </w:tc>
      </w:tr>
    </w:tbl>
    <w:p>
      <w:pPr>
        <w:pStyle w:val="Normal"/>
        <w:tabs>
          <w:tab w:val="clear" w:pos="720"/>
          <w:tab w:val="left" w:pos="4095" w:leader="none"/>
        </w:tabs>
        <w:rPr>
          <w:rFonts w:ascii="Calibri" w:hAnsi="Calibri" w:cs="Calibri"/>
          <w:b/>
          <w:b/>
          <w:bCs/>
          <w:sz w:val="22"/>
          <w:szCs w:val="22"/>
        </w:rPr>
      </w:pPr>
      <w:r>
        <w:rPr>
          <w:rFonts w:cs="Calibri"/>
          <w:b/>
          <w:bCs/>
          <w:sz w:val="22"/>
          <w:szCs w:val="22"/>
        </w:rPr>
      </w:r>
    </w:p>
    <w:p>
      <w:pPr>
        <w:pStyle w:val="Normal"/>
        <w:tabs>
          <w:tab w:val="clear" w:pos="720"/>
          <w:tab w:val="left" w:pos="4800" w:leader="none"/>
        </w:tabs>
        <w:ind w:firstLine="1134"/>
        <w:rPr>
          <w:rFonts w:ascii="Calibri" w:hAnsi="Calibri" w:cs="Calibri"/>
          <w:b/>
          <w:b/>
          <w:bCs/>
          <w:sz w:val="22"/>
          <w:szCs w:val="22"/>
        </w:rPr>
      </w:pPr>
      <w:r>
        <w:rPr>
          <w:rFonts w:cs="Calibri"/>
          <w:b/>
          <w:bCs/>
          <w:sz w:val="22"/>
          <w:szCs w:val="22"/>
        </w:rPr>
        <w:t>64.Ποντίκι ασύρματο</w:t>
      </w:r>
    </w:p>
    <w:tbl>
      <w:tblPr>
        <w:tblW w:w="9416" w:type="dxa"/>
        <w:jc w:val="left"/>
        <w:tblInd w:w="-65" w:type="dxa"/>
        <w:tblLayout w:type="fixed"/>
        <w:tblCellMar>
          <w:top w:w="0" w:type="dxa"/>
          <w:left w:w="108" w:type="dxa"/>
          <w:bottom w:w="0" w:type="dxa"/>
          <w:right w:w="108" w:type="dxa"/>
        </w:tblCellMar>
      </w:tblPr>
      <w:tblGrid>
        <w:gridCol w:w="2434"/>
        <w:gridCol w:w="4353"/>
        <w:gridCol w:w="2629"/>
      </w:tblGrid>
      <w:tr>
        <w:trPr/>
        <w:tc>
          <w:tcPr>
            <w:tcW w:w="2434" w:type="dxa"/>
            <w:tcBorders>
              <w:top w:val="single" w:sz="4" w:space="0" w:color="000000"/>
              <w:left w:val="single" w:sz="4" w:space="0" w:color="000000"/>
              <w:bottom w:val="single" w:sz="4" w:space="0" w:color="000000"/>
            </w:tcBorders>
            <w:shd w:fill="F2F2F2" w:val="clear"/>
          </w:tcPr>
          <w:p>
            <w:pPr>
              <w:pStyle w:val="Style25"/>
              <w:widowControl w:val="false"/>
              <w:tabs>
                <w:tab w:val="clear" w:pos="720"/>
                <w:tab w:val="left" w:pos="-540" w:leader="none"/>
              </w:tabs>
              <w:spacing w:before="0" w:after="240"/>
              <w:jc w:val="left"/>
              <w:rPr>
                <w:rFonts w:ascii="Calibri" w:hAnsi="Calibri" w:cs="Calibri"/>
                <w:b/>
                <w:b/>
                <w:sz w:val="22"/>
                <w:szCs w:val="22"/>
              </w:rPr>
            </w:pPr>
            <w:r>
              <w:rPr>
                <w:rFonts w:cs="Calibri"/>
                <w:b/>
                <w:sz w:val="22"/>
                <w:szCs w:val="22"/>
              </w:rPr>
              <w:t>Χαρακτηριστικό</w:t>
            </w:r>
          </w:p>
        </w:tc>
        <w:tc>
          <w:tcPr>
            <w:tcW w:w="4353" w:type="dxa"/>
            <w:tcBorders>
              <w:top w:val="single" w:sz="4" w:space="0" w:color="000000"/>
              <w:left w:val="single" w:sz="4" w:space="0" w:color="000000"/>
              <w:bottom w:val="single" w:sz="4" w:space="0" w:color="000000"/>
            </w:tcBorders>
            <w:shd w:fill="F2F2F2" w:val="clear"/>
          </w:tcPr>
          <w:p>
            <w:pPr>
              <w:pStyle w:val="Style25"/>
              <w:widowControl w:val="false"/>
              <w:tabs>
                <w:tab w:val="clear" w:pos="720"/>
                <w:tab w:val="left" w:pos="-540" w:leader="none"/>
              </w:tabs>
              <w:spacing w:before="0" w:after="240"/>
              <w:jc w:val="left"/>
              <w:rPr>
                <w:rFonts w:ascii="Calibri" w:hAnsi="Calibri" w:cs="Calibri"/>
                <w:b/>
                <w:b/>
                <w:sz w:val="22"/>
                <w:szCs w:val="22"/>
              </w:rPr>
            </w:pPr>
            <w:r>
              <w:rPr>
                <w:rFonts w:cs="Calibri"/>
                <w:b/>
                <w:sz w:val="22"/>
                <w:szCs w:val="22"/>
              </w:rPr>
              <w:t>Απαίτηση</w:t>
            </w:r>
          </w:p>
        </w:tc>
        <w:tc>
          <w:tcPr>
            <w:tcW w:w="2629" w:type="dxa"/>
            <w:tcBorders>
              <w:top w:val="single" w:sz="4" w:space="0" w:color="000000"/>
              <w:left w:val="single" w:sz="4" w:space="0" w:color="000000"/>
              <w:bottom w:val="single" w:sz="4" w:space="0" w:color="000000"/>
              <w:right w:val="single" w:sz="4" w:space="0" w:color="000000"/>
            </w:tcBorders>
            <w:shd w:fill="F2F2F2" w:val="clear"/>
          </w:tcPr>
          <w:p>
            <w:pPr>
              <w:pStyle w:val="Style25"/>
              <w:widowControl w:val="false"/>
              <w:tabs>
                <w:tab w:val="clear" w:pos="720"/>
                <w:tab w:val="left" w:pos="-540" w:leader="none"/>
              </w:tabs>
              <w:spacing w:before="0" w:after="240"/>
              <w:jc w:val="left"/>
              <w:rPr>
                <w:rFonts w:ascii="Calibri" w:hAnsi="Calibri" w:cs="Calibri"/>
                <w:b/>
                <w:b/>
                <w:sz w:val="22"/>
                <w:szCs w:val="22"/>
              </w:rPr>
            </w:pPr>
            <w:r>
              <w:rPr>
                <w:rFonts w:cs="Calibri"/>
                <w:b/>
                <w:sz w:val="22"/>
                <w:szCs w:val="22"/>
              </w:rPr>
              <w:t>Παρατηρήσεις</w:t>
            </w:r>
          </w:p>
        </w:tc>
      </w:tr>
      <w:tr>
        <w:trPr/>
        <w:tc>
          <w:tcPr>
            <w:tcW w:w="2434" w:type="dxa"/>
            <w:tcBorders>
              <w:top w:val="single" w:sz="4" w:space="0" w:color="000000"/>
              <w:left w:val="single" w:sz="4" w:space="0" w:color="000000"/>
              <w:bottom w:val="single" w:sz="4" w:space="0" w:color="000000"/>
            </w:tcBorders>
          </w:tcPr>
          <w:p>
            <w:pPr>
              <w:pStyle w:val="Normal"/>
              <w:widowControl w:val="false"/>
              <w:snapToGrid w:val="false"/>
              <w:spacing w:before="0" w:after="120"/>
              <w:rPr>
                <w:rFonts w:ascii="Calibri" w:hAnsi="Calibri" w:cs="Calibri"/>
                <w:sz w:val="22"/>
                <w:szCs w:val="22"/>
              </w:rPr>
            </w:pPr>
            <w:r>
              <w:rPr>
                <w:rFonts w:cs="Calibri"/>
                <w:sz w:val="22"/>
                <w:szCs w:val="22"/>
              </w:rPr>
              <w:t>Τύπος</w:t>
            </w:r>
          </w:p>
        </w:tc>
        <w:tc>
          <w:tcPr>
            <w:tcW w:w="4353" w:type="dxa"/>
            <w:tcBorders>
              <w:top w:val="single" w:sz="4" w:space="0" w:color="000000"/>
              <w:left w:val="single" w:sz="4" w:space="0" w:color="000000"/>
              <w:bottom w:val="single" w:sz="4" w:space="0" w:color="000000"/>
            </w:tcBorders>
          </w:tcPr>
          <w:p>
            <w:pPr>
              <w:pStyle w:val="Normal"/>
              <w:widowControl w:val="false"/>
              <w:snapToGrid w:val="false"/>
              <w:spacing w:before="0" w:after="120"/>
              <w:rPr>
                <w:rFonts w:ascii="Calibri" w:hAnsi="Calibri" w:cs="Calibri"/>
                <w:sz w:val="22"/>
                <w:szCs w:val="22"/>
                <w:lang w:val="en-US"/>
              </w:rPr>
            </w:pPr>
            <w:r>
              <w:rPr>
                <w:rFonts w:cs="Calibri"/>
                <w:sz w:val="22"/>
                <w:szCs w:val="22"/>
                <w:lang w:val="en-US"/>
              </w:rPr>
              <w:t>Optical</w:t>
            </w:r>
          </w:p>
        </w:tc>
        <w:tc>
          <w:tcPr>
            <w:tcW w:w="2629" w:type="dxa"/>
            <w:tcBorders>
              <w:top w:val="single" w:sz="4" w:space="0" w:color="000000"/>
              <w:left w:val="single" w:sz="4" w:space="0" w:color="000000"/>
              <w:bottom w:val="single" w:sz="4" w:space="0" w:color="000000"/>
              <w:right w:val="single" w:sz="4" w:space="0" w:color="000000"/>
            </w:tcBorders>
          </w:tcPr>
          <w:p>
            <w:pPr>
              <w:pStyle w:val="Style25"/>
              <w:widowControl w:val="false"/>
              <w:tabs>
                <w:tab w:val="clear" w:pos="720"/>
                <w:tab w:val="left" w:pos="-540" w:leader="none"/>
              </w:tabs>
              <w:snapToGrid w:val="false"/>
              <w:spacing w:before="0" w:after="240"/>
              <w:jc w:val="left"/>
              <w:rPr>
                <w:rFonts w:ascii="Calibri" w:hAnsi="Calibri" w:cs="Calibri"/>
                <w:sz w:val="22"/>
                <w:szCs w:val="22"/>
              </w:rPr>
            </w:pPr>
            <w:r>
              <w:rPr>
                <w:rFonts w:cs="Calibri"/>
                <w:sz w:val="22"/>
                <w:szCs w:val="22"/>
              </w:rPr>
            </w:r>
          </w:p>
        </w:tc>
      </w:tr>
      <w:tr>
        <w:trPr/>
        <w:tc>
          <w:tcPr>
            <w:tcW w:w="2434" w:type="dxa"/>
            <w:tcBorders>
              <w:left w:val="single" w:sz="4" w:space="0" w:color="000000"/>
              <w:bottom w:val="single" w:sz="4" w:space="0" w:color="000000"/>
            </w:tcBorders>
          </w:tcPr>
          <w:p>
            <w:pPr>
              <w:pStyle w:val="Normal"/>
              <w:widowControl w:val="false"/>
              <w:snapToGrid w:val="false"/>
              <w:spacing w:before="0" w:after="120"/>
              <w:rPr>
                <w:rFonts w:ascii="Calibri" w:hAnsi="Calibri" w:cs="Calibri"/>
                <w:sz w:val="22"/>
                <w:szCs w:val="22"/>
              </w:rPr>
            </w:pPr>
            <w:r>
              <w:rPr>
                <w:rFonts w:cs="Calibri"/>
                <w:sz w:val="22"/>
                <w:szCs w:val="22"/>
              </w:rPr>
              <w:t>Μέγεθος</w:t>
            </w:r>
          </w:p>
        </w:tc>
        <w:tc>
          <w:tcPr>
            <w:tcW w:w="4353" w:type="dxa"/>
            <w:tcBorders>
              <w:left w:val="single" w:sz="4" w:space="0" w:color="000000"/>
              <w:bottom w:val="single" w:sz="4" w:space="0" w:color="000000"/>
            </w:tcBorders>
          </w:tcPr>
          <w:p>
            <w:pPr>
              <w:pStyle w:val="Normal"/>
              <w:widowControl w:val="false"/>
              <w:snapToGrid w:val="false"/>
              <w:spacing w:before="0" w:after="120"/>
              <w:rPr>
                <w:rFonts w:ascii="Calibri" w:hAnsi="Calibri" w:cs="Calibri"/>
                <w:sz w:val="22"/>
                <w:szCs w:val="22"/>
                <w:lang w:val="en-US"/>
              </w:rPr>
            </w:pPr>
            <w:r>
              <w:rPr>
                <w:rFonts w:cs="Calibri"/>
                <w:sz w:val="22"/>
                <w:szCs w:val="22"/>
                <w:lang w:val="en-US"/>
              </w:rPr>
              <w:t>Standard</w:t>
            </w:r>
          </w:p>
        </w:tc>
        <w:tc>
          <w:tcPr>
            <w:tcW w:w="2629" w:type="dxa"/>
            <w:tcBorders>
              <w:left w:val="single" w:sz="4" w:space="0" w:color="000000"/>
              <w:bottom w:val="single" w:sz="4" w:space="0" w:color="000000"/>
              <w:right w:val="single" w:sz="4" w:space="0" w:color="000000"/>
            </w:tcBorders>
          </w:tcPr>
          <w:p>
            <w:pPr>
              <w:pStyle w:val="Style25"/>
              <w:widowControl w:val="false"/>
              <w:tabs>
                <w:tab w:val="clear" w:pos="720"/>
                <w:tab w:val="left" w:pos="-540" w:leader="none"/>
              </w:tabs>
              <w:snapToGrid w:val="false"/>
              <w:spacing w:before="0" w:after="240"/>
              <w:jc w:val="left"/>
              <w:rPr>
                <w:rFonts w:ascii="Calibri" w:hAnsi="Calibri" w:cs="Calibri"/>
                <w:sz w:val="22"/>
                <w:szCs w:val="22"/>
              </w:rPr>
            </w:pPr>
            <w:r>
              <w:rPr>
                <w:rFonts w:cs="Calibri"/>
                <w:sz w:val="22"/>
                <w:szCs w:val="22"/>
              </w:rPr>
            </w:r>
          </w:p>
        </w:tc>
      </w:tr>
      <w:tr>
        <w:trPr/>
        <w:tc>
          <w:tcPr>
            <w:tcW w:w="2434" w:type="dxa"/>
            <w:tcBorders>
              <w:left w:val="single" w:sz="4" w:space="0" w:color="000000"/>
              <w:bottom w:val="single" w:sz="4" w:space="0" w:color="000000"/>
            </w:tcBorders>
          </w:tcPr>
          <w:p>
            <w:pPr>
              <w:pStyle w:val="Normal"/>
              <w:widowControl w:val="false"/>
              <w:snapToGrid w:val="false"/>
              <w:spacing w:before="0" w:after="120"/>
              <w:rPr>
                <w:rFonts w:ascii="Calibri" w:hAnsi="Calibri" w:cs="Calibri"/>
                <w:sz w:val="22"/>
                <w:szCs w:val="22"/>
              </w:rPr>
            </w:pPr>
            <w:r>
              <w:rPr>
                <w:rFonts w:cs="Calibri"/>
                <w:sz w:val="22"/>
                <w:szCs w:val="22"/>
              </w:rPr>
              <w:t>Σύνδεση</w:t>
            </w:r>
          </w:p>
        </w:tc>
        <w:tc>
          <w:tcPr>
            <w:tcW w:w="4353" w:type="dxa"/>
            <w:tcBorders>
              <w:left w:val="single" w:sz="4" w:space="0" w:color="000000"/>
              <w:bottom w:val="single" w:sz="4" w:space="0" w:color="000000"/>
            </w:tcBorders>
          </w:tcPr>
          <w:p>
            <w:pPr>
              <w:pStyle w:val="Normal"/>
              <w:widowControl w:val="false"/>
              <w:snapToGrid w:val="false"/>
              <w:spacing w:before="0" w:after="120"/>
              <w:rPr/>
            </w:pPr>
            <w:r>
              <w:rPr>
                <w:rFonts w:cs="Calibri"/>
                <w:sz w:val="22"/>
                <w:szCs w:val="22"/>
              </w:rPr>
              <w:t xml:space="preserve">Ασύρματο, </w:t>
            </w:r>
            <w:r>
              <w:rPr>
                <w:rFonts w:cs="Calibri"/>
                <w:sz w:val="22"/>
                <w:szCs w:val="22"/>
                <w:lang w:val="en-US"/>
              </w:rPr>
              <w:t>USB</w:t>
            </w:r>
          </w:p>
        </w:tc>
        <w:tc>
          <w:tcPr>
            <w:tcW w:w="2629" w:type="dxa"/>
            <w:tcBorders>
              <w:left w:val="single" w:sz="4" w:space="0" w:color="000000"/>
              <w:bottom w:val="single" w:sz="4" w:space="0" w:color="000000"/>
              <w:right w:val="single" w:sz="4" w:space="0" w:color="000000"/>
            </w:tcBorders>
          </w:tcPr>
          <w:p>
            <w:pPr>
              <w:pStyle w:val="Style25"/>
              <w:widowControl w:val="false"/>
              <w:tabs>
                <w:tab w:val="clear" w:pos="720"/>
                <w:tab w:val="left" w:pos="-540" w:leader="none"/>
              </w:tabs>
              <w:snapToGrid w:val="false"/>
              <w:spacing w:before="0" w:after="240"/>
              <w:jc w:val="left"/>
              <w:rPr>
                <w:rFonts w:ascii="Calibri" w:hAnsi="Calibri" w:cs="Calibri"/>
                <w:sz w:val="22"/>
                <w:szCs w:val="22"/>
              </w:rPr>
            </w:pPr>
            <w:r>
              <w:rPr>
                <w:rFonts w:cs="Calibri"/>
                <w:sz w:val="22"/>
                <w:szCs w:val="22"/>
              </w:rPr>
            </w:r>
          </w:p>
        </w:tc>
      </w:tr>
      <w:tr>
        <w:trPr/>
        <w:tc>
          <w:tcPr>
            <w:tcW w:w="2434" w:type="dxa"/>
            <w:tcBorders>
              <w:left w:val="single" w:sz="4" w:space="0" w:color="000000"/>
              <w:bottom w:val="single" w:sz="4" w:space="0" w:color="000000"/>
            </w:tcBorders>
          </w:tcPr>
          <w:p>
            <w:pPr>
              <w:pStyle w:val="Normal"/>
              <w:widowControl w:val="false"/>
              <w:snapToGrid w:val="false"/>
              <w:spacing w:before="0" w:after="120"/>
              <w:rPr>
                <w:rFonts w:ascii="Calibri" w:hAnsi="Calibri" w:cs="Calibri"/>
                <w:sz w:val="22"/>
                <w:szCs w:val="22"/>
              </w:rPr>
            </w:pPr>
            <w:r>
              <w:rPr>
                <w:rFonts w:cs="Calibri"/>
                <w:sz w:val="22"/>
                <w:szCs w:val="22"/>
              </w:rPr>
              <w:t>Πλήκτρα</w:t>
            </w:r>
          </w:p>
        </w:tc>
        <w:tc>
          <w:tcPr>
            <w:tcW w:w="4353" w:type="dxa"/>
            <w:tcBorders>
              <w:left w:val="single" w:sz="4" w:space="0" w:color="000000"/>
              <w:bottom w:val="single" w:sz="4" w:space="0" w:color="000000"/>
            </w:tcBorders>
          </w:tcPr>
          <w:p>
            <w:pPr>
              <w:pStyle w:val="Normal"/>
              <w:widowControl w:val="false"/>
              <w:snapToGrid w:val="false"/>
              <w:spacing w:before="0" w:after="120"/>
              <w:rPr>
                <w:rFonts w:ascii="Calibri" w:hAnsi="Calibri" w:cs="Calibri"/>
                <w:sz w:val="22"/>
                <w:szCs w:val="22"/>
                <w:lang w:val="en-US"/>
              </w:rPr>
            </w:pPr>
            <w:r>
              <w:rPr>
                <w:rFonts w:cs="Calibri"/>
                <w:sz w:val="22"/>
                <w:szCs w:val="22"/>
                <w:lang w:val="en-US"/>
              </w:rPr>
              <w:t>2</w:t>
            </w:r>
          </w:p>
        </w:tc>
        <w:tc>
          <w:tcPr>
            <w:tcW w:w="2629" w:type="dxa"/>
            <w:tcBorders>
              <w:left w:val="single" w:sz="4" w:space="0" w:color="000000"/>
              <w:bottom w:val="single" w:sz="4" w:space="0" w:color="000000"/>
              <w:right w:val="single" w:sz="4" w:space="0" w:color="000000"/>
            </w:tcBorders>
          </w:tcPr>
          <w:p>
            <w:pPr>
              <w:pStyle w:val="Style25"/>
              <w:widowControl w:val="false"/>
              <w:tabs>
                <w:tab w:val="clear" w:pos="720"/>
                <w:tab w:val="left" w:pos="-540" w:leader="none"/>
              </w:tabs>
              <w:snapToGrid w:val="false"/>
              <w:spacing w:before="0" w:after="240"/>
              <w:jc w:val="left"/>
              <w:rPr>
                <w:rFonts w:ascii="Calibri" w:hAnsi="Calibri" w:cs="Calibri"/>
                <w:sz w:val="22"/>
                <w:szCs w:val="22"/>
              </w:rPr>
            </w:pPr>
            <w:r>
              <w:rPr>
                <w:rFonts w:cs="Calibri"/>
                <w:sz w:val="22"/>
                <w:szCs w:val="22"/>
              </w:rPr>
            </w:r>
          </w:p>
        </w:tc>
      </w:tr>
      <w:tr>
        <w:trPr/>
        <w:tc>
          <w:tcPr>
            <w:tcW w:w="2434" w:type="dxa"/>
            <w:tcBorders>
              <w:left w:val="single" w:sz="4" w:space="0" w:color="000000"/>
              <w:bottom w:val="single" w:sz="4" w:space="0" w:color="000000"/>
            </w:tcBorders>
          </w:tcPr>
          <w:p>
            <w:pPr>
              <w:pStyle w:val="Normal"/>
              <w:widowControl w:val="false"/>
              <w:snapToGrid w:val="false"/>
              <w:spacing w:before="0" w:after="120"/>
              <w:rPr>
                <w:rFonts w:ascii="Calibri" w:hAnsi="Calibri" w:cs="Calibri"/>
                <w:sz w:val="22"/>
                <w:szCs w:val="22"/>
              </w:rPr>
            </w:pPr>
            <w:r>
              <w:rPr>
                <w:rFonts w:cs="Calibri"/>
                <w:sz w:val="22"/>
                <w:szCs w:val="22"/>
              </w:rPr>
              <w:t>Ροδέλα κύλισης</w:t>
            </w:r>
          </w:p>
        </w:tc>
        <w:tc>
          <w:tcPr>
            <w:tcW w:w="4353" w:type="dxa"/>
            <w:tcBorders>
              <w:left w:val="single" w:sz="4" w:space="0" w:color="000000"/>
              <w:bottom w:val="single" w:sz="4" w:space="0" w:color="000000"/>
            </w:tcBorders>
          </w:tcPr>
          <w:p>
            <w:pPr>
              <w:pStyle w:val="Normal"/>
              <w:widowControl w:val="false"/>
              <w:snapToGrid w:val="false"/>
              <w:spacing w:before="0" w:after="120"/>
              <w:rPr>
                <w:rFonts w:ascii="Calibri" w:hAnsi="Calibri" w:cs="Calibri"/>
                <w:sz w:val="22"/>
                <w:szCs w:val="22"/>
              </w:rPr>
            </w:pPr>
            <w:r>
              <w:rPr>
                <w:rFonts w:cs="Calibri"/>
                <w:sz w:val="22"/>
                <w:szCs w:val="22"/>
              </w:rPr>
              <w:t>Ναι</w:t>
            </w:r>
          </w:p>
        </w:tc>
        <w:tc>
          <w:tcPr>
            <w:tcW w:w="2629" w:type="dxa"/>
            <w:tcBorders>
              <w:left w:val="single" w:sz="4" w:space="0" w:color="000000"/>
              <w:bottom w:val="single" w:sz="4" w:space="0" w:color="000000"/>
              <w:right w:val="single" w:sz="4" w:space="0" w:color="000000"/>
            </w:tcBorders>
          </w:tcPr>
          <w:p>
            <w:pPr>
              <w:pStyle w:val="Style25"/>
              <w:widowControl w:val="false"/>
              <w:tabs>
                <w:tab w:val="clear" w:pos="720"/>
                <w:tab w:val="left" w:pos="-540" w:leader="none"/>
              </w:tabs>
              <w:snapToGrid w:val="false"/>
              <w:spacing w:before="0" w:after="240"/>
              <w:jc w:val="left"/>
              <w:rPr>
                <w:rFonts w:ascii="Calibri" w:hAnsi="Calibri" w:cs="Calibri"/>
                <w:sz w:val="22"/>
                <w:szCs w:val="22"/>
              </w:rPr>
            </w:pPr>
            <w:r>
              <w:rPr>
                <w:rFonts w:cs="Calibri"/>
                <w:sz w:val="22"/>
                <w:szCs w:val="22"/>
              </w:rPr>
            </w:r>
          </w:p>
        </w:tc>
      </w:tr>
      <w:tr>
        <w:trPr/>
        <w:tc>
          <w:tcPr>
            <w:tcW w:w="2434" w:type="dxa"/>
            <w:tcBorders>
              <w:left w:val="single" w:sz="4" w:space="0" w:color="000000"/>
              <w:bottom w:val="single" w:sz="4" w:space="0" w:color="000000"/>
            </w:tcBorders>
          </w:tcPr>
          <w:p>
            <w:pPr>
              <w:pStyle w:val="Normal"/>
              <w:widowControl w:val="false"/>
              <w:snapToGrid w:val="false"/>
              <w:spacing w:before="0" w:after="120"/>
              <w:rPr>
                <w:rFonts w:ascii="Calibri" w:hAnsi="Calibri" w:cs="Calibri"/>
                <w:sz w:val="22"/>
                <w:szCs w:val="22"/>
              </w:rPr>
            </w:pPr>
            <w:r>
              <w:rPr>
                <w:rFonts w:cs="Calibri"/>
                <w:sz w:val="22"/>
                <w:szCs w:val="22"/>
              </w:rPr>
              <w:t>Εγγύηση</w:t>
            </w:r>
          </w:p>
        </w:tc>
        <w:tc>
          <w:tcPr>
            <w:tcW w:w="4353" w:type="dxa"/>
            <w:tcBorders>
              <w:left w:val="single" w:sz="4" w:space="0" w:color="000000"/>
              <w:bottom w:val="single" w:sz="4" w:space="0" w:color="000000"/>
            </w:tcBorders>
          </w:tcPr>
          <w:p>
            <w:pPr>
              <w:pStyle w:val="Normal"/>
              <w:widowControl w:val="false"/>
              <w:snapToGrid w:val="false"/>
              <w:spacing w:before="0" w:after="120"/>
              <w:rPr>
                <w:rFonts w:ascii="Calibri" w:hAnsi="Calibri" w:cs="Calibri"/>
                <w:sz w:val="22"/>
                <w:szCs w:val="22"/>
              </w:rPr>
            </w:pPr>
            <w:r>
              <w:rPr>
                <w:rFonts w:cs="Calibri"/>
                <w:sz w:val="22"/>
                <w:szCs w:val="22"/>
              </w:rPr>
              <w:t>&gt;=2 έτη</w:t>
            </w:r>
          </w:p>
        </w:tc>
        <w:tc>
          <w:tcPr>
            <w:tcW w:w="2629" w:type="dxa"/>
            <w:tcBorders>
              <w:left w:val="single" w:sz="4" w:space="0" w:color="000000"/>
              <w:bottom w:val="single" w:sz="4" w:space="0" w:color="000000"/>
              <w:right w:val="single" w:sz="4" w:space="0" w:color="000000"/>
            </w:tcBorders>
          </w:tcPr>
          <w:p>
            <w:pPr>
              <w:pStyle w:val="Style25"/>
              <w:widowControl w:val="false"/>
              <w:tabs>
                <w:tab w:val="clear" w:pos="720"/>
                <w:tab w:val="left" w:pos="-540" w:leader="none"/>
              </w:tabs>
              <w:snapToGrid w:val="false"/>
              <w:spacing w:before="0" w:after="240"/>
              <w:jc w:val="left"/>
              <w:rPr>
                <w:rFonts w:ascii="Calibri" w:hAnsi="Calibri" w:cs="Calibri"/>
                <w:sz w:val="22"/>
                <w:szCs w:val="22"/>
              </w:rPr>
            </w:pPr>
            <w:r>
              <w:rPr>
                <w:rFonts w:cs="Calibri"/>
                <w:sz w:val="22"/>
                <w:szCs w:val="22"/>
              </w:rPr>
            </w:r>
          </w:p>
        </w:tc>
      </w:tr>
    </w:tbl>
    <w:p>
      <w:pPr>
        <w:pStyle w:val="Normal"/>
        <w:tabs>
          <w:tab w:val="clear" w:pos="720"/>
          <w:tab w:val="left" w:pos="4095" w:leader="none"/>
        </w:tabs>
        <w:rPr>
          <w:rFonts w:ascii="Verdana" w:hAnsi="Verdana" w:cs="Verdana"/>
          <w:sz w:val="22"/>
          <w:szCs w:val="22"/>
        </w:rPr>
      </w:pPr>
      <w:r>
        <w:rPr>
          <w:rFonts w:cs="Verdana" w:ascii="Verdana" w:hAnsi="Verdana"/>
          <w:sz w:val="22"/>
          <w:szCs w:val="22"/>
        </w:rPr>
      </w:r>
    </w:p>
    <w:p>
      <w:pPr>
        <w:pStyle w:val="Normal"/>
        <w:tabs>
          <w:tab w:val="clear" w:pos="720"/>
          <w:tab w:val="left" w:pos="4800" w:leader="none"/>
        </w:tabs>
        <w:spacing w:before="0" w:after="63"/>
        <w:jc w:val="center"/>
        <w:rPr>
          <w:rFonts w:ascii="Calibri" w:hAnsi="Calibri" w:cs="Calibri"/>
          <w:b/>
          <w:b/>
          <w:u w:val="single"/>
        </w:rPr>
      </w:pPr>
      <w:r>
        <w:rPr>
          <w:rFonts w:cs="Calibri"/>
          <w:b/>
          <w:u w:val="single"/>
        </w:rPr>
        <w:t>Πρότυπα - Κανονισμοί</w:t>
      </w:r>
    </w:p>
    <w:p>
      <w:pPr>
        <w:pStyle w:val="Normal"/>
        <w:spacing w:before="0" w:after="63"/>
        <w:jc w:val="both"/>
        <w:rPr>
          <w:rFonts w:ascii="Calibri" w:hAnsi="Calibri" w:cs="Calibri"/>
        </w:rPr>
      </w:pPr>
      <w:r>
        <w:rPr>
          <w:rFonts w:cs="Calibri"/>
        </w:rPr>
        <w:t>Τα είδη θα παραδοθούν μονταρισμένα. Η μεταφορά των ειδών στους υποδεικνυόμενους από την υπηρεσία χώρους θα πραγματοποιηθεί με μέσα και έξοδα του προμηθευτή.</w:t>
      </w:r>
    </w:p>
    <w:p>
      <w:pPr>
        <w:pStyle w:val="Normal"/>
        <w:spacing w:before="0" w:after="63"/>
        <w:jc w:val="both"/>
        <w:rPr/>
      </w:pPr>
      <w:r>
        <w:rPr>
          <w:rFonts w:cs="Calibri"/>
          <w:bCs/>
        </w:rPr>
        <w:t>Η ποιότητα των ειδών θα είναι άριστη</w:t>
      </w:r>
      <w:r>
        <w:rPr>
          <w:rFonts w:cs="Calibri"/>
        </w:rPr>
        <w:t xml:space="preserve">. Τα υλικά θα πρέπει να είναι </w:t>
      </w:r>
      <w:r>
        <w:rPr/>
        <w:t xml:space="preserve">γνωστού και αναγνωρισμένου τύπου, φτιαγμένα </w:t>
      </w:r>
      <w:r>
        <w:rPr>
          <w:rFonts w:cs="Calibri"/>
        </w:rPr>
        <w:t>απολύτως σύμφωνα με τις τελευταίες εκδόσεις των προτύπων των χωρών της Ε.Ε., καθώς και με όλους του ισχύοντες Ελληνικούς κανονισμούς.</w:t>
      </w:r>
    </w:p>
    <w:p>
      <w:pPr>
        <w:pStyle w:val="Normal"/>
        <w:spacing w:before="0" w:after="63"/>
        <w:jc w:val="both"/>
        <w:rPr>
          <w:rFonts w:ascii="Calibri" w:hAnsi="Calibri" w:cs="Calibri"/>
        </w:rPr>
      </w:pPr>
      <w:r>
        <w:rPr>
          <w:rFonts w:cs="Calibri"/>
        </w:rPr>
        <w:t>Η Προμήθεια, θα γίνει σύμφωνα με:</w:t>
      </w:r>
    </w:p>
    <w:p>
      <w:pPr>
        <w:pStyle w:val="Normal"/>
        <w:spacing w:before="0" w:after="63"/>
        <w:jc w:val="both"/>
        <w:rPr>
          <w:rFonts w:ascii="Calibri" w:hAnsi="Calibri" w:cs="Calibri"/>
        </w:rPr>
      </w:pPr>
      <w:r>
        <w:rPr>
          <w:rFonts w:cs="Calibri"/>
        </w:rPr>
        <w:t>α. Την ισχύουσα Ελληνική Νομοθεσία</w:t>
      </w:r>
    </w:p>
    <w:p>
      <w:pPr>
        <w:pStyle w:val="Normal"/>
        <w:spacing w:before="0" w:after="63"/>
        <w:jc w:val="both"/>
        <w:rPr>
          <w:rFonts w:ascii="Calibri" w:hAnsi="Calibri" w:cs="Calibri"/>
        </w:rPr>
      </w:pPr>
      <w:r>
        <w:rPr>
          <w:rFonts w:cs="Calibri"/>
        </w:rPr>
        <w:t>β. Τα υπάρχοντα Ελληνικά Πρότυπα (ΕΛΟΤ)</w:t>
      </w:r>
    </w:p>
    <w:p>
      <w:pPr>
        <w:pStyle w:val="Normal"/>
        <w:spacing w:before="0" w:after="63"/>
        <w:jc w:val="both"/>
        <w:rPr>
          <w:rFonts w:ascii="Calibri" w:hAnsi="Calibri" w:cs="Calibri"/>
        </w:rPr>
      </w:pPr>
      <w:r>
        <w:rPr>
          <w:rFonts w:cs="Calibri"/>
        </w:rPr>
        <w:t>γ. Τα Ευρωπαϊκά Πρότυπα (ΕΝ, CE)</w:t>
      </w:r>
    </w:p>
    <w:p>
      <w:pPr>
        <w:pStyle w:val="Normal"/>
        <w:spacing w:before="0" w:after="63"/>
        <w:jc w:val="both"/>
        <w:rPr>
          <w:rFonts w:ascii="Calibri" w:hAnsi="Calibri" w:cs="Calibri"/>
        </w:rPr>
      </w:pPr>
      <w:r>
        <w:rPr>
          <w:rFonts w:cs="Calibri"/>
        </w:rPr>
        <w:t>δ. Τα Διεθνή Πρότυπα (ΙSΟ)</w:t>
      </w:r>
    </w:p>
    <w:p>
      <w:pPr>
        <w:pStyle w:val="Normal"/>
        <w:spacing w:before="0" w:after="63"/>
        <w:jc w:val="both"/>
        <w:rPr>
          <w:rFonts w:ascii="Calibri" w:hAnsi="Calibri" w:cs="Calibri"/>
        </w:rPr>
      </w:pPr>
      <w:r>
        <w:rPr>
          <w:rFonts w:cs="Calibri"/>
        </w:rPr>
        <w:t>ε. Τα Εθνικά Πρότυπα των χωρών της Ευρωπαϊκής Κοινότητας (DIN, BS, ΕΚΕΒΥΛ, κλπ.).</w:t>
      </w:r>
    </w:p>
    <w:p>
      <w:pPr>
        <w:pStyle w:val="Normal"/>
        <w:spacing w:before="0" w:after="63"/>
        <w:jc w:val="both"/>
        <w:rPr>
          <w:rFonts w:ascii="Calibri" w:hAnsi="Calibri" w:cs="Calibri"/>
        </w:rPr>
      </w:pPr>
      <w:r>
        <w:rPr>
          <w:rFonts w:cs="Calibri"/>
        </w:rPr>
        <w:t>Επίσης τα παραπάνω ισχύουν και όσον αφορά:</w:t>
      </w:r>
    </w:p>
    <w:p>
      <w:pPr>
        <w:pStyle w:val="Normal"/>
        <w:spacing w:before="0" w:after="63"/>
        <w:jc w:val="both"/>
        <w:rPr>
          <w:rFonts w:ascii="Calibri" w:hAnsi="Calibri" w:cs="Calibri"/>
        </w:rPr>
      </w:pPr>
      <w:r>
        <w:rPr>
          <w:rFonts w:cs="Calibri"/>
        </w:rPr>
        <w:t>1. Τα Ποιοτικά Συστήματα και τις Μεθόδους ποιοτικής εξασφάλισης στην Παραγωγή, Εγκατάσταση και Συντήρηση μετά την πώληση των διαφόρων ειδών.</w:t>
      </w:r>
    </w:p>
    <w:p>
      <w:pPr>
        <w:pStyle w:val="Normal"/>
        <w:spacing w:before="0" w:after="63"/>
        <w:jc w:val="both"/>
        <w:rPr>
          <w:rFonts w:ascii="Calibri" w:hAnsi="Calibri" w:cs="Calibri"/>
        </w:rPr>
      </w:pPr>
      <w:r>
        <w:rPr>
          <w:rFonts w:cs="Calibri"/>
        </w:rPr>
        <w:t>2. Τις βασικές Προδιαγραφές Ασφάλειας για τους χρήστες των ειδών.</w:t>
      </w:r>
    </w:p>
    <w:p>
      <w:pPr>
        <w:pStyle w:val="Normal"/>
        <w:spacing w:before="0" w:after="63"/>
        <w:jc w:val="both"/>
        <w:rPr>
          <w:rFonts w:ascii="Calibri" w:hAnsi="Calibri" w:cs="Calibri"/>
        </w:rPr>
      </w:pPr>
      <w:r>
        <w:rPr>
          <w:rFonts w:cs="Calibri"/>
        </w:rPr>
        <w:t>3. Τις βασικές Προδιαγραφές Διαστάσεων (γενικών και επί μέρους) των διαφόρων ειδών.</w:t>
      </w:r>
    </w:p>
    <w:p>
      <w:pPr>
        <w:pStyle w:val="Normal"/>
        <w:spacing w:before="0" w:after="63"/>
        <w:jc w:val="both"/>
        <w:rPr>
          <w:rFonts w:ascii="Calibri" w:hAnsi="Calibri" w:cs="Calibri"/>
        </w:rPr>
      </w:pPr>
      <w:r>
        <w:rPr>
          <w:rFonts w:cs="Calibri"/>
        </w:rPr>
        <w:t>4. Τις απαιτήσεις Πυρασφάλειας (αναφλεξιμότητα, μετάδοση φλόγας, κλπ.) των χρησιμοποιούμενων υλικών.</w:t>
      </w:r>
    </w:p>
    <w:p>
      <w:pPr>
        <w:pStyle w:val="Normal"/>
        <w:spacing w:before="0" w:after="63"/>
        <w:jc w:val="both"/>
        <w:rPr>
          <w:rFonts w:ascii="Calibri" w:hAnsi="Calibri" w:cs="Calibri"/>
        </w:rPr>
      </w:pPr>
      <w:r>
        <w:rPr>
          <w:rFonts w:cs="Calibri"/>
        </w:rPr>
        <w:t>Η αντοχή των υλικών θα είναι σύμφωνη με όλες τις σύγχρονες προδιαγραφές αντοχής υλικών</w:t>
      </w:r>
    </w:p>
    <w:p>
      <w:pPr>
        <w:pStyle w:val="Normal"/>
        <w:spacing w:before="0" w:after="63"/>
        <w:rPr>
          <w:rFonts w:ascii="Calibri" w:hAnsi="Calibri" w:cs="Calibri"/>
        </w:rPr>
      </w:pPr>
      <w:r>
        <w:rPr>
          <w:rFonts w:cs="Calibri"/>
        </w:rPr>
        <w:t>UNI EN 1022/98</w:t>
      </w:r>
    </w:p>
    <w:p>
      <w:pPr>
        <w:pStyle w:val="Normal"/>
        <w:spacing w:before="0" w:after="63"/>
        <w:rPr>
          <w:rFonts w:ascii="Calibri" w:hAnsi="Calibri" w:cs="Calibri"/>
        </w:rPr>
      </w:pPr>
      <w:r>
        <w:rPr>
          <w:rFonts w:cs="Calibri"/>
        </w:rPr>
        <w:t>EN 1728/2000</w:t>
      </w:r>
    </w:p>
    <w:p>
      <w:pPr>
        <w:pStyle w:val="Normal"/>
        <w:tabs>
          <w:tab w:val="clear" w:pos="720"/>
          <w:tab w:val="left" w:pos="4800" w:leader="none"/>
        </w:tabs>
        <w:spacing w:before="0" w:after="63"/>
        <w:rPr>
          <w:rFonts w:ascii="Calibri" w:hAnsi="Calibri" w:cs="Calibri"/>
        </w:rPr>
      </w:pPr>
      <w:r>
        <w:rPr>
          <w:rFonts w:cs="Calibri"/>
        </w:rPr>
        <w:t>EN 12727/2000</w:t>
      </w:r>
    </w:p>
    <w:p>
      <w:pPr>
        <w:pStyle w:val="Normal"/>
        <w:tabs>
          <w:tab w:val="clear" w:pos="720"/>
          <w:tab w:val="left" w:pos="4800" w:leader="none"/>
        </w:tabs>
        <w:spacing w:before="0" w:after="63"/>
        <w:jc w:val="both"/>
        <w:rPr/>
      </w:pPr>
      <w:r>
        <w:rPr/>
        <w:t>Τα ηλεκτρικά είδη, κατά την παράδοση τους, θα πρέπει υποχρεωτικά να συνοδεύονται από εγχειρίδια λειτουργίας στην ελληνική γλώσσα, τις αντίστοιχες εργοστασιακές εγγυήσεις , καθώς και σετ εξαρτημάτων όπου απαιτείται. Οι προς προμήθεια ηλεκτρικές συσκευές και τα σκεύη μαγειρικής, θα είναι καινούργιες, πρόσφατης ημερομηνίας παραγωγής, και εντός συσκευασίας κατασκευαστή. Θα είναι συσκευασμένα ώστε να αποφεύγονται οι φθορές κατά την μεταφορά τους και αλλοίωση χαρακτηριστικών και ιδιοτήτων τους.</w:t>
      </w:r>
    </w:p>
    <w:p>
      <w:pPr>
        <w:pStyle w:val="Normal"/>
        <w:tabs>
          <w:tab w:val="clear" w:pos="720"/>
          <w:tab w:val="left" w:pos="4800" w:leader="none"/>
        </w:tabs>
        <w:spacing w:before="0" w:after="63"/>
        <w:jc w:val="both"/>
        <w:rPr/>
      </w:pPr>
      <w:r>
        <w:rPr/>
        <w:t xml:space="preserve">Θα συνοδεύονται από εγγύηση καλής κατάστασης, επάρκειας και υποστήριξης γνήσιων ανταλλακτικών, λειτουργίας καθώς και τεχνικής υποστήριξης. Οι συσκευές θα φέρουν ενεργειακή σήμανση και πιστοποιημένη ένδειξη ενεργειακής απόδοσης προκειμένου να διασφαλίζεται η εξοικονόμηση ενέργειας κατά τη λειτουργία τους. </w:t>
      </w:r>
    </w:p>
    <w:p>
      <w:pPr>
        <w:pStyle w:val="Normal"/>
        <w:tabs>
          <w:tab w:val="clear" w:pos="720"/>
          <w:tab w:val="left" w:pos="4800" w:leader="none"/>
        </w:tabs>
        <w:spacing w:before="0" w:after="63"/>
        <w:rPr>
          <w:color w:val="FF0000"/>
        </w:rPr>
      </w:pPr>
      <w:r>
        <w:rPr>
          <w:color w:val="FF0000"/>
        </w:rPr>
      </w:r>
    </w:p>
    <w:p>
      <w:pPr>
        <w:pStyle w:val="Normal"/>
        <w:spacing w:before="0" w:after="63"/>
        <w:jc w:val="center"/>
        <w:rPr>
          <w:rFonts w:ascii="Calibri" w:hAnsi="Calibri" w:cs="Calibri"/>
          <w:b/>
          <w:b/>
          <w:bCs/>
          <w:u w:val="single"/>
        </w:rPr>
      </w:pPr>
      <w:r>
        <w:rPr>
          <w:rFonts w:cs="Calibri"/>
          <w:b/>
          <w:bCs/>
          <w:u w:val="single"/>
        </w:rPr>
        <w:t>Εργονομία επίπλων</w:t>
      </w:r>
    </w:p>
    <w:p>
      <w:pPr>
        <w:pStyle w:val="Normal"/>
        <w:spacing w:before="0" w:after="63"/>
        <w:jc w:val="both"/>
        <w:rPr>
          <w:rFonts w:ascii="Calibri" w:hAnsi="Calibri" w:cs="Calibri"/>
        </w:rPr>
      </w:pPr>
      <w:r>
        <w:rPr>
          <w:rFonts w:cs="Calibri"/>
        </w:rPr>
        <w:t>Ο σχεδιασμός όλων των προς προμήθεια στοιχείων εξοπλισμού θα είναι σύμφωνος με τις σύγχρονες εργονομικές απαιτήσεις για άνεση και ασφάλεια, προσαρμοσμένος στα σύγχρονα ανθρωπομετρικά δεδομένα.</w:t>
      </w:r>
    </w:p>
    <w:p>
      <w:pPr>
        <w:pStyle w:val="Normal"/>
        <w:spacing w:before="0" w:after="63"/>
        <w:rPr>
          <w:rFonts w:ascii="Calibri" w:hAnsi="Calibri" w:cs="Calibri"/>
          <w:lang w:val="en-US"/>
        </w:rPr>
      </w:pPr>
      <w:r>
        <w:rPr>
          <w:rFonts w:cs="Calibri"/>
          <w:lang w:val="en-US"/>
        </w:rPr>
        <w:t>PREN 1335</w:t>
      </w:r>
    </w:p>
    <w:p>
      <w:pPr>
        <w:pStyle w:val="Normal"/>
        <w:spacing w:before="0" w:after="63"/>
        <w:rPr>
          <w:rFonts w:ascii="Calibri" w:hAnsi="Calibri" w:cs="Calibri"/>
          <w:lang w:val="en-US"/>
        </w:rPr>
      </w:pPr>
      <w:r>
        <w:rPr>
          <w:rFonts w:cs="Calibri"/>
          <w:lang w:val="en-US"/>
        </w:rPr>
        <w:t>NOHSC/1991</w:t>
      </w:r>
    </w:p>
    <w:p>
      <w:pPr>
        <w:pStyle w:val="Normal"/>
        <w:spacing w:before="0" w:after="63"/>
        <w:rPr>
          <w:rFonts w:ascii="Calibri" w:hAnsi="Calibri" w:cs="Calibri"/>
          <w:lang w:val="en-US"/>
        </w:rPr>
      </w:pPr>
      <w:r>
        <w:rPr>
          <w:rFonts w:cs="Calibri"/>
          <w:lang w:val="en-US"/>
        </w:rPr>
        <w:t>BS 5940/1980</w:t>
      </w:r>
    </w:p>
    <w:p>
      <w:pPr>
        <w:pStyle w:val="Normal"/>
        <w:spacing w:before="0" w:after="63"/>
        <w:rPr>
          <w:rFonts w:ascii="Calibri" w:hAnsi="Calibri" w:cs="Calibri"/>
          <w:lang w:val="en-US"/>
        </w:rPr>
      </w:pPr>
      <w:r>
        <w:rPr>
          <w:rFonts w:cs="Calibri"/>
          <w:lang w:val="en-US"/>
        </w:rPr>
        <w:t>ANSI/HFS 100/1988</w:t>
      </w:r>
    </w:p>
    <w:p>
      <w:pPr>
        <w:pStyle w:val="Normal"/>
        <w:jc w:val="both"/>
        <w:rPr>
          <w:rFonts w:ascii="Calibri" w:hAnsi="Calibri" w:cs="Calibri"/>
        </w:rPr>
      </w:pPr>
      <w:r>
        <w:rPr>
          <w:rFonts w:cs="Calibri"/>
        </w:rPr>
        <w:t>Όλες οι επιφάνειες και τα πάσης φύσεως εξαρτήματα και υλικά των επίπλων, θα είναι έτσι τελειωμένα (φινιρισμένα) ώστε να μην παρουσιάζουν κανένα απολύτως κίνδυνο τραυματισμού στο χρήστη, ιδιαίτερα δε σε μικρά παιδιά. Όλα τα χρώματα θα είναι μη τοξικά. Οι τελικές επιφάνειες θα είναι αντιθαμβωτικές, δεν θα επιτρέπουν τη συσσώρευση σκόνης κλπ. και θα είναι εύκολες στο καθάρισμα με τα συνήθη υλικά του εμπορίου, χωρίς να προξενείται βλάβη στις επιφάνειες.</w:t>
      </w:r>
    </w:p>
    <w:p>
      <w:pPr>
        <w:pStyle w:val="Normal"/>
        <w:jc w:val="both"/>
        <w:rPr>
          <w:rFonts w:ascii="Calibri" w:hAnsi="Calibri" w:cs="Calibri"/>
        </w:rPr>
      </w:pPr>
      <w:r>
        <w:rPr>
          <w:rFonts w:cs="Calibri"/>
        </w:rPr>
        <w:t>Ο προμηθευτής ευθύνεται για την συμφωνία των παραπάνω τεχνικών προδιαγραφών γενικώς και εγγυάται την ανυπαρξία οιουδήποτε κρυφού ελαττώματος, η δε υπηρεσία κρατά το δικαίωμα να ακυρώσει την προμήθεια εάν τα προμηθευόμενα είδη δεν είναι σύμφωνα με τις προδιαγραφές, μετά από γνωμοδότηση της αρμόδιας Επιτροπής Παραλαβής.</w:t>
      </w:r>
    </w:p>
    <w:p>
      <w:pPr>
        <w:pStyle w:val="Normal"/>
        <w:jc w:val="both"/>
        <w:rPr/>
      </w:pPr>
      <w:r>
        <w:rPr>
          <w:rFonts w:cs="Calibri"/>
        </w:rPr>
        <w:t xml:space="preserve">Η ανάθεση θα πραγματοποιηθεί βάσει των διατάξεων του Ν. 4412/2016, </w:t>
      </w:r>
      <w:r>
        <w:rPr>
          <w:rFonts w:cs="Calibri"/>
          <w:bCs/>
        </w:rPr>
        <w:t>με κριτήριο τη χαμηλότερη τιμή</w:t>
      </w:r>
      <w:r>
        <w:rPr>
          <w:rFonts w:cs="Calibri"/>
        </w:rPr>
        <w:t>, υπό την προϋπόθεση η προσφορά να καλύπτει τα ανωτέρω τεχνικά χαρακτηριστικά.</w:t>
      </w:r>
    </w:p>
    <w:p>
      <w:pPr>
        <w:pStyle w:val="Normal"/>
        <w:jc w:val="both"/>
        <w:rPr>
          <w:rFonts w:ascii="Calibri" w:hAnsi="Calibri" w:cs="Calibri"/>
        </w:rPr>
      </w:pPr>
      <w:r>
        <w:rPr>
          <w:rFonts w:cs="Calibri"/>
        </w:rPr>
        <w:t>Ο προμηθευτής υπόκειται σε όλους τους - βάσει των κείμενων διατάξεων - φόρους, τέλη και κρατήσεις πλην του ΦΠΑ που βαραίνει τον Δήμο.</w:t>
      </w:r>
    </w:p>
    <w:p>
      <w:pPr>
        <w:pStyle w:val="Normal"/>
        <w:jc w:val="center"/>
        <w:rPr>
          <w:rFonts w:ascii="Calibri" w:hAnsi="Calibri"/>
          <w:sz w:val="21"/>
          <w:szCs w:val="21"/>
        </w:rPr>
      </w:pPr>
      <w:r>
        <w:rPr>
          <w:rFonts w:cs="Tahoma"/>
          <w:b/>
          <w:bCs/>
          <w:sz w:val="21"/>
          <w:szCs w:val="21"/>
        </w:rPr>
        <w:t>Καρδίτσα Φεβρουάριος 2020</w:t>
      </w:r>
    </w:p>
    <w:tbl>
      <w:tblPr>
        <w:tblW w:w="9288" w:type="dxa"/>
        <w:jc w:val="left"/>
        <w:tblInd w:w="0" w:type="dxa"/>
        <w:tblLayout w:type="fixed"/>
        <w:tblCellMar>
          <w:top w:w="0" w:type="dxa"/>
          <w:left w:w="108" w:type="dxa"/>
          <w:bottom w:w="0" w:type="dxa"/>
          <w:right w:w="108" w:type="dxa"/>
        </w:tblCellMar>
      </w:tblPr>
      <w:tblGrid>
        <w:gridCol w:w="4968"/>
        <w:gridCol w:w="4319"/>
      </w:tblGrid>
      <w:tr>
        <w:trPr>
          <w:trHeight w:val="3000" w:hRule="atLeast"/>
        </w:trPr>
        <w:tc>
          <w:tcPr>
            <w:tcW w:w="4968" w:type="dxa"/>
            <w:tcBorders/>
          </w:tcPr>
          <w:p>
            <w:pPr>
              <w:pStyle w:val="Normal"/>
              <w:widowControl w:val="false"/>
              <w:snapToGrid w:val="false"/>
              <w:jc w:val="center"/>
              <w:rPr>
                <w:rFonts w:ascii="Calibri" w:hAnsi="Calibri" w:cs="Tahoma"/>
                <w:b/>
                <w:b/>
                <w:bCs/>
                <w:sz w:val="21"/>
                <w:szCs w:val="21"/>
              </w:rPr>
            </w:pPr>
            <w:r>
              <w:rPr>
                <w:rFonts w:cs="Tahoma"/>
                <w:b/>
                <w:bCs/>
                <w:sz w:val="21"/>
                <w:szCs w:val="21"/>
              </w:rPr>
            </w:r>
          </w:p>
          <w:p>
            <w:pPr>
              <w:pStyle w:val="Normal"/>
              <w:widowControl w:val="false"/>
              <w:jc w:val="center"/>
              <w:rPr>
                <w:rFonts w:ascii="Calibri" w:hAnsi="Calibri" w:cs="Tahoma"/>
                <w:b/>
                <w:b/>
                <w:bCs/>
                <w:sz w:val="21"/>
                <w:szCs w:val="21"/>
              </w:rPr>
            </w:pPr>
            <w:r>
              <w:rPr>
                <w:rFonts w:cs="Tahoma"/>
                <w:b/>
                <w:bCs/>
                <w:sz w:val="21"/>
                <w:szCs w:val="21"/>
              </w:rPr>
              <w:t>Η ΣΥΝΤΑΞΑΣΑ</w:t>
            </w:r>
          </w:p>
          <w:p>
            <w:pPr>
              <w:pStyle w:val="Normal"/>
              <w:widowControl w:val="false"/>
              <w:jc w:val="center"/>
              <w:rPr>
                <w:rFonts w:ascii="Calibri" w:hAnsi="Calibri" w:cs="Tahoma"/>
                <w:b/>
                <w:b/>
                <w:bCs/>
                <w:sz w:val="21"/>
                <w:szCs w:val="21"/>
              </w:rPr>
            </w:pPr>
            <w:r>
              <w:rPr>
                <w:rFonts w:cs="Tahoma"/>
                <w:b/>
                <w:bCs/>
                <w:sz w:val="21"/>
                <w:szCs w:val="21"/>
              </w:rPr>
            </w:r>
          </w:p>
          <w:p>
            <w:pPr>
              <w:pStyle w:val="Normal"/>
              <w:widowControl w:val="false"/>
              <w:jc w:val="center"/>
              <w:rPr>
                <w:rFonts w:ascii="Calibri" w:hAnsi="Calibri" w:cs="Tahoma"/>
                <w:b/>
                <w:b/>
                <w:bCs/>
                <w:sz w:val="21"/>
                <w:szCs w:val="21"/>
              </w:rPr>
            </w:pPr>
            <w:r>
              <w:rPr>
                <w:rFonts w:cs="Tahoma"/>
                <w:b/>
                <w:bCs/>
                <w:sz w:val="21"/>
                <w:szCs w:val="21"/>
              </w:rPr>
            </w:r>
          </w:p>
          <w:p>
            <w:pPr>
              <w:pStyle w:val="Normal"/>
              <w:widowControl w:val="false"/>
              <w:jc w:val="center"/>
              <w:rPr>
                <w:rFonts w:ascii="Calibri" w:hAnsi="Calibri" w:cs="Tahoma"/>
                <w:b/>
                <w:b/>
                <w:bCs/>
                <w:sz w:val="21"/>
                <w:szCs w:val="21"/>
              </w:rPr>
            </w:pPr>
            <w:r>
              <w:rPr>
                <w:rFonts w:cs="Tahoma"/>
                <w:b/>
                <w:bCs/>
                <w:sz w:val="21"/>
                <w:szCs w:val="21"/>
              </w:rPr>
              <w:t>ΝΑΤΑΛΙΑ ΤΖΕΛΛΟΥ</w:t>
            </w:r>
          </w:p>
          <w:p>
            <w:pPr>
              <w:pStyle w:val="Normal"/>
              <w:widowControl w:val="false"/>
              <w:jc w:val="center"/>
              <w:rPr>
                <w:rFonts w:ascii="Calibri" w:hAnsi="Calibri" w:cs="Tahoma"/>
                <w:b/>
                <w:b/>
                <w:bCs/>
                <w:sz w:val="21"/>
                <w:szCs w:val="21"/>
              </w:rPr>
            </w:pPr>
            <w:r>
              <w:rPr>
                <w:rFonts w:cs="Tahoma"/>
                <w:b/>
                <w:bCs/>
                <w:sz w:val="21"/>
                <w:szCs w:val="21"/>
              </w:rPr>
              <w:t>ΠΟΛΙΤΙΚΟΣ ΜΗΧΑΝΙΚΟΣ ΤΕ</w:t>
            </w:r>
          </w:p>
          <w:p>
            <w:pPr>
              <w:pStyle w:val="Normal"/>
              <w:widowControl w:val="false"/>
              <w:spacing w:before="0" w:after="120"/>
              <w:jc w:val="center"/>
              <w:rPr>
                <w:rFonts w:ascii="Calibri" w:hAnsi="Calibri" w:cs="Tahoma"/>
                <w:b/>
                <w:b/>
                <w:bCs/>
                <w:sz w:val="21"/>
                <w:szCs w:val="21"/>
              </w:rPr>
            </w:pPr>
            <w:r>
              <w:rPr>
                <w:rFonts w:cs="Tahoma"/>
                <w:b/>
                <w:bCs/>
                <w:sz w:val="21"/>
                <w:szCs w:val="21"/>
              </w:rPr>
            </w:r>
          </w:p>
        </w:tc>
        <w:tc>
          <w:tcPr>
            <w:tcW w:w="4319" w:type="dxa"/>
            <w:tcBorders/>
          </w:tcPr>
          <w:p>
            <w:pPr>
              <w:pStyle w:val="Normal"/>
              <w:widowControl w:val="false"/>
              <w:jc w:val="center"/>
              <w:rPr>
                <w:rFonts w:ascii="Calibri" w:hAnsi="Calibri" w:cs="Tahoma"/>
                <w:b/>
                <w:b/>
                <w:bCs/>
                <w:sz w:val="21"/>
                <w:szCs w:val="21"/>
              </w:rPr>
            </w:pPr>
            <w:r>
              <w:rPr>
                <w:rFonts w:cs="Tahoma"/>
                <w:b/>
                <w:bCs/>
                <w:sz w:val="21"/>
                <w:szCs w:val="21"/>
              </w:rPr>
              <w:t>ΘΕΩΡΗΘΗΚΕ</w:t>
            </w:r>
          </w:p>
          <w:p>
            <w:pPr>
              <w:pStyle w:val="Normal"/>
              <w:widowControl w:val="false"/>
              <w:jc w:val="center"/>
              <w:rPr>
                <w:rFonts w:ascii="Calibri" w:hAnsi="Calibri" w:cs="Tahoma"/>
                <w:b/>
                <w:b/>
                <w:bCs/>
                <w:sz w:val="21"/>
                <w:szCs w:val="21"/>
              </w:rPr>
            </w:pPr>
            <w:r>
              <w:rPr>
                <w:rFonts w:cs="Tahoma"/>
                <w:b/>
                <w:bCs/>
                <w:sz w:val="21"/>
                <w:szCs w:val="21"/>
              </w:rPr>
              <w:t>Ο ΠΡΟΪΣΤΑΜΕΝΟΣ Δ/ΝΣΗΣ ΠΡΟΓΡΑΜΜΑΤΙΣΜΟΥ, ΠΛΗΡΟΦΟΡΙΚΗΣ ΚΑΙ ΔΙΑΦΑΝΕΙΑΣ</w:t>
            </w:r>
          </w:p>
          <w:p>
            <w:pPr>
              <w:pStyle w:val="Normal"/>
              <w:widowControl w:val="false"/>
              <w:jc w:val="center"/>
              <w:rPr>
                <w:rFonts w:ascii="Calibri" w:hAnsi="Calibri" w:cs="Tahoma"/>
                <w:b/>
                <w:b/>
                <w:bCs/>
                <w:sz w:val="21"/>
                <w:szCs w:val="21"/>
              </w:rPr>
            </w:pPr>
            <w:r>
              <w:rPr>
                <w:rFonts w:cs="Tahoma"/>
                <w:b/>
                <w:bCs/>
                <w:sz w:val="21"/>
                <w:szCs w:val="21"/>
              </w:rPr>
            </w:r>
          </w:p>
          <w:p>
            <w:pPr>
              <w:pStyle w:val="Normal"/>
              <w:widowControl w:val="false"/>
              <w:jc w:val="center"/>
              <w:rPr>
                <w:rFonts w:ascii="Calibri" w:hAnsi="Calibri" w:cs="Tahoma"/>
                <w:b/>
                <w:b/>
                <w:bCs/>
                <w:sz w:val="21"/>
                <w:szCs w:val="21"/>
              </w:rPr>
            </w:pPr>
            <w:r>
              <w:rPr>
                <w:rFonts w:cs="Tahoma"/>
                <w:b/>
                <w:bCs/>
                <w:sz w:val="21"/>
                <w:szCs w:val="21"/>
              </w:rPr>
              <w:t>ΑΝΥΦΑΝΤΗΣ ΒΑΙΟΣ</w:t>
            </w:r>
          </w:p>
          <w:p>
            <w:pPr>
              <w:pStyle w:val="Normal"/>
              <w:widowControl w:val="false"/>
              <w:spacing w:before="0" w:after="120"/>
              <w:jc w:val="center"/>
              <w:rPr>
                <w:rFonts w:ascii="Calibri" w:hAnsi="Calibri" w:cs="Tahoma"/>
                <w:b/>
                <w:b/>
                <w:bCs/>
                <w:sz w:val="21"/>
                <w:szCs w:val="21"/>
              </w:rPr>
            </w:pPr>
            <w:r>
              <w:rPr>
                <w:rFonts w:cs="Tahoma"/>
                <w:b/>
                <w:bCs/>
                <w:sz w:val="21"/>
                <w:szCs w:val="21"/>
              </w:rPr>
              <w:t>ΑΓΡΟΝΟΜΟΣ ΤΟΠΟΓΡΑΦΟΣ ΜΗΧ/ΚΟΣ</w:t>
            </w:r>
          </w:p>
        </w:tc>
      </w:tr>
    </w:tbl>
    <w:p>
      <w:pPr>
        <w:pStyle w:val="Normal"/>
        <w:tabs>
          <w:tab w:val="clear" w:pos="720"/>
          <w:tab w:val="left" w:pos="0" w:leader="none"/>
        </w:tabs>
        <w:spacing w:before="57" w:after="57"/>
        <w:ind w:left="0" w:hanging="0"/>
        <w:jc w:val="center"/>
        <w:rPr>
          <w:rFonts w:ascii="Calibri" w:hAnsi="Calibri" w:cs="Tahoma"/>
          <w:b/>
          <w:b/>
          <w:bCs/>
          <w:sz w:val="21"/>
          <w:szCs w:val="21"/>
        </w:rPr>
      </w:pPr>
      <w:r>
        <w:rPr>
          <w:rFonts w:cs="Tahoma"/>
          <w:b/>
          <w:bCs/>
          <w:sz w:val="21"/>
          <w:szCs w:val="21"/>
        </w:rPr>
      </w:r>
    </w:p>
    <w:p>
      <w:pPr>
        <w:pStyle w:val="Normal"/>
        <w:tabs>
          <w:tab w:val="clear" w:pos="720"/>
          <w:tab w:val="left" w:pos="3828" w:leader="none"/>
        </w:tabs>
        <w:spacing w:lineRule="auto" w:line="360"/>
        <w:jc w:val="center"/>
        <w:rPr>
          <w:rFonts w:ascii="Verdana" w:hAnsi="Verdana" w:cs="Verdana"/>
          <w:b/>
          <w:b/>
          <w:sz w:val="28"/>
          <w:szCs w:val="28"/>
          <w:u w:val="single"/>
        </w:rPr>
      </w:pPr>
      <w:r>
        <w:rPr>
          <w:rFonts w:cs="Verdana" w:ascii="Verdana" w:hAnsi="Verdana"/>
          <w:b/>
          <w:sz w:val="28"/>
          <w:szCs w:val="28"/>
          <w:u w:val="single"/>
        </w:rPr>
      </w:r>
    </w:p>
    <w:p>
      <w:pPr>
        <w:pStyle w:val="Normal"/>
        <w:tabs>
          <w:tab w:val="clear" w:pos="720"/>
          <w:tab w:val="left" w:pos="3828" w:leader="none"/>
        </w:tabs>
        <w:spacing w:lineRule="auto" w:line="360"/>
        <w:jc w:val="center"/>
        <w:rPr>
          <w:rFonts w:ascii="Verdana" w:hAnsi="Verdana" w:cs="Verdana"/>
          <w:b/>
          <w:b/>
          <w:sz w:val="28"/>
          <w:szCs w:val="28"/>
          <w:u w:val="single"/>
        </w:rPr>
      </w:pPr>
      <w:r>
        <w:rPr>
          <w:rFonts w:cs="Verdana" w:ascii="Verdana" w:hAnsi="Verdana"/>
          <w:b/>
          <w:sz w:val="28"/>
          <w:szCs w:val="28"/>
          <w:u w:val="single"/>
        </w:rPr>
      </w:r>
    </w:p>
    <w:p>
      <w:pPr>
        <w:pStyle w:val="Normal"/>
        <w:tabs>
          <w:tab w:val="clear" w:pos="720"/>
          <w:tab w:val="left" w:pos="3828" w:leader="none"/>
        </w:tabs>
        <w:spacing w:lineRule="auto" w:line="360"/>
        <w:jc w:val="center"/>
        <w:rPr>
          <w:rFonts w:ascii="Verdana" w:hAnsi="Verdana" w:cs="Verdana"/>
          <w:b/>
          <w:b/>
          <w:sz w:val="28"/>
          <w:szCs w:val="28"/>
          <w:u w:val="single"/>
        </w:rPr>
      </w:pPr>
      <w:r>
        <w:rPr>
          <w:rFonts w:cs="Verdana" w:ascii="Verdana" w:hAnsi="Verdana"/>
          <w:b/>
          <w:sz w:val="28"/>
          <w:szCs w:val="28"/>
          <w:u w:val="single"/>
        </w:rPr>
      </w:r>
    </w:p>
    <w:p>
      <w:pPr>
        <w:pStyle w:val="Normal"/>
        <w:tabs>
          <w:tab w:val="clear" w:pos="720"/>
          <w:tab w:val="left" w:pos="3828" w:leader="none"/>
        </w:tabs>
        <w:spacing w:lineRule="auto" w:line="360"/>
        <w:jc w:val="center"/>
        <w:rPr>
          <w:rFonts w:ascii="Verdana" w:hAnsi="Verdana" w:cs="Verdana"/>
          <w:b/>
          <w:b/>
          <w:sz w:val="28"/>
          <w:szCs w:val="28"/>
          <w:u w:val="single"/>
        </w:rPr>
      </w:pPr>
      <w:r>
        <w:rPr>
          <w:rFonts w:cs="Verdana" w:ascii="Verdana" w:hAnsi="Verdana"/>
          <w:b/>
          <w:sz w:val="28"/>
          <w:szCs w:val="28"/>
          <w:u w:val="single"/>
        </w:rPr>
      </w:r>
    </w:p>
    <w:tbl>
      <w:tblPr>
        <w:tblW w:w="10329" w:type="dxa"/>
        <w:jc w:val="left"/>
        <w:tblInd w:w="-264" w:type="dxa"/>
        <w:tblLayout w:type="fixed"/>
        <w:tblCellMar>
          <w:top w:w="0" w:type="dxa"/>
          <w:left w:w="30" w:type="dxa"/>
          <w:bottom w:w="0" w:type="dxa"/>
          <w:right w:w="30" w:type="dxa"/>
        </w:tblCellMar>
      </w:tblPr>
      <w:tblGrid>
        <w:gridCol w:w="855"/>
        <w:gridCol w:w="3585"/>
        <w:gridCol w:w="1410"/>
        <w:gridCol w:w="2220"/>
        <w:gridCol w:w="2259"/>
      </w:tblGrid>
      <w:tr>
        <w:trPr>
          <w:trHeight w:val="347" w:hRule="atLeast"/>
        </w:trPr>
        <w:tc>
          <w:tcPr>
            <w:tcW w:w="10329" w:type="dxa"/>
            <w:gridSpan w:val="5"/>
            <w:tcBorders/>
            <w:vAlign w:val="bottom"/>
          </w:tcPr>
          <w:p>
            <w:pPr>
              <w:pStyle w:val="Normal"/>
              <w:widowControl w:val="false"/>
              <w:tabs>
                <w:tab w:val="clear" w:pos="720"/>
              </w:tabs>
              <w:spacing w:before="0" w:after="120"/>
              <w:jc w:val="center"/>
              <w:rPr>
                <w:sz w:val="28"/>
                <w:szCs w:val="28"/>
              </w:rPr>
            </w:pPr>
            <w:r>
              <w:rPr>
                <w:rFonts w:cs="Verdana"/>
                <w:b/>
                <w:sz w:val="28"/>
                <w:szCs w:val="28"/>
                <w:u w:val="single"/>
              </w:rPr>
              <w:t>Ε</w:t>
            </w:r>
            <w:r>
              <w:rPr>
                <w:b/>
                <w:sz w:val="28"/>
                <w:szCs w:val="28"/>
                <w:u w:val="single"/>
              </w:rPr>
              <w:t>ΝΔΕΙΚΤΙΚΟΣ ΠΡΟΫΠΟΛΟΓΙΣΜΟΣ ΠΡΟΜΗΘΕΙΑΣ ΥΠΟΕΡΓΟΥ 2</w:t>
            </w:r>
          </w:p>
        </w:tc>
      </w:tr>
      <w:tr>
        <w:trPr>
          <w:trHeight w:val="347" w:hRule="atLeast"/>
        </w:trPr>
        <w:tc>
          <w:tcPr>
            <w:tcW w:w="855" w:type="dxa"/>
            <w:tcBorders/>
            <w:vAlign w:val="bottom"/>
          </w:tcPr>
          <w:p>
            <w:pPr>
              <w:pStyle w:val="Normal"/>
              <w:widowControl w:val="false"/>
              <w:tabs>
                <w:tab w:val="clear" w:pos="720"/>
              </w:tabs>
              <w:spacing w:before="0" w:after="120"/>
              <w:jc w:val="center"/>
              <w:rPr>
                <w:rFonts w:ascii="Calibri" w:hAnsi="Calibri"/>
              </w:rPr>
            </w:pPr>
            <w:r>
              <w:rPr/>
            </w:r>
          </w:p>
        </w:tc>
        <w:tc>
          <w:tcPr>
            <w:tcW w:w="3585" w:type="dxa"/>
            <w:tcBorders/>
            <w:vAlign w:val="bottom"/>
          </w:tcPr>
          <w:p>
            <w:pPr>
              <w:pStyle w:val="Normal"/>
              <w:widowControl w:val="false"/>
              <w:tabs>
                <w:tab w:val="clear" w:pos="720"/>
              </w:tabs>
              <w:spacing w:before="0" w:after="120"/>
              <w:jc w:val="left"/>
              <w:rPr>
                <w:rFonts w:ascii="Calibri" w:hAnsi="Calibri"/>
              </w:rPr>
            </w:pPr>
            <w:r>
              <w:rPr/>
            </w:r>
          </w:p>
        </w:tc>
        <w:tc>
          <w:tcPr>
            <w:tcW w:w="1410" w:type="dxa"/>
            <w:tcBorders/>
            <w:vAlign w:val="bottom"/>
          </w:tcPr>
          <w:p>
            <w:pPr>
              <w:pStyle w:val="Normal"/>
              <w:widowControl w:val="false"/>
              <w:tabs>
                <w:tab w:val="clear" w:pos="720"/>
              </w:tabs>
              <w:spacing w:before="0" w:after="120"/>
              <w:jc w:val="left"/>
              <w:rPr>
                <w:rFonts w:ascii="Calibri" w:hAnsi="Calibri"/>
              </w:rPr>
            </w:pPr>
            <w:r>
              <w:rPr/>
            </w:r>
          </w:p>
        </w:tc>
        <w:tc>
          <w:tcPr>
            <w:tcW w:w="2220" w:type="dxa"/>
            <w:tcBorders/>
            <w:vAlign w:val="bottom"/>
          </w:tcPr>
          <w:p>
            <w:pPr>
              <w:pStyle w:val="Normal"/>
              <w:widowControl w:val="false"/>
              <w:tabs>
                <w:tab w:val="clear" w:pos="720"/>
              </w:tabs>
              <w:spacing w:before="0" w:after="120"/>
              <w:jc w:val="left"/>
              <w:rPr>
                <w:rFonts w:ascii="Calibri" w:hAnsi="Calibri"/>
              </w:rPr>
            </w:pPr>
            <w:r>
              <w:rPr/>
            </w:r>
          </w:p>
        </w:tc>
        <w:tc>
          <w:tcPr>
            <w:tcW w:w="2259" w:type="dxa"/>
            <w:tcBorders/>
            <w:vAlign w:val="bottom"/>
          </w:tcPr>
          <w:p>
            <w:pPr>
              <w:pStyle w:val="Normal"/>
              <w:widowControl w:val="false"/>
              <w:tabs>
                <w:tab w:val="clear" w:pos="720"/>
              </w:tabs>
              <w:suppressAutoHyphens w:val="true"/>
              <w:bidi w:val="0"/>
              <w:spacing w:before="0" w:after="120"/>
              <w:ind w:left="0" w:right="283" w:hanging="0"/>
              <w:jc w:val="left"/>
              <w:rPr>
                <w:rFonts w:ascii="Calibri" w:hAnsi="Calibri"/>
              </w:rPr>
            </w:pPr>
            <w:r>
              <w:rPr/>
            </w:r>
          </w:p>
        </w:tc>
      </w:tr>
      <w:tr>
        <w:trPr>
          <w:trHeight w:val="542" w:hRule="atLeast"/>
        </w:trPr>
        <w:tc>
          <w:tcPr>
            <w:tcW w:w="855" w:type="dxa"/>
            <w:tcBorders/>
            <w:vAlign w:val="bottom"/>
          </w:tcPr>
          <w:p>
            <w:pPr>
              <w:pStyle w:val="Normal"/>
              <w:widowControl w:val="false"/>
              <w:tabs>
                <w:tab w:val="clear" w:pos="720"/>
              </w:tabs>
              <w:spacing w:before="0" w:after="120"/>
              <w:jc w:val="center"/>
              <w:rPr>
                <w:rFonts w:ascii="Calibri" w:hAnsi="Calibri"/>
              </w:rPr>
            </w:pPr>
            <w:r>
              <w:rPr>
                <w:b/>
              </w:rPr>
              <w:t>Α/Α</w:t>
            </w:r>
          </w:p>
        </w:tc>
        <w:tc>
          <w:tcPr>
            <w:tcW w:w="3585" w:type="dxa"/>
            <w:tcBorders/>
            <w:vAlign w:val="bottom"/>
          </w:tcPr>
          <w:p>
            <w:pPr>
              <w:pStyle w:val="Normal"/>
              <w:widowControl w:val="false"/>
              <w:tabs>
                <w:tab w:val="clear" w:pos="720"/>
              </w:tabs>
              <w:spacing w:before="0" w:after="120"/>
              <w:jc w:val="center"/>
              <w:rPr>
                <w:rFonts w:ascii="Calibri" w:hAnsi="Calibri"/>
              </w:rPr>
            </w:pPr>
            <w:r>
              <w:rPr>
                <w:b/>
              </w:rPr>
              <w:t>ΕΙΔΟΣ</w:t>
            </w:r>
          </w:p>
        </w:tc>
        <w:tc>
          <w:tcPr>
            <w:tcW w:w="1410" w:type="dxa"/>
            <w:tcBorders/>
            <w:vAlign w:val="bottom"/>
          </w:tcPr>
          <w:p>
            <w:pPr>
              <w:pStyle w:val="Normal"/>
              <w:widowControl w:val="false"/>
              <w:tabs>
                <w:tab w:val="clear" w:pos="720"/>
              </w:tabs>
              <w:spacing w:before="0" w:after="120"/>
              <w:jc w:val="center"/>
              <w:rPr>
                <w:rFonts w:ascii="Calibri" w:hAnsi="Calibri"/>
              </w:rPr>
            </w:pPr>
            <w:r>
              <w:rPr>
                <w:b/>
              </w:rPr>
              <w:t>ΠΟΣΟΤΗΤΑ</w:t>
            </w:r>
          </w:p>
        </w:tc>
        <w:tc>
          <w:tcPr>
            <w:tcW w:w="2220" w:type="dxa"/>
            <w:tcBorders/>
            <w:vAlign w:val="bottom"/>
          </w:tcPr>
          <w:p>
            <w:pPr>
              <w:pStyle w:val="Normal"/>
              <w:widowControl w:val="false"/>
              <w:tabs>
                <w:tab w:val="clear" w:pos="720"/>
              </w:tabs>
              <w:spacing w:before="0" w:after="120"/>
              <w:jc w:val="center"/>
              <w:rPr>
                <w:rFonts w:ascii="Calibri" w:hAnsi="Calibri"/>
              </w:rPr>
            </w:pPr>
            <w:r>
              <w:rPr>
                <w:b/>
              </w:rPr>
              <w:t>ΤΙΜΗ / ΤΕΜΑΧΙΟ (€)</w:t>
            </w:r>
          </w:p>
        </w:tc>
        <w:tc>
          <w:tcPr>
            <w:tcW w:w="2259" w:type="dxa"/>
            <w:tcBorders/>
            <w:vAlign w:val="bottom"/>
          </w:tcPr>
          <w:p>
            <w:pPr>
              <w:pStyle w:val="Normal"/>
              <w:widowControl w:val="false"/>
              <w:tabs>
                <w:tab w:val="clear" w:pos="720"/>
              </w:tabs>
              <w:spacing w:before="0" w:after="120"/>
              <w:jc w:val="center"/>
              <w:rPr>
                <w:rFonts w:ascii="Calibri" w:hAnsi="Calibri"/>
              </w:rPr>
            </w:pPr>
            <w:r>
              <w:rPr>
                <w:b/>
              </w:rPr>
              <w:t>ΣΥΝΟΛΟ (€)</w:t>
            </w:r>
          </w:p>
        </w:tc>
      </w:tr>
      <w:tr>
        <w:trPr>
          <w:trHeight w:val="300" w:hRule="atLeast"/>
        </w:trPr>
        <w:tc>
          <w:tcPr>
            <w:tcW w:w="855" w:type="dxa"/>
            <w:tcBorders/>
            <w:vAlign w:val="bottom"/>
          </w:tcPr>
          <w:p>
            <w:pPr>
              <w:pStyle w:val="Normal"/>
              <w:widowControl w:val="false"/>
              <w:tabs>
                <w:tab w:val="clear" w:pos="720"/>
              </w:tabs>
              <w:spacing w:before="0" w:after="120"/>
              <w:jc w:val="center"/>
              <w:rPr>
                <w:rFonts w:ascii="Calibri" w:hAnsi="Calibri"/>
              </w:rPr>
            </w:pPr>
            <w:r>
              <w:rPr/>
            </w:r>
          </w:p>
        </w:tc>
        <w:tc>
          <w:tcPr>
            <w:tcW w:w="3585" w:type="dxa"/>
            <w:tcBorders/>
            <w:vAlign w:val="bottom"/>
          </w:tcPr>
          <w:p>
            <w:pPr>
              <w:pStyle w:val="Normal"/>
              <w:widowControl w:val="false"/>
              <w:tabs>
                <w:tab w:val="clear" w:pos="720"/>
              </w:tabs>
              <w:spacing w:before="0" w:after="120"/>
              <w:jc w:val="left"/>
              <w:rPr>
                <w:rFonts w:ascii="Calibri" w:hAnsi="Calibri"/>
              </w:rPr>
            </w:pPr>
            <w:r>
              <w:rPr>
                <w:b/>
              </w:rPr>
              <w:t>Ηλεκτρικές οικιακές συσκευές</w:t>
            </w:r>
          </w:p>
        </w:tc>
        <w:tc>
          <w:tcPr>
            <w:tcW w:w="1410" w:type="dxa"/>
            <w:tcBorders/>
            <w:vAlign w:val="bottom"/>
          </w:tcPr>
          <w:p>
            <w:pPr>
              <w:pStyle w:val="Normal"/>
              <w:widowControl w:val="false"/>
              <w:tabs>
                <w:tab w:val="clear" w:pos="720"/>
              </w:tabs>
              <w:spacing w:before="0" w:after="120"/>
              <w:jc w:val="center"/>
              <w:rPr>
                <w:rFonts w:ascii="Calibri" w:hAnsi="Calibri"/>
              </w:rPr>
            </w:pPr>
            <w:r>
              <w:rPr/>
            </w:r>
          </w:p>
        </w:tc>
        <w:tc>
          <w:tcPr>
            <w:tcW w:w="2220" w:type="dxa"/>
            <w:tcBorders/>
            <w:vAlign w:val="bottom"/>
          </w:tcPr>
          <w:p>
            <w:pPr>
              <w:pStyle w:val="Normal"/>
              <w:widowControl w:val="false"/>
              <w:tabs>
                <w:tab w:val="clear" w:pos="720"/>
              </w:tabs>
              <w:spacing w:before="0" w:after="120"/>
              <w:jc w:val="center"/>
              <w:rPr>
                <w:rFonts w:ascii="Calibri" w:hAnsi="Calibri"/>
              </w:rPr>
            </w:pPr>
            <w:r>
              <w:rPr/>
            </w:r>
          </w:p>
        </w:tc>
        <w:tc>
          <w:tcPr>
            <w:tcW w:w="2259" w:type="dxa"/>
            <w:tcBorders/>
            <w:vAlign w:val="bottom"/>
          </w:tcPr>
          <w:p>
            <w:pPr>
              <w:pStyle w:val="Normal"/>
              <w:widowControl w:val="false"/>
              <w:tabs>
                <w:tab w:val="clear" w:pos="720"/>
              </w:tabs>
              <w:spacing w:before="0" w:after="120"/>
              <w:jc w:val="center"/>
              <w:rPr>
                <w:rFonts w:ascii="Calibri" w:hAnsi="Calibri"/>
              </w:rPr>
            </w:pPr>
            <w:r>
              <w:rPr/>
            </w:r>
          </w:p>
        </w:tc>
      </w:tr>
      <w:tr>
        <w:trPr>
          <w:trHeight w:val="300" w:hRule="atLeast"/>
        </w:trPr>
        <w:tc>
          <w:tcPr>
            <w:tcW w:w="855" w:type="dxa"/>
            <w:tcBorders/>
            <w:vAlign w:val="bottom"/>
          </w:tcPr>
          <w:p>
            <w:pPr>
              <w:pStyle w:val="Normal"/>
              <w:widowControl w:val="false"/>
              <w:tabs>
                <w:tab w:val="clear" w:pos="720"/>
              </w:tabs>
              <w:spacing w:before="0" w:after="120"/>
              <w:jc w:val="center"/>
              <w:rPr>
                <w:rFonts w:ascii="Calibri" w:hAnsi="Calibri"/>
              </w:rPr>
            </w:pPr>
            <w:r>
              <w:rPr/>
              <w:t>1</w:t>
            </w:r>
          </w:p>
        </w:tc>
        <w:tc>
          <w:tcPr>
            <w:tcW w:w="3585" w:type="dxa"/>
            <w:tcBorders/>
            <w:vAlign w:val="bottom"/>
          </w:tcPr>
          <w:p>
            <w:pPr>
              <w:pStyle w:val="Normal"/>
              <w:widowControl w:val="false"/>
              <w:tabs>
                <w:tab w:val="clear" w:pos="720"/>
              </w:tabs>
              <w:spacing w:before="0" w:after="120"/>
              <w:jc w:val="left"/>
              <w:rPr>
                <w:rFonts w:ascii="Calibri" w:hAnsi="Calibri"/>
              </w:rPr>
            </w:pPr>
            <w:r>
              <w:rPr/>
              <w:t>Ηλεκτρικό ψυγείο</w:t>
            </w:r>
          </w:p>
        </w:tc>
        <w:tc>
          <w:tcPr>
            <w:tcW w:w="1410" w:type="dxa"/>
            <w:tcBorders/>
            <w:vAlign w:val="bottom"/>
          </w:tcPr>
          <w:p>
            <w:pPr>
              <w:pStyle w:val="Normal"/>
              <w:widowControl w:val="false"/>
              <w:tabs>
                <w:tab w:val="clear" w:pos="720"/>
              </w:tabs>
              <w:spacing w:before="0" w:after="120"/>
              <w:jc w:val="center"/>
              <w:rPr>
                <w:rFonts w:ascii="Calibri" w:hAnsi="Calibri"/>
              </w:rPr>
            </w:pPr>
            <w:r>
              <w:rPr/>
              <w:t>3</w:t>
            </w:r>
          </w:p>
        </w:tc>
        <w:tc>
          <w:tcPr>
            <w:tcW w:w="2220" w:type="dxa"/>
            <w:tcBorders/>
            <w:vAlign w:val="bottom"/>
          </w:tcPr>
          <w:p>
            <w:pPr>
              <w:pStyle w:val="Normal"/>
              <w:widowControl w:val="false"/>
              <w:tabs>
                <w:tab w:val="clear" w:pos="720"/>
              </w:tabs>
              <w:spacing w:before="0" w:after="120"/>
              <w:jc w:val="right"/>
              <w:rPr>
                <w:rFonts w:ascii="Calibri" w:hAnsi="Calibri"/>
              </w:rPr>
            </w:pPr>
            <w:r>
              <w:rPr/>
              <w:t>415,00</w:t>
            </w:r>
          </w:p>
        </w:tc>
        <w:tc>
          <w:tcPr>
            <w:tcW w:w="2259" w:type="dxa"/>
            <w:tcBorders/>
            <w:vAlign w:val="bottom"/>
          </w:tcPr>
          <w:p>
            <w:pPr>
              <w:pStyle w:val="Normal"/>
              <w:widowControl w:val="false"/>
              <w:tabs>
                <w:tab w:val="clear" w:pos="720"/>
              </w:tabs>
              <w:spacing w:before="0" w:after="120"/>
              <w:jc w:val="right"/>
              <w:rPr>
                <w:rFonts w:ascii="Calibri" w:hAnsi="Calibri"/>
              </w:rPr>
            </w:pPr>
            <w:r>
              <w:rPr/>
              <w:t>1.245,00</w:t>
            </w:r>
          </w:p>
        </w:tc>
      </w:tr>
      <w:tr>
        <w:trPr>
          <w:trHeight w:val="300" w:hRule="atLeast"/>
        </w:trPr>
        <w:tc>
          <w:tcPr>
            <w:tcW w:w="855" w:type="dxa"/>
            <w:tcBorders/>
            <w:vAlign w:val="bottom"/>
          </w:tcPr>
          <w:p>
            <w:pPr>
              <w:pStyle w:val="Normal"/>
              <w:widowControl w:val="false"/>
              <w:tabs>
                <w:tab w:val="clear" w:pos="720"/>
              </w:tabs>
              <w:spacing w:before="0" w:after="120"/>
              <w:jc w:val="center"/>
              <w:rPr>
                <w:rFonts w:ascii="Calibri" w:hAnsi="Calibri"/>
              </w:rPr>
            </w:pPr>
            <w:r>
              <w:rPr/>
              <w:t>2</w:t>
            </w:r>
          </w:p>
        </w:tc>
        <w:tc>
          <w:tcPr>
            <w:tcW w:w="3585" w:type="dxa"/>
            <w:tcBorders/>
            <w:vAlign w:val="bottom"/>
          </w:tcPr>
          <w:p>
            <w:pPr>
              <w:pStyle w:val="Normal"/>
              <w:widowControl w:val="false"/>
              <w:tabs>
                <w:tab w:val="clear" w:pos="720"/>
              </w:tabs>
              <w:spacing w:before="0" w:after="120"/>
              <w:jc w:val="left"/>
              <w:rPr>
                <w:rFonts w:ascii="Calibri" w:hAnsi="Calibri"/>
              </w:rPr>
            </w:pPr>
            <w:r>
              <w:rPr/>
              <w:t>Ηλεκτρική κουζίνα</w:t>
            </w:r>
          </w:p>
        </w:tc>
        <w:tc>
          <w:tcPr>
            <w:tcW w:w="1410" w:type="dxa"/>
            <w:tcBorders/>
            <w:vAlign w:val="bottom"/>
          </w:tcPr>
          <w:p>
            <w:pPr>
              <w:pStyle w:val="Normal"/>
              <w:widowControl w:val="false"/>
              <w:tabs>
                <w:tab w:val="clear" w:pos="720"/>
              </w:tabs>
              <w:spacing w:before="0" w:after="120"/>
              <w:jc w:val="center"/>
              <w:rPr>
                <w:rFonts w:ascii="Calibri" w:hAnsi="Calibri"/>
              </w:rPr>
            </w:pPr>
            <w:r>
              <w:rPr/>
              <w:t>3</w:t>
            </w:r>
          </w:p>
        </w:tc>
        <w:tc>
          <w:tcPr>
            <w:tcW w:w="2220" w:type="dxa"/>
            <w:tcBorders/>
            <w:vAlign w:val="bottom"/>
          </w:tcPr>
          <w:p>
            <w:pPr>
              <w:pStyle w:val="Normal"/>
              <w:widowControl w:val="false"/>
              <w:tabs>
                <w:tab w:val="clear" w:pos="720"/>
              </w:tabs>
              <w:spacing w:before="0" w:after="120"/>
              <w:jc w:val="right"/>
              <w:rPr>
                <w:rFonts w:ascii="Calibri" w:hAnsi="Calibri"/>
              </w:rPr>
            </w:pPr>
            <w:r>
              <w:rPr/>
              <w:t>549,00</w:t>
            </w:r>
          </w:p>
        </w:tc>
        <w:tc>
          <w:tcPr>
            <w:tcW w:w="2259" w:type="dxa"/>
            <w:tcBorders/>
            <w:vAlign w:val="bottom"/>
          </w:tcPr>
          <w:p>
            <w:pPr>
              <w:pStyle w:val="Normal"/>
              <w:widowControl w:val="false"/>
              <w:tabs>
                <w:tab w:val="clear" w:pos="720"/>
              </w:tabs>
              <w:spacing w:before="0" w:after="120"/>
              <w:jc w:val="right"/>
              <w:rPr>
                <w:rFonts w:ascii="Calibri" w:hAnsi="Calibri"/>
              </w:rPr>
            </w:pPr>
            <w:r>
              <w:rPr/>
              <w:t>1.647,00</w:t>
            </w:r>
          </w:p>
        </w:tc>
      </w:tr>
      <w:tr>
        <w:trPr>
          <w:trHeight w:val="300" w:hRule="atLeast"/>
        </w:trPr>
        <w:tc>
          <w:tcPr>
            <w:tcW w:w="855" w:type="dxa"/>
            <w:tcBorders/>
            <w:vAlign w:val="bottom"/>
          </w:tcPr>
          <w:p>
            <w:pPr>
              <w:pStyle w:val="Normal"/>
              <w:widowControl w:val="false"/>
              <w:tabs>
                <w:tab w:val="clear" w:pos="720"/>
              </w:tabs>
              <w:spacing w:before="0" w:after="120"/>
              <w:jc w:val="center"/>
              <w:rPr>
                <w:rFonts w:ascii="Calibri" w:hAnsi="Calibri"/>
              </w:rPr>
            </w:pPr>
            <w:r>
              <w:rPr/>
              <w:t>3</w:t>
            </w:r>
          </w:p>
        </w:tc>
        <w:tc>
          <w:tcPr>
            <w:tcW w:w="3585" w:type="dxa"/>
            <w:tcBorders/>
            <w:vAlign w:val="bottom"/>
          </w:tcPr>
          <w:p>
            <w:pPr>
              <w:pStyle w:val="Normal"/>
              <w:widowControl w:val="false"/>
              <w:tabs>
                <w:tab w:val="clear" w:pos="720"/>
              </w:tabs>
              <w:spacing w:before="0" w:after="120"/>
              <w:jc w:val="left"/>
              <w:rPr>
                <w:rFonts w:ascii="Calibri" w:hAnsi="Calibri"/>
              </w:rPr>
            </w:pPr>
            <w:r>
              <w:rPr/>
              <w:t>Πλυντήριο ρούχων</w:t>
            </w:r>
          </w:p>
        </w:tc>
        <w:tc>
          <w:tcPr>
            <w:tcW w:w="1410" w:type="dxa"/>
            <w:tcBorders/>
            <w:vAlign w:val="bottom"/>
          </w:tcPr>
          <w:p>
            <w:pPr>
              <w:pStyle w:val="Normal"/>
              <w:widowControl w:val="false"/>
              <w:tabs>
                <w:tab w:val="clear" w:pos="720"/>
              </w:tabs>
              <w:spacing w:before="0" w:after="120"/>
              <w:jc w:val="center"/>
              <w:rPr>
                <w:rFonts w:ascii="Calibri" w:hAnsi="Calibri"/>
              </w:rPr>
            </w:pPr>
            <w:r>
              <w:rPr/>
              <w:t>3</w:t>
            </w:r>
          </w:p>
        </w:tc>
        <w:tc>
          <w:tcPr>
            <w:tcW w:w="2220" w:type="dxa"/>
            <w:tcBorders/>
            <w:vAlign w:val="bottom"/>
          </w:tcPr>
          <w:p>
            <w:pPr>
              <w:pStyle w:val="Normal"/>
              <w:widowControl w:val="false"/>
              <w:tabs>
                <w:tab w:val="clear" w:pos="720"/>
              </w:tabs>
              <w:spacing w:before="0" w:after="120"/>
              <w:jc w:val="right"/>
              <w:rPr>
                <w:rFonts w:ascii="Calibri" w:hAnsi="Calibri"/>
              </w:rPr>
            </w:pPr>
            <w:r>
              <w:rPr/>
              <w:t>424,00</w:t>
            </w:r>
          </w:p>
        </w:tc>
        <w:tc>
          <w:tcPr>
            <w:tcW w:w="2259" w:type="dxa"/>
            <w:tcBorders/>
            <w:vAlign w:val="bottom"/>
          </w:tcPr>
          <w:p>
            <w:pPr>
              <w:pStyle w:val="Normal"/>
              <w:widowControl w:val="false"/>
              <w:tabs>
                <w:tab w:val="clear" w:pos="720"/>
              </w:tabs>
              <w:spacing w:before="0" w:after="120"/>
              <w:jc w:val="right"/>
              <w:rPr>
                <w:rFonts w:ascii="Calibri" w:hAnsi="Calibri"/>
              </w:rPr>
            </w:pPr>
            <w:r>
              <w:rPr/>
              <w:t>1.272,00</w:t>
            </w:r>
          </w:p>
        </w:tc>
      </w:tr>
      <w:tr>
        <w:trPr>
          <w:trHeight w:val="300" w:hRule="atLeast"/>
        </w:trPr>
        <w:tc>
          <w:tcPr>
            <w:tcW w:w="855" w:type="dxa"/>
            <w:tcBorders/>
            <w:vAlign w:val="bottom"/>
          </w:tcPr>
          <w:p>
            <w:pPr>
              <w:pStyle w:val="Normal"/>
              <w:widowControl w:val="false"/>
              <w:tabs>
                <w:tab w:val="clear" w:pos="720"/>
              </w:tabs>
              <w:spacing w:before="0" w:after="120"/>
              <w:jc w:val="center"/>
              <w:rPr>
                <w:rFonts w:ascii="Calibri" w:hAnsi="Calibri"/>
              </w:rPr>
            </w:pPr>
            <w:r>
              <w:rPr/>
              <w:t>4</w:t>
            </w:r>
          </w:p>
        </w:tc>
        <w:tc>
          <w:tcPr>
            <w:tcW w:w="3585" w:type="dxa"/>
            <w:tcBorders/>
            <w:vAlign w:val="bottom"/>
          </w:tcPr>
          <w:p>
            <w:pPr>
              <w:pStyle w:val="Normal"/>
              <w:widowControl w:val="false"/>
              <w:tabs>
                <w:tab w:val="clear" w:pos="720"/>
              </w:tabs>
              <w:spacing w:before="0" w:after="120"/>
              <w:jc w:val="left"/>
              <w:rPr>
                <w:rFonts w:ascii="Calibri" w:hAnsi="Calibri"/>
              </w:rPr>
            </w:pPr>
            <w:r>
              <w:rPr/>
              <w:t>Ψηφιακή τηλεόραση</w:t>
            </w:r>
          </w:p>
        </w:tc>
        <w:tc>
          <w:tcPr>
            <w:tcW w:w="1410" w:type="dxa"/>
            <w:tcBorders/>
            <w:vAlign w:val="bottom"/>
          </w:tcPr>
          <w:p>
            <w:pPr>
              <w:pStyle w:val="Normal"/>
              <w:widowControl w:val="false"/>
              <w:tabs>
                <w:tab w:val="clear" w:pos="720"/>
              </w:tabs>
              <w:spacing w:before="0" w:after="120"/>
              <w:jc w:val="center"/>
              <w:rPr>
                <w:rFonts w:ascii="Calibri" w:hAnsi="Calibri"/>
              </w:rPr>
            </w:pPr>
            <w:r>
              <w:rPr/>
              <w:t>3</w:t>
            </w:r>
          </w:p>
        </w:tc>
        <w:tc>
          <w:tcPr>
            <w:tcW w:w="2220" w:type="dxa"/>
            <w:tcBorders/>
            <w:vAlign w:val="bottom"/>
          </w:tcPr>
          <w:p>
            <w:pPr>
              <w:pStyle w:val="Normal"/>
              <w:widowControl w:val="false"/>
              <w:tabs>
                <w:tab w:val="clear" w:pos="720"/>
              </w:tabs>
              <w:spacing w:before="0" w:after="120"/>
              <w:jc w:val="right"/>
              <w:rPr>
                <w:rFonts w:ascii="Calibri" w:hAnsi="Calibri"/>
              </w:rPr>
            </w:pPr>
            <w:r>
              <w:rPr/>
              <w:t>230,00</w:t>
            </w:r>
          </w:p>
        </w:tc>
        <w:tc>
          <w:tcPr>
            <w:tcW w:w="2259" w:type="dxa"/>
            <w:tcBorders/>
            <w:vAlign w:val="bottom"/>
          </w:tcPr>
          <w:p>
            <w:pPr>
              <w:pStyle w:val="Normal"/>
              <w:widowControl w:val="false"/>
              <w:tabs>
                <w:tab w:val="clear" w:pos="720"/>
              </w:tabs>
              <w:spacing w:before="0" w:after="120"/>
              <w:jc w:val="right"/>
              <w:rPr>
                <w:rFonts w:ascii="Calibri" w:hAnsi="Calibri"/>
              </w:rPr>
            </w:pPr>
            <w:r>
              <w:rPr/>
              <w:t>690,00</w:t>
            </w:r>
          </w:p>
        </w:tc>
      </w:tr>
      <w:tr>
        <w:trPr>
          <w:trHeight w:val="300" w:hRule="atLeast"/>
        </w:trPr>
        <w:tc>
          <w:tcPr>
            <w:tcW w:w="855" w:type="dxa"/>
            <w:tcBorders/>
            <w:vAlign w:val="bottom"/>
          </w:tcPr>
          <w:p>
            <w:pPr>
              <w:pStyle w:val="Normal"/>
              <w:widowControl w:val="false"/>
              <w:tabs>
                <w:tab w:val="clear" w:pos="720"/>
              </w:tabs>
              <w:spacing w:before="0" w:after="120"/>
              <w:jc w:val="center"/>
              <w:rPr>
                <w:rFonts w:ascii="Calibri" w:hAnsi="Calibri"/>
              </w:rPr>
            </w:pPr>
            <w:r>
              <w:rPr/>
              <w:t>5</w:t>
            </w:r>
          </w:p>
        </w:tc>
        <w:tc>
          <w:tcPr>
            <w:tcW w:w="3585" w:type="dxa"/>
            <w:tcBorders/>
            <w:vAlign w:val="bottom"/>
          </w:tcPr>
          <w:p>
            <w:pPr>
              <w:pStyle w:val="Normal"/>
              <w:widowControl w:val="false"/>
              <w:tabs>
                <w:tab w:val="clear" w:pos="720"/>
              </w:tabs>
              <w:spacing w:before="0" w:after="120"/>
              <w:jc w:val="left"/>
              <w:rPr>
                <w:rFonts w:ascii="Calibri" w:hAnsi="Calibri"/>
              </w:rPr>
            </w:pPr>
            <w:r>
              <w:rPr/>
              <w:t>Επιτοίχια βάση τηλεόρασης</w:t>
            </w:r>
          </w:p>
        </w:tc>
        <w:tc>
          <w:tcPr>
            <w:tcW w:w="1410" w:type="dxa"/>
            <w:tcBorders/>
            <w:vAlign w:val="bottom"/>
          </w:tcPr>
          <w:p>
            <w:pPr>
              <w:pStyle w:val="Normal"/>
              <w:widowControl w:val="false"/>
              <w:tabs>
                <w:tab w:val="clear" w:pos="720"/>
              </w:tabs>
              <w:spacing w:before="0" w:after="120"/>
              <w:jc w:val="center"/>
              <w:rPr>
                <w:rFonts w:ascii="Calibri" w:hAnsi="Calibri"/>
              </w:rPr>
            </w:pPr>
            <w:r>
              <w:rPr/>
              <w:t>1</w:t>
            </w:r>
          </w:p>
        </w:tc>
        <w:tc>
          <w:tcPr>
            <w:tcW w:w="2220" w:type="dxa"/>
            <w:tcBorders/>
            <w:vAlign w:val="bottom"/>
          </w:tcPr>
          <w:p>
            <w:pPr>
              <w:pStyle w:val="Normal"/>
              <w:widowControl w:val="false"/>
              <w:tabs>
                <w:tab w:val="clear" w:pos="720"/>
              </w:tabs>
              <w:spacing w:before="0" w:after="120"/>
              <w:jc w:val="right"/>
              <w:rPr>
                <w:rFonts w:ascii="Calibri" w:hAnsi="Calibri"/>
              </w:rPr>
            </w:pPr>
            <w:r>
              <w:rPr/>
              <w:t>19,00</w:t>
            </w:r>
          </w:p>
        </w:tc>
        <w:tc>
          <w:tcPr>
            <w:tcW w:w="2259" w:type="dxa"/>
            <w:tcBorders/>
            <w:vAlign w:val="bottom"/>
          </w:tcPr>
          <w:p>
            <w:pPr>
              <w:pStyle w:val="Normal"/>
              <w:widowControl w:val="false"/>
              <w:tabs>
                <w:tab w:val="clear" w:pos="720"/>
              </w:tabs>
              <w:spacing w:before="0" w:after="120"/>
              <w:jc w:val="right"/>
              <w:rPr>
                <w:rFonts w:ascii="Calibri" w:hAnsi="Calibri"/>
              </w:rPr>
            </w:pPr>
            <w:r>
              <w:rPr/>
              <w:t>19,00</w:t>
            </w:r>
          </w:p>
        </w:tc>
      </w:tr>
      <w:tr>
        <w:trPr>
          <w:trHeight w:val="300" w:hRule="atLeast"/>
        </w:trPr>
        <w:tc>
          <w:tcPr>
            <w:tcW w:w="855" w:type="dxa"/>
            <w:tcBorders/>
            <w:vAlign w:val="bottom"/>
          </w:tcPr>
          <w:p>
            <w:pPr>
              <w:pStyle w:val="Normal"/>
              <w:widowControl w:val="false"/>
              <w:tabs>
                <w:tab w:val="clear" w:pos="720"/>
              </w:tabs>
              <w:spacing w:before="0" w:after="120"/>
              <w:jc w:val="center"/>
              <w:rPr>
                <w:rFonts w:ascii="Calibri" w:hAnsi="Calibri"/>
              </w:rPr>
            </w:pPr>
            <w:r>
              <w:rPr/>
              <w:t>6</w:t>
            </w:r>
          </w:p>
        </w:tc>
        <w:tc>
          <w:tcPr>
            <w:tcW w:w="3585" w:type="dxa"/>
            <w:tcBorders/>
            <w:vAlign w:val="bottom"/>
          </w:tcPr>
          <w:p>
            <w:pPr>
              <w:pStyle w:val="Normal"/>
              <w:widowControl w:val="false"/>
              <w:tabs>
                <w:tab w:val="clear" w:pos="720"/>
              </w:tabs>
              <w:spacing w:before="0" w:after="120"/>
              <w:jc w:val="left"/>
              <w:rPr>
                <w:rFonts w:ascii="Calibri" w:hAnsi="Calibri"/>
              </w:rPr>
            </w:pPr>
            <w:r>
              <w:rPr/>
              <w:t>Σαντουιτσιέρα-τοστιέρα</w:t>
            </w:r>
          </w:p>
        </w:tc>
        <w:tc>
          <w:tcPr>
            <w:tcW w:w="1410" w:type="dxa"/>
            <w:tcBorders/>
            <w:vAlign w:val="bottom"/>
          </w:tcPr>
          <w:p>
            <w:pPr>
              <w:pStyle w:val="Normal"/>
              <w:widowControl w:val="false"/>
              <w:tabs>
                <w:tab w:val="clear" w:pos="720"/>
              </w:tabs>
              <w:spacing w:before="0" w:after="120"/>
              <w:jc w:val="center"/>
              <w:rPr>
                <w:rFonts w:ascii="Calibri" w:hAnsi="Calibri"/>
              </w:rPr>
            </w:pPr>
            <w:r>
              <w:rPr/>
              <w:t>3</w:t>
            </w:r>
          </w:p>
        </w:tc>
        <w:tc>
          <w:tcPr>
            <w:tcW w:w="2220" w:type="dxa"/>
            <w:tcBorders/>
            <w:vAlign w:val="bottom"/>
          </w:tcPr>
          <w:p>
            <w:pPr>
              <w:pStyle w:val="Normal"/>
              <w:widowControl w:val="false"/>
              <w:tabs>
                <w:tab w:val="clear" w:pos="720"/>
              </w:tabs>
              <w:spacing w:before="0" w:after="120"/>
              <w:jc w:val="right"/>
              <w:rPr>
                <w:rFonts w:ascii="Calibri" w:hAnsi="Calibri"/>
              </w:rPr>
            </w:pPr>
            <w:r>
              <w:rPr/>
              <w:t>30,00</w:t>
            </w:r>
          </w:p>
        </w:tc>
        <w:tc>
          <w:tcPr>
            <w:tcW w:w="2259" w:type="dxa"/>
            <w:tcBorders/>
            <w:vAlign w:val="bottom"/>
          </w:tcPr>
          <w:p>
            <w:pPr>
              <w:pStyle w:val="Normal"/>
              <w:widowControl w:val="false"/>
              <w:tabs>
                <w:tab w:val="clear" w:pos="720"/>
              </w:tabs>
              <w:spacing w:before="0" w:after="120"/>
              <w:jc w:val="right"/>
              <w:rPr>
                <w:rFonts w:ascii="Calibri" w:hAnsi="Calibri"/>
              </w:rPr>
            </w:pPr>
            <w:r>
              <w:rPr/>
              <w:t>90,00</w:t>
            </w:r>
          </w:p>
        </w:tc>
      </w:tr>
      <w:tr>
        <w:trPr>
          <w:trHeight w:val="300" w:hRule="atLeast"/>
        </w:trPr>
        <w:tc>
          <w:tcPr>
            <w:tcW w:w="855" w:type="dxa"/>
            <w:tcBorders/>
            <w:vAlign w:val="bottom"/>
          </w:tcPr>
          <w:p>
            <w:pPr>
              <w:pStyle w:val="Normal"/>
              <w:widowControl w:val="false"/>
              <w:tabs>
                <w:tab w:val="clear" w:pos="720"/>
              </w:tabs>
              <w:spacing w:before="0" w:after="120"/>
              <w:jc w:val="center"/>
              <w:rPr>
                <w:rFonts w:ascii="Calibri" w:hAnsi="Calibri"/>
              </w:rPr>
            </w:pPr>
            <w:r>
              <w:rPr/>
              <w:t>7</w:t>
            </w:r>
          </w:p>
        </w:tc>
        <w:tc>
          <w:tcPr>
            <w:tcW w:w="3585" w:type="dxa"/>
            <w:tcBorders/>
            <w:vAlign w:val="bottom"/>
          </w:tcPr>
          <w:p>
            <w:pPr>
              <w:pStyle w:val="Normal"/>
              <w:widowControl w:val="false"/>
              <w:tabs>
                <w:tab w:val="clear" w:pos="720"/>
              </w:tabs>
              <w:spacing w:before="0" w:after="120"/>
              <w:jc w:val="left"/>
              <w:rPr>
                <w:rFonts w:ascii="Calibri" w:hAnsi="Calibri"/>
              </w:rPr>
            </w:pPr>
            <w:r>
              <w:rPr/>
              <w:t>Καφετιέρα φίλτρου</w:t>
            </w:r>
          </w:p>
        </w:tc>
        <w:tc>
          <w:tcPr>
            <w:tcW w:w="1410" w:type="dxa"/>
            <w:tcBorders/>
            <w:vAlign w:val="bottom"/>
          </w:tcPr>
          <w:p>
            <w:pPr>
              <w:pStyle w:val="Normal"/>
              <w:widowControl w:val="false"/>
              <w:tabs>
                <w:tab w:val="clear" w:pos="720"/>
              </w:tabs>
              <w:spacing w:before="0" w:after="120"/>
              <w:jc w:val="center"/>
              <w:rPr>
                <w:rFonts w:ascii="Calibri" w:hAnsi="Calibri"/>
              </w:rPr>
            </w:pPr>
            <w:r>
              <w:rPr/>
              <w:t>3</w:t>
            </w:r>
          </w:p>
        </w:tc>
        <w:tc>
          <w:tcPr>
            <w:tcW w:w="2220" w:type="dxa"/>
            <w:tcBorders/>
            <w:vAlign w:val="bottom"/>
          </w:tcPr>
          <w:p>
            <w:pPr>
              <w:pStyle w:val="Normal"/>
              <w:widowControl w:val="false"/>
              <w:tabs>
                <w:tab w:val="clear" w:pos="720"/>
              </w:tabs>
              <w:spacing w:before="0" w:after="120"/>
              <w:jc w:val="right"/>
              <w:rPr>
                <w:rFonts w:ascii="Calibri" w:hAnsi="Calibri"/>
              </w:rPr>
            </w:pPr>
            <w:r>
              <w:rPr/>
              <w:t>50,00</w:t>
            </w:r>
          </w:p>
        </w:tc>
        <w:tc>
          <w:tcPr>
            <w:tcW w:w="2259" w:type="dxa"/>
            <w:tcBorders/>
            <w:vAlign w:val="bottom"/>
          </w:tcPr>
          <w:p>
            <w:pPr>
              <w:pStyle w:val="Normal"/>
              <w:widowControl w:val="false"/>
              <w:tabs>
                <w:tab w:val="clear" w:pos="720"/>
              </w:tabs>
              <w:spacing w:before="0" w:after="120"/>
              <w:jc w:val="right"/>
              <w:rPr>
                <w:rFonts w:ascii="Calibri" w:hAnsi="Calibri"/>
              </w:rPr>
            </w:pPr>
            <w:r>
              <w:rPr/>
              <w:t>150,00</w:t>
            </w:r>
          </w:p>
        </w:tc>
      </w:tr>
      <w:tr>
        <w:trPr>
          <w:trHeight w:val="300" w:hRule="atLeast"/>
        </w:trPr>
        <w:tc>
          <w:tcPr>
            <w:tcW w:w="855" w:type="dxa"/>
            <w:tcBorders/>
            <w:vAlign w:val="bottom"/>
          </w:tcPr>
          <w:p>
            <w:pPr>
              <w:pStyle w:val="Normal"/>
              <w:widowControl w:val="false"/>
              <w:tabs>
                <w:tab w:val="clear" w:pos="720"/>
              </w:tabs>
              <w:spacing w:before="0" w:after="120"/>
              <w:jc w:val="center"/>
              <w:rPr>
                <w:rFonts w:ascii="Calibri" w:hAnsi="Calibri"/>
              </w:rPr>
            </w:pPr>
            <w:r>
              <w:rPr/>
              <w:t>8</w:t>
            </w:r>
          </w:p>
        </w:tc>
        <w:tc>
          <w:tcPr>
            <w:tcW w:w="3585" w:type="dxa"/>
            <w:tcBorders/>
            <w:vAlign w:val="bottom"/>
          </w:tcPr>
          <w:p>
            <w:pPr>
              <w:pStyle w:val="Normal"/>
              <w:widowControl w:val="false"/>
              <w:tabs>
                <w:tab w:val="clear" w:pos="720"/>
              </w:tabs>
              <w:spacing w:before="0" w:after="120"/>
              <w:jc w:val="left"/>
              <w:rPr>
                <w:rFonts w:ascii="Calibri" w:hAnsi="Calibri"/>
              </w:rPr>
            </w:pPr>
            <w:r>
              <w:rPr/>
              <w:t>Ατμοσίδερο</w:t>
            </w:r>
          </w:p>
        </w:tc>
        <w:tc>
          <w:tcPr>
            <w:tcW w:w="1410" w:type="dxa"/>
            <w:tcBorders/>
            <w:vAlign w:val="bottom"/>
          </w:tcPr>
          <w:p>
            <w:pPr>
              <w:pStyle w:val="Normal"/>
              <w:widowControl w:val="false"/>
              <w:tabs>
                <w:tab w:val="clear" w:pos="720"/>
              </w:tabs>
              <w:spacing w:before="0" w:after="120"/>
              <w:jc w:val="center"/>
              <w:rPr>
                <w:rFonts w:ascii="Calibri" w:hAnsi="Calibri"/>
              </w:rPr>
            </w:pPr>
            <w:r>
              <w:rPr/>
              <w:t>3</w:t>
            </w:r>
          </w:p>
        </w:tc>
        <w:tc>
          <w:tcPr>
            <w:tcW w:w="2220" w:type="dxa"/>
            <w:tcBorders/>
            <w:vAlign w:val="bottom"/>
          </w:tcPr>
          <w:p>
            <w:pPr>
              <w:pStyle w:val="Normal"/>
              <w:widowControl w:val="false"/>
              <w:tabs>
                <w:tab w:val="clear" w:pos="720"/>
              </w:tabs>
              <w:spacing w:before="0" w:after="120"/>
              <w:jc w:val="right"/>
              <w:rPr>
                <w:rFonts w:ascii="Calibri" w:hAnsi="Calibri"/>
              </w:rPr>
            </w:pPr>
            <w:r>
              <w:rPr/>
              <w:t>50,00</w:t>
            </w:r>
          </w:p>
        </w:tc>
        <w:tc>
          <w:tcPr>
            <w:tcW w:w="2259" w:type="dxa"/>
            <w:tcBorders/>
            <w:vAlign w:val="bottom"/>
          </w:tcPr>
          <w:p>
            <w:pPr>
              <w:pStyle w:val="Normal"/>
              <w:widowControl w:val="false"/>
              <w:tabs>
                <w:tab w:val="clear" w:pos="720"/>
              </w:tabs>
              <w:spacing w:before="0" w:after="120"/>
              <w:jc w:val="right"/>
              <w:rPr>
                <w:rFonts w:ascii="Calibri" w:hAnsi="Calibri"/>
              </w:rPr>
            </w:pPr>
            <w:r>
              <w:rPr/>
              <w:t>150,00</w:t>
            </w:r>
          </w:p>
        </w:tc>
      </w:tr>
      <w:tr>
        <w:trPr>
          <w:trHeight w:val="300" w:hRule="atLeast"/>
        </w:trPr>
        <w:tc>
          <w:tcPr>
            <w:tcW w:w="855" w:type="dxa"/>
            <w:tcBorders/>
            <w:vAlign w:val="bottom"/>
          </w:tcPr>
          <w:p>
            <w:pPr>
              <w:pStyle w:val="Normal"/>
              <w:widowControl w:val="false"/>
              <w:tabs>
                <w:tab w:val="clear" w:pos="720"/>
              </w:tabs>
              <w:spacing w:before="0" w:after="120"/>
              <w:jc w:val="center"/>
              <w:rPr>
                <w:rFonts w:ascii="Calibri" w:hAnsi="Calibri"/>
              </w:rPr>
            </w:pPr>
            <w:r>
              <w:rPr/>
              <w:t>9</w:t>
            </w:r>
          </w:p>
        </w:tc>
        <w:tc>
          <w:tcPr>
            <w:tcW w:w="3585" w:type="dxa"/>
            <w:tcBorders/>
            <w:vAlign w:val="bottom"/>
          </w:tcPr>
          <w:p>
            <w:pPr>
              <w:pStyle w:val="Normal"/>
              <w:widowControl w:val="false"/>
              <w:tabs>
                <w:tab w:val="clear" w:pos="720"/>
              </w:tabs>
              <w:spacing w:before="0" w:after="120"/>
              <w:jc w:val="left"/>
              <w:rPr>
                <w:rFonts w:ascii="Calibri" w:hAnsi="Calibri"/>
              </w:rPr>
            </w:pPr>
            <w:r>
              <w:rPr/>
              <w:t>Βραστήρας</w:t>
            </w:r>
          </w:p>
        </w:tc>
        <w:tc>
          <w:tcPr>
            <w:tcW w:w="1410" w:type="dxa"/>
            <w:tcBorders/>
            <w:vAlign w:val="bottom"/>
          </w:tcPr>
          <w:p>
            <w:pPr>
              <w:pStyle w:val="Normal"/>
              <w:widowControl w:val="false"/>
              <w:tabs>
                <w:tab w:val="clear" w:pos="720"/>
              </w:tabs>
              <w:spacing w:before="0" w:after="120"/>
              <w:jc w:val="center"/>
              <w:rPr>
                <w:rFonts w:ascii="Calibri" w:hAnsi="Calibri"/>
              </w:rPr>
            </w:pPr>
            <w:r>
              <w:rPr/>
              <w:t>3</w:t>
            </w:r>
          </w:p>
        </w:tc>
        <w:tc>
          <w:tcPr>
            <w:tcW w:w="2220" w:type="dxa"/>
            <w:tcBorders/>
            <w:vAlign w:val="bottom"/>
          </w:tcPr>
          <w:p>
            <w:pPr>
              <w:pStyle w:val="Normal"/>
              <w:widowControl w:val="false"/>
              <w:tabs>
                <w:tab w:val="clear" w:pos="720"/>
              </w:tabs>
              <w:spacing w:before="0" w:after="120"/>
              <w:jc w:val="right"/>
              <w:rPr>
                <w:rFonts w:ascii="Calibri" w:hAnsi="Calibri"/>
              </w:rPr>
            </w:pPr>
            <w:r>
              <w:rPr/>
              <w:t>29,00</w:t>
            </w:r>
          </w:p>
        </w:tc>
        <w:tc>
          <w:tcPr>
            <w:tcW w:w="2259" w:type="dxa"/>
            <w:tcBorders/>
            <w:vAlign w:val="bottom"/>
          </w:tcPr>
          <w:p>
            <w:pPr>
              <w:pStyle w:val="Normal"/>
              <w:widowControl w:val="false"/>
              <w:tabs>
                <w:tab w:val="clear" w:pos="720"/>
              </w:tabs>
              <w:spacing w:before="0" w:after="120"/>
              <w:jc w:val="right"/>
              <w:rPr>
                <w:rFonts w:ascii="Calibri" w:hAnsi="Calibri"/>
              </w:rPr>
            </w:pPr>
            <w:r>
              <w:rPr/>
              <w:t>87,00</w:t>
            </w:r>
          </w:p>
        </w:tc>
      </w:tr>
      <w:tr>
        <w:trPr>
          <w:trHeight w:val="300" w:hRule="atLeast"/>
        </w:trPr>
        <w:tc>
          <w:tcPr>
            <w:tcW w:w="855" w:type="dxa"/>
            <w:tcBorders/>
            <w:vAlign w:val="bottom"/>
          </w:tcPr>
          <w:p>
            <w:pPr>
              <w:pStyle w:val="Normal"/>
              <w:widowControl w:val="false"/>
              <w:tabs>
                <w:tab w:val="clear" w:pos="720"/>
              </w:tabs>
              <w:spacing w:before="0" w:after="120"/>
              <w:jc w:val="center"/>
              <w:rPr>
                <w:rFonts w:ascii="Calibri" w:hAnsi="Calibri"/>
              </w:rPr>
            </w:pPr>
            <w:r>
              <w:rPr/>
              <w:t>10</w:t>
            </w:r>
          </w:p>
        </w:tc>
        <w:tc>
          <w:tcPr>
            <w:tcW w:w="3585" w:type="dxa"/>
            <w:tcBorders/>
            <w:vAlign w:val="bottom"/>
          </w:tcPr>
          <w:p>
            <w:pPr>
              <w:pStyle w:val="Normal"/>
              <w:widowControl w:val="false"/>
              <w:tabs>
                <w:tab w:val="clear" w:pos="720"/>
              </w:tabs>
              <w:spacing w:before="0" w:after="120"/>
              <w:jc w:val="left"/>
              <w:rPr>
                <w:rFonts w:ascii="Calibri" w:hAnsi="Calibri"/>
              </w:rPr>
            </w:pPr>
            <w:r>
              <w:rPr/>
              <w:t>Πολυκόπτης</w:t>
            </w:r>
          </w:p>
        </w:tc>
        <w:tc>
          <w:tcPr>
            <w:tcW w:w="1410" w:type="dxa"/>
            <w:tcBorders/>
            <w:vAlign w:val="bottom"/>
          </w:tcPr>
          <w:p>
            <w:pPr>
              <w:pStyle w:val="Normal"/>
              <w:widowControl w:val="false"/>
              <w:tabs>
                <w:tab w:val="clear" w:pos="720"/>
              </w:tabs>
              <w:spacing w:before="0" w:after="120"/>
              <w:jc w:val="center"/>
              <w:rPr>
                <w:rFonts w:ascii="Calibri" w:hAnsi="Calibri"/>
              </w:rPr>
            </w:pPr>
            <w:r>
              <w:rPr/>
              <w:t>3</w:t>
            </w:r>
          </w:p>
        </w:tc>
        <w:tc>
          <w:tcPr>
            <w:tcW w:w="2220" w:type="dxa"/>
            <w:tcBorders/>
            <w:vAlign w:val="bottom"/>
          </w:tcPr>
          <w:p>
            <w:pPr>
              <w:pStyle w:val="Normal"/>
              <w:widowControl w:val="false"/>
              <w:tabs>
                <w:tab w:val="clear" w:pos="720"/>
              </w:tabs>
              <w:spacing w:before="0" w:after="120"/>
              <w:jc w:val="right"/>
              <w:rPr>
                <w:rFonts w:ascii="Calibri" w:hAnsi="Calibri"/>
              </w:rPr>
            </w:pPr>
            <w:r>
              <w:rPr/>
              <w:t>20,00</w:t>
            </w:r>
          </w:p>
        </w:tc>
        <w:tc>
          <w:tcPr>
            <w:tcW w:w="2259" w:type="dxa"/>
            <w:tcBorders/>
            <w:vAlign w:val="bottom"/>
          </w:tcPr>
          <w:p>
            <w:pPr>
              <w:pStyle w:val="Normal"/>
              <w:widowControl w:val="false"/>
              <w:tabs>
                <w:tab w:val="clear" w:pos="720"/>
              </w:tabs>
              <w:spacing w:before="0" w:after="120"/>
              <w:jc w:val="right"/>
              <w:rPr>
                <w:rFonts w:ascii="Calibri" w:hAnsi="Calibri"/>
              </w:rPr>
            </w:pPr>
            <w:r>
              <w:rPr/>
              <w:t>60,00</w:t>
            </w:r>
          </w:p>
        </w:tc>
      </w:tr>
      <w:tr>
        <w:trPr>
          <w:trHeight w:val="300" w:hRule="atLeast"/>
        </w:trPr>
        <w:tc>
          <w:tcPr>
            <w:tcW w:w="855" w:type="dxa"/>
            <w:tcBorders/>
            <w:vAlign w:val="bottom"/>
          </w:tcPr>
          <w:p>
            <w:pPr>
              <w:pStyle w:val="Normal"/>
              <w:widowControl w:val="false"/>
              <w:tabs>
                <w:tab w:val="clear" w:pos="720"/>
              </w:tabs>
              <w:spacing w:before="0" w:after="120"/>
              <w:jc w:val="center"/>
              <w:rPr>
                <w:rFonts w:ascii="Calibri" w:hAnsi="Calibri"/>
              </w:rPr>
            </w:pPr>
            <w:r>
              <w:rPr/>
              <w:t>11</w:t>
            </w:r>
          </w:p>
        </w:tc>
        <w:tc>
          <w:tcPr>
            <w:tcW w:w="3585" w:type="dxa"/>
            <w:tcBorders/>
            <w:vAlign w:val="bottom"/>
          </w:tcPr>
          <w:p>
            <w:pPr>
              <w:pStyle w:val="Normal"/>
              <w:widowControl w:val="false"/>
              <w:tabs>
                <w:tab w:val="clear" w:pos="720"/>
              </w:tabs>
              <w:spacing w:before="0" w:after="120"/>
              <w:jc w:val="left"/>
              <w:rPr>
                <w:rFonts w:ascii="Calibri" w:hAnsi="Calibri"/>
              </w:rPr>
            </w:pPr>
            <w:r>
              <w:rPr/>
              <w:t>Ηλεκτρική σκούπα</w:t>
            </w:r>
          </w:p>
        </w:tc>
        <w:tc>
          <w:tcPr>
            <w:tcW w:w="1410" w:type="dxa"/>
            <w:tcBorders/>
            <w:vAlign w:val="bottom"/>
          </w:tcPr>
          <w:p>
            <w:pPr>
              <w:pStyle w:val="Normal"/>
              <w:widowControl w:val="false"/>
              <w:tabs>
                <w:tab w:val="clear" w:pos="720"/>
              </w:tabs>
              <w:spacing w:before="0" w:after="120"/>
              <w:jc w:val="center"/>
              <w:rPr>
                <w:rFonts w:ascii="Calibri" w:hAnsi="Calibri"/>
              </w:rPr>
            </w:pPr>
            <w:r>
              <w:rPr/>
              <w:t>3</w:t>
            </w:r>
          </w:p>
        </w:tc>
        <w:tc>
          <w:tcPr>
            <w:tcW w:w="2220" w:type="dxa"/>
            <w:tcBorders/>
            <w:vAlign w:val="bottom"/>
          </w:tcPr>
          <w:p>
            <w:pPr>
              <w:pStyle w:val="Normal"/>
              <w:widowControl w:val="false"/>
              <w:tabs>
                <w:tab w:val="clear" w:pos="720"/>
              </w:tabs>
              <w:spacing w:before="0" w:after="120"/>
              <w:jc w:val="right"/>
              <w:rPr>
                <w:rFonts w:ascii="Calibri" w:hAnsi="Calibri"/>
              </w:rPr>
            </w:pPr>
            <w:r>
              <w:rPr/>
              <w:t>238,00</w:t>
            </w:r>
          </w:p>
        </w:tc>
        <w:tc>
          <w:tcPr>
            <w:tcW w:w="2259" w:type="dxa"/>
            <w:tcBorders/>
            <w:vAlign w:val="bottom"/>
          </w:tcPr>
          <w:p>
            <w:pPr>
              <w:pStyle w:val="Normal"/>
              <w:widowControl w:val="false"/>
              <w:tabs>
                <w:tab w:val="clear" w:pos="720"/>
              </w:tabs>
              <w:spacing w:before="0" w:after="120"/>
              <w:jc w:val="right"/>
              <w:rPr>
                <w:rFonts w:ascii="Calibri" w:hAnsi="Calibri"/>
              </w:rPr>
            </w:pPr>
            <w:r>
              <w:rPr/>
              <w:t>714,00</w:t>
            </w:r>
          </w:p>
        </w:tc>
      </w:tr>
      <w:tr>
        <w:trPr>
          <w:trHeight w:val="300" w:hRule="atLeast"/>
        </w:trPr>
        <w:tc>
          <w:tcPr>
            <w:tcW w:w="855" w:type="dxa"/>
            <w:tcBorders/>
            <w:vAlign w:val="bottom"/>
          </w:tcPr>
          <w:p>
            <w:pPr>
              <w:pStyle w:val="Normal"/>
              <w:widowControl w:val="false"/>
              <w:tabs>
                <w:tab w:val="clear" w:pos="720"/>
              </w:tabs>
              <w:spacing w:before="0" w:after="120"/>
              <w:jc w:val="center"/>
              <w:rPr>
                <w:rFonts w:ascii="Calibri" w:hAnsi="Calibri"/>
              </w:rPr>
            </w:pPr>
            <w:r>
              <w:rPr/>
            </w:r>
          </w:p>
          <w:p>
            <w:pPr>
              <w:pStyle w:val="Normal"/>
              <w:widowControl w:val="false"/>
              <w:tabs>
                <w:tab w:val="clear" w:pos="720"/>
              </w:tabs>
              <w:spacing w:before="0" w:after="120"/>
              <w:jc w:val="center"/>
              <w:rPr>
                <w:rFonts w:ascii="Calibri" w:hAnsi="Calibri"/>
              </w:rPr>
            </w:pPr>
            <w:r>
              <w:rPr/>
            </w:r>
          </w:p>
          <w:p>
            <w:pPr>
              <w:pStyle w:val="Normal"/>
              <w:widowControl w:val="false"/>
              <w:tabs>
                <w:tab w:val="clear" w:pos="720"/>
              </w:tabs>
              <w:spacing w:before="0" w:after="120"/>
              <w:jc w:val="center"/>
              <w:rPr>
                <w:rFonts w:ascii="Calibri" w:hAnsi="Calibri"/>
              </w:rPr>
            </w:pPr>
            <w:r>
              <w:rPr/>
            </w:r>
          </w:p>
        </w:tc>
        <w:tc>
          <w:tcPr>
            <w:tcW w:w="3585" w:type="dxa"/>
            <w:tcBorders/>
            <w:vAlign w:val="bottom"/>
          </w:tcPr>
          <w:p>
            <w:pPr>
              <w:pStyle w:val="Normal"/>
              <w:widowControl w:val="false"/>
              <w:tabs>
                <w:tab w:val="clear" w:pos="720"/>
              </w:tabs>
              <w:spacing w:before="0" w:after="120"/>
              <w:jc w:val="left"/>
              <w:rPr>
                <w:rFonts w:ascii="Calibri" w:hAnsi="Calibri"/>
              </w:rPr>
            </w:pPr>
            <w:r>
              <w:rPr>
                <w:b/>
              </w:rPr>
              <w:t>Έπιπλα</w:t>
            </w:r>
          </w:p>
        </w:tc>
        <w:tc>
          <w:tcPr>
            <w:tcW w:w="1410" w:type="dxa"/>
            <w:tcBorders/>
            <w:vAlign w:val="bottom"/>
          </w:tcPr>
          <w:p>
            <w:pPr>
              <w:pStyle w:val="Normal"/>
              <w:widowControl w:val="false"/>
              <w:tabs>
                <w:tab w:val="clear" w:pos="720"/>
              </w:tabs>
              <w:spacing w:before="0" w:after="120"/>
              <w:jc w:val="left"/>
              <w:rPr>
                <w:rFonts w:ascii="Calibri" w:hAnsi="Calibri"/>
              </w:rPr>
            </w:pPr>
            <w:r>
              <w:rPr/>
            </w:r>
          </w:p>
        </w:tc>
        <w:tc>
          <w:tcPr>
            <w:tcW w:w="2220" w:type="dxa"/>
            <w:tcBorders/>
            <w:vAlign w:val="bottom"/>
          </w:tcPr>
          <w:p>
            <w:pPr>
              <w:pStyle w:val="Normal"/>
              <w:widowControl w:val="false"/>
              <w:tabs>
                <w:tab w:val="clear" w:pos="720"/>
              </w:tabs>
              <w:spacing w:before="0" w:after="120"/>
              <w:jc w:val="left"/>
              <w:rPr>
                <w:rFonts w:ascii="Calibri" w:hAnsi="Calibri"/>
              </w:rPr>
            </w:pPr>
            <w:r>
              <w:rPr/>
            </w:r>
          </w:p>
        </w:tc>
        <w:tc>
          <w:tcPr>
            <w:tcW w:w="2259" w:type="dxa"/>
            <w:tcBorders/>
            <w:vAlign w:val="bottom"/>
          </w:tcPr>
          <w:p>
            <w:pPr>
              <w:pStyle w:val="Normal"/>
              <w:widowControl w:val="false"/>
              <w:tabs>
                <w:tab w:val="clear" w:pos="720"/>
              </w:tabs>
              <w:spacing w:before="0" w:after="120"/>
              <w:jc w:val="left"/>
              <w:rPr>
                <w:rFonts w:ascii="Calibri" w:hAnsi="Calibri"/>
              </w:rPr>
            </w:pPr>
            <w:r>
              <w:rPr/>
            </w:r>
          </w:p>
        </w:tc>
      </w:tr>
      <w:tr>
        <w:trPr>
          <w:trHeight w:val="300" w:hRule="atLeast"/>
        </w:trPr>
        <w:tc>
          <w:tcPr>
            <w:tcW w:w="855" w:type="dxa"/>
            <w:tcBorders/>
            <w:vAlign w:val="bottom"/>
          </w:tcPr>
          <w:p>
            <w:pPr>
              <w:pStyle w:val="Normal"/>
              <w:widowControl w:val="false"/>
              <w:tabs>
                <w:tab w:val="clear" w:pos="720"/>
              </w:tabs>
              <w:spacing w:before="0" w:after="120"/>
              <w:jc w:val="center"/>
              <w:rPr>
                <w:rFonts w:ascii="Calibri" w:hAnsi="Calibri"/>
              </w:rPr>
            </w:pPr>
            <w:r>
              <w:rPr/>
              <w:t>12</w:t>
            </w:r>
          </w:p>
        </w:tc>
        <w:tc>
          <w:tcPr>
            <w:tcW w:w="3585" w:type="dxa"/>
            <w:tcBorders/>
            <w:vAlign w:val="bottom"/>
          </w:tcPr>
          <w:p>
            <w:pPr>
              <w:pStyle w:val="Normal"/>
              <w:widowControl w:val="false"/>
              <w:tabs>
                <w:tab w:val="clear" w:pos="720"/>
              </w:tabs>
              <w:spacing w:before="0" w:after="120"/>
              <w:jc w:val="left"/>
              <w:rPr>
                <w:rFonts w:ascii="Calibri" w:hAnsi="Calibri"/>
              </w:rPr>
            </w:pPr>
            <w:r>
              <w:rPr/>
              <w:t>Κρεβάτι διπλό</w:t>
            </w:r>
          </w:p>
        </w:tc>
        <w:tc>
          <w:tcPr>
            <w:tcW w:w="1410" w:type="dxa"/>
            <w:tcBorders/>
            <w:vAlign w:val="bottom"/>
          </w:tcPr>
          <w:p>
            <w:pPr>
              <w:pStyle w:val="Normal"/>
              <w:widowControl w:val="false"/>
              <w:tabs>
                <w:tab w:val="clear" w:pos="720"/>
              </w:tabs>
              <w:spacing w:before="0" w:after="120"/>
              <w:jc w:val="center"/>
              <w:rPr>
                <w:rFonts w:ascii="Calibri" w:hAnsi="Calibri"/>
              </w:rPr>
            </w:pPr>
            <w:r>
              <w:rPr/>
              <w:t>1</w:t>
            </w:r>
          </w:p>
        </w:tc>
        <w:tc>
          <w:tcPr>
            <w:tcW w:w="2220" w:type="dxa"/>
            <w:tcBorders/>
            <w:vAlign w:val="bottom"/>
          </w:tcPr>
          <w:p>
            <w:pPr>
              <w:pStyle w:val="Normal"/>
              <w:widowControl w:val="false"/>
              <w:tabs>
                <w:tab w:val="clear" w:pos="720"/>
              </w:tabs>
              <w:spacing w:before="0" w:after="120"/>
              <w:jc w:val="right"/>
              <w:rPr>
                <w:rFonts w:ascii="Calibri" w:hAnsi="Calibri"/>
              </w:rPr>
            </w:pPr>
            <w:r>
              <w:rPr/>
              <w:t>264,00</w:t>
            </w:r>
          </w:p>
        </w:tc>
        <w:tc>
          <w:tcPr>
            <w:tcW w:w="2259" w:type="dxa"/>
            <w:tcBorders/>
            <w:vAlign w:val="bottom"/>
          </w:tcPr>
          <w:p>
            <w:pPr>
              <w:pStyle w:val="Normal"/>
              <w:widowControl w:val="false"/>
              <w:tabs>
                <w:tab w:val="clear" w:pos="720"/>
              </w:tabs>
              <w:spacing w:before="0" w:after="120"/>
              <w:jc w:val="right"/>
              <w:rPr>
                <w:rFonts w:ascii="Calibri" w:hAnsi="Calibri"/>
              </w:rPr>
            </w:pPr>
            <w:r>
              <w:rPr/>
              <w:t>264,00</w:t>
            </w:r>
          </w:p>
        </w:tc>
      </w:tr>
      <w:tr>
        <w:trPr>
          <w:trHeight w:val="300" w:hRule="atLeast"/>
        </w:trPr>
        <w:tc>
          <w:tcPr>
            <w:tcW w:w="855" w:type="dxa"/>
            <w:tcBorders/>
            <w:vAlign w:val="bottom"/>
          </w:tcPr>
          <w:p>
            <w:pPr>
              <w:pStyle w:val="Normal"/>
              <w:widowControl w:val="false"/>
              <w:tabs>
                <w:tab w:val="clear" w:pos="720"/>
              </w:tabs>
              <w:spacing w:before="0" w:after="120"/>
              <w:jc w:val="center"/>
              <w:rPr>
                <w:rFonts w:ascii="Calibri" w:hAnsi="Calibri"/>
              </w:rPr>
            </w:pPr>
            <w:r>
              <w:rPr/>
              <w:t>13</w:t>
            </w:r>
          </w:p>
        </w:tc>
        <w:tc>
          <w:tcPr>
            <w:tcW w:w="3585" w:type="dxa"/>
            <w:tcBorders/>
            <w:vAlign w:val="bottom"/>
          </w:tcPr>
          <w:p>
            <w:pPr>
              <w:pStyle w:val="Normal"/>
              <w:widowControl w:val="false"/>
              <w:tabs>
                <w:tab w:val="clear" w:pos="720"/>
              </w:tabs>
              <w:spacing w:before="0" w:after="120"/>
              <w:jc w:val="left"/>
              <w:rPr>
                <w:rFonts w:ascii="Calibri" w:hAnsi="Calibri"/>
              </w:rPr>
            </w:pPr>
            <w:r>
              <w:rPr/>
              <w:t>Κρεβάτι μονό</w:t>
            </w:r>
          </w:p>
        </w:tc>
        <w:tc>
          <w:tcPr>
            <w:tcW w:w="1410" w:type="dxa"/>
            <w:tcBorders/>
            <w:vAlign w:val="bottom"/>
          </w:tcPr>
          <w:p>
            <w:pPr>
              <w:pStyle w:val="Normal"/>
              <w:widowControl w:val="false"/>
              <w:tabs>
                <w:tab w:val="clear" w:pos="720"/>
              </w:tabs>
              <w:spacing w:before="0" w:after="120"/>
              <w:jc w:val="center"/>
              <w:rPr>
                <w:rFonts w:ascii="Calibri" w:hAnsi="Calibri"/>
              </w:rPr>
            </w:pPr>
            <w:r>
              <w:rPr/>
              <w:t>4</w:t>
            </w:r>
          </w:p>
        </w:tc>
        <w:tc>
          <w:tcPr>
            <w:tcW w:w="2220" w:type="dxa"/>
            <w:tcBorders/>
            <w:vAlign w:val="bottom"/>
          </w:tcPr>
          <w:p>
            <w:pPr>
              <w:pStyle w:val="Normal"/>
              <w:widowControl w:val="false"/>
              <w:tabs>
                <w:tab w:val="clear" w:pos="720"/>
              </w:tabs>
              <w:spacing w:before="0" w:after="120"/>
              <w:jc w:val="right"/>
              <w:rPr>
                <w:rFonts w:ascii="Calibri" w:hAnsi="Calibri"/>
              </w:rPr>
            </w:pPr>
            <w:r>
              <w:rPr/>
              <w:t>130,00</w:t>
            </w:r>
          </w:p>
        </w:tc>
        <w:tc>
          <w:tcPr>
            <w:tcW w:w="2259" w:type="dxa"/>
            <w:tcBorders/>
            <w:vAlign w:val="bottom"/>
          </w:tcPr>
          <w:p>
            <w:pPr>
              <w:pStyle w:val="Normal"/>
              <w:widowControl w:val="false"/>
              <w:tabs>
                <w:tab w:val="clear" w:pos="720"/>
              </w:tabs>
              <w:spacing w:before="0" w:after="120"/>
              <w:jc w:val="right"/>
              <w:rPr>
                <w:rFonts w:ascii="Calibri" w:hAnsi="Calibri"/>
              </w:rPr>
            </w:pPr>
            <w:r>
              <w:rPr/>
              <w:t>520,00</w:t>
            </w:r>
          </w:p>
        </w:tc>
      </w:tr>
      <w:tr>
        <w:trPr>
          <w:trHeight w:val="300" w:hRule="atLeast"/>
        </w:trPr>
        <w:tc>
          <w:tcPr>
            <w:tcW w:w="855" w:type="dxa"/>
            <w:tcBorders/>
            <w:vAlign w:val="bottom"/>
          </w:tcPr>
          <w:p>
            <w:pPr>
              <w:pStyle w:val="Normal"/>
              <w:widowControl w:val="false"/>
              <w:tabs>
                <w:tab w:val="clear" w:pos="720"/>
              </w:tabs>
              <w:spacing w:before="0" w:after="120"/>
              <w:jc w:val="center"/>
              <w:rPr>
                <w:rFonts w:ascii="Calibri" w:hAnsi="Calibri"/>
              </w:rPr>
            </w:pPr>
            <w:r>
              <w:rPr/>
              <w:t>14</w:t>
            </w:r>
          </w:p>
        </w:tc>
        <w:tc>
          <w:tcPr>
            <w:tcW w:w="3585" w:type="dxa"/>
            <w:tcBorders/>
            <w:vAlign w:val="bottom"/>
          </w:tcPr>
          <w:p>
            <w:pPr>
              <w:pStyle w:val="Normal"/>
              <w:widowControl w:val="false"/>
              <w:tabs>
                <w:tab w:val="clear" w:pos="720"/>
              </w:tabs>
              <w:spacing w:before="0" w:after="120"/>
              <w:jc w:val="left"/>
              <w:rPr>
                <w:rFonts w:ascii="Calibri" w:hAnsi="Calibri"/>
              </w:rPr>
            </w:pPr>
            <w:r>
              <w:rPr/>
              <w:t>Στρώμα ύπνου διπλό</w:t>
            </w:r>
          </w:p>
        </w:tc>
        <w:tc>
          <w:tcPr>
            <w:tcW w:w="1410" w:type="dxa"/>
            <w:tcBorders/>
            <w:vAlign w:val="bottom"/>
          </w:tcPr>
          <w:p>
            <w:pPr>
              <w:pStyle w:val="Normal"/>
              <w:widowControl w:val="false"/>
              <w:tabs>
                <w:tab w:val="clear" w:pos="720"/>
              </w:tabs>
              <w:spacing w:before="0" w:after="120"/>
              <w:jc w:val="center"/>
              <w:rPr>
                <w:rFonts w:ascii="Calibri" w:hAnsi="Calibri"/>
              </w:rPr>
            </w:pPr>
            <w:r>
              <w:rPr/>
              <w:t>1</w:t>
            </w:r>
          </w:p>
        </w:tc>
        <w:tc>
          <w:tcPr>
            <w:tcW w:w="2220" w:type="dxa"/>
            <w:tcBorders/>
            <w:vAlign w:val="bottom"/>
          </w:tcPr>
          <w:p>
            <w:pPr>
              <w:pStyle w:val="Normal"/>
              <w:widowControl w:val="false"/>
              <w:tabs>
                <w:tab w:val="clear" w:pos="720"/>
              </w:tabs>
              <w:spacing w:before="0" w:after="120"/>
              <w:jc w:val="right"/>
              <w:rPr>
                <w:rFonts w:ascii="Calibri" w:hAnsi="Calibri"/>
              </w:rPr>
            </w:pPr>
            <w:r>
              <w:rPr/>
              <w:t>490,00</w:t>
            </w:r>
          </w:p>
        </w:tc>
        <w:tc>
          <w:tcPr>
            <w:tcW w:w="2259" w:type="dxa"/>
            <w:tcBorders/>
            <w:vAlign w:val="bottom"/>
          </w:tcPr>
          <w:p>
            <w:pPr>
              <w:pStyle w:val="Normal"/>
              <w:widowControl w:val="false"/>
              <w:tabs>
                <w:tab w:val="clear" w:pos="720"/>
              </w:tabs>
              <w:spacing w:before="0" w:after="120"/>
              <w:jc w:val="right"/>
              <w:rPr>
                <w:rFonts w:ascii="Calibri" w:hAnsi="Calibri"/>
              </w:rPr>
            </w:pPr>
            <w:r>
              <w:rPr/>
              <w:t>490,00</w:t>
            </w:r>
          </w:p>
        </w:tc>
      </w:tr>
      <w:tr>
        <w:trPr>
          <w:trHeight w:val="300" w:hRule="atLeast"/>
        </w:trPr>
        <w:tc>
          <w:tcPr>
            <w:tcW w:w="855" w:type="dxa"/>
            <w:tcBorders/>
            <w:vAlign w:val="bottom"/>
          </w:tcPr>
          <w:p>
            <w:pPr>
              <w:pStyle w:val="Normal"/>
              <w:widowControl w:val="false"/>
              <w:tabs>
                <w:tab w:val="clear" w:pos="720"/>
              </w:tabs>
              <w:spacing w:before="0" w:after="120"/>
              <w:jc w:val="center"/>
              <w:rPr>
                <w:rFonts w:ascii="Calibri" w:hAnsi="Calibri"/>
              </w:rPr>
            </w:pPr>
            <w:r>
              <w:rPr/>
              <w:t>15</w:t>
            </w:r>
          </w:p>
        </w:tc>
        <w:tc>
          <w:tcPr>
            <w:tcW w:w="3585" w:type="dxa"/>
            <w:tcBorders/>
            <w:vAlign w:val="bottom"/>
          </w:tcPr>
          <w:p>
            <w:pPr>
              <w:pStyle w:val="Normal"/>
              <w:widowControl w:val="false"/>
              <w:tabs>
                <w:tab w:val="clear" w:pos="720"/>
              </w:tabs>
              <w:spacing w:before="0" w:after="120"/>
              <w:jc w:val="left"/>
              <w:rPr>
                <w:rFonts w:ascii="Calibri" w:hAnsi="Calibri"/>
              </w:rPr>
            </w:pPr>
            <w:r>
              <w:rPr/>
              <w:t>Στρώμα ύπνου μονό</w:t>
            </w:r>
          </w:p>
        </w:tc>
        <w:tc>
          <w:tcPr>
            <w:tcW w:w="1410" w:type="dxa"/>
            <w:tcBorders/>
            <w:vAlign w:val="bottom"/>
          </w:tcPr>
          <w:p>
            <w:pPr>
              <w:pStyle w:val="Normal"/>
              <w:widowControl w:val="false"/>
              <w:tabs>
                <w:tab w:val="clear" w:pos="720"/>
              </w:tabs>
              <w:spacing w:before="0" w:after="120"/>
              <w:jc w:val="center"/>
              <w:rPr>
                <w:rFonts w:ascii="Calibri" w:hAnsi="Calibri"/>
              </w:rPr>
            </w:pPr>
            <w:r>
              <w:rPr/>
              <w:t>4</w:t>
            </w:r>
          </w:p>
        </w:tc>
        <w:tc>
          <w:tcPr>
            <w:tcW w:w="2220" w:type="dxa"/>
            <w:tcBorders/>
            <w:vAlign w:val="bottom"/>
          </w:tcPr>
          <w:p>
            <w:pPr>
              <w:pStyle w:val="Normal"/>
              <w:widowControl w:val="false"/>
              <w:tabs>
                <w:tab w:val="clear" w:pos="720"/>
              </w:tabs>
              <w:spacing w:before="0" w:after="120"/>
              <w:jc w:val="right"/>
              <w:rPr>
                <w:rFonts w:ascii="Calibri" w:hAnsi="Calibri"/>
              </w:rPr>
            </w:pPr>
            <w:r>
              <w:rPr/>
              <w:t>350,00</w:t>
            </w:r>
          </w:p>
        </w:tc>
        <w:tc>
          <w:tcPr>
            <w:tcW w:w="2259" w:type="dxa"/>
            <w:tcBorders/>
            <w:vAlign w:val="bottom"/>
          </w:tcPr>
          <w:p>
            <w:pPr>
              <w:pStyle w:val="Normal"/>
              <w:widowControl w:val="false"/>
              <w:tabs>
                <w:tab w:val="clear" w:pos="720"/>
              </w:tabs>
              <w:spacing w:before="0" w:after="120"/>
              <w:jc w:val="right"/>
              <w:rPr>
                <w:rFonts w:ascii="Calibri" w:hAnsi="Calibri"/>
              </w:rPr>
            </w:pPr>
            <w:r>
              <w:rPr/>
              <w:t>1.400,00</w:t>
            </w:r>
          </w:p>
        </w:tc>
      </w:tr>
      <w:tr>
        <w:trPr>
          <w:trHeight w:val="300" w:hRule="atLeast"/>
        </w:trPr>
        <w:tc>
          <w:tcPr>
            <w:tcW w:w="855" w:type="dxa"/>
            <w:tcBorders/>
            <w:vAlign w:val="bottom"/>
          </w:tcPr>
          <w:p>
            <w:pPr>
              <w:pStyle w:val="Normal"/>
              <w:widowControl w:val="false"/>
              <w:tabs>
                <w:tab w:val="clear" w:pos="720"/>
              </w:tabs>
              <w:spacing w:before="0" w:after="120"/>
              <w:jc w:val="center"/>
              <w:rPr>
                <w:rFonts w:ascii="Calibri" w:hAnsi="Calibri"/>
              </w:rPr>
            </w:pPr>
            <w:r>
              <w:rPr/>
              <w:t>16</w:t>
            </w:r>
          </w:p>
        </w:tc>
        <w:tc>
          <w:tcPr>
            <w:tcW w:w="3585" w:type="dxa"/>
            <w:tcBorders/>
            <w:vAlign w:val="bottom"/>
          </w:tcPr>
          <w:p>
            <w:pPr>
              <w:pStyle w:val="Normal"/>
              <w:widowControl w:val="false"/>
              <w:tabs>
                <w:tab w:val="clear" w:pos="720"/>
              </w:tabs>
              <w:spacing w:before="0" w:after="120"/>
              <w:jc w:val="left"/>
              <w:rPr>
                <w:rFonts w:ascii="Calibri" w:hAnsi="Calibri"/>
              </w:rPr>
            </w:pPr>
            <w:r>
              <w:rPr/>
              <w:t>Μαξιλάρια ύπνου</w:t>
            </w:r>
          </w:p>
        </w:tc>
        <w:tc>
          <w:tcPr>
            <w:tcW w:w="1410" w:type="dxa"/>
            <w:tcBorders/>
            <w:vAlign w:val="bottom"/>
          </w:tcPr>
          <w:p>
            <w:pPr>
              <w:pStyle w:val="Normal"/>
              <w:widowControl w:val="false"/>
              <w:tabs>
                <w:tab w:val="clear" w:pos="720"/>
              </w:tabs>
              <w:spacing w:before="0" w:after="120"/>
              <w:jc w:val="center"/>
              <w:rPr>
                <w:rFonts w:ascii="Calibri" w:hAnsi="Calibri"/>
              </w:rPr>
            </w:pPr>
            <w:r>
              <w:rPr/>
              <w:t>9</w:t>
            </w:r>
          </w:p>
        </w:tc>
        <w:tc>
          <w:tcPr>
            <w:tcW w:w="2220" w:type="dxa"/>
            <w:tcBorders/>
            <w:vAlign w:val="bottom"/>
          </w:tcPr>
          <w:p>
            <w:pPr>
              <w:pStyle w:val="Normal"/>
              <w:widowControl w:val="false"/>
              <w:tabs>
                <w:tab w:val="clear" w:pos="720"/>
              </w:tabs>
              <w:spacing w:before="0" w:after="120"/>
              <w:jc w:val="right"/>
              <w:rPr>
                <w:rFonts w:ascii="Calibri" w:hAnsi="Calibri"/>
              </w:rPr>
            </w:pPr>
            <w:r>
              <w:rPr/>
              <w:t>28,00</w:t>
            </w:r>
          </w:p>
        </w:tc>
        <w:tc>
          <w:tcPr>
            <w:tcW w:w="2259" w:type="dxa"/>
            <w:tcBorders/>
            <w:vAlign w:val="bottom"/>
          </w:tcPr>
          <w:p>
            <w:pPr>
              <w:pStyle w:val="Normal"/>
              <w:widowControl w:val="false"/>
              <w:tabs>
                <w:tab w:val="clear" w:pos="720"/>
              </w:tabs>
              <w:spacing w:before="0" w:after="120"/>
              <w:jc w:val="right"/>
              <w:rPr>
                <w:rFonts w:ascii="Calibri" w:hAnsi="Calibri"/>
              </w:rPr>
            </w:pPr>
            <w:r>
              <w:rPr/>
              <w:t>252,00</w:t>
            </w:r>
          </w:p>
        </w:tc>
      </w:tr>
      <w:tr>
        <w:trPr>
          <w:trHeight w:val="300" w:hRule="atLeast"/>
        </w:trPr>
        <w:tc>
          <w:tcPr>
            <w:tcW w:w="855" w:type="dxa"/>
            <w:tcBorders/>
            <w:vAlign w:val="bottom"/>
          </w:tcPr>
          <w:p>
            <w:pPr>
              <w:pStyle w:val="Normal"/>
              <w:widowControl w:val="false"/>
              <w:tabs>
                <w:tab w:val="clear" w:pos="720"/>
              </w:tabs>
              <w:spacing w:before="0" w:after="120"/>
              <w:jc w:val="center"/>
              <w:rPr>
                <w:rFonts w:ascii="Calibri" w:hAnsi="Calibri"/>
              </w:rPr>
            </w:pPr>
            <w:r>
              <w:rPr/>
              <w:t>17</w:t>
            </w:r>
          </w:p>
        </w:tc>
        <w:tc>
          <w:tcPr>
            <w:tcW w:w="3585" w:type="dxa"/>
            <w:tcBorders/>
            <w:vAlign w:val="bottom"/>
          </w:tcPr>
          <w:p>
            <w:pPr>
              <w:pStyle w:val="Normal"/>
              <w:widowControl w:val="false"/>
              <w:tabs>
                <w:tab w:val="clear" w:pos="720"/>
              </w:tabs>
              <w:spacing w:before="0" w:after="120"/>
              <w:jc w:val="left"/>
              <w:rPr>
                <w:rFonts w:ascii="Calibri" w:hAnsi="Calibri"/>
              </w:rPr>
            </w:pPr>
            <w:r>
              <w:rPr/>
              <w:t>Κομοδίνο</w:t>
            </w:r>
          </w:p>
        </w:tc>
        <w:tc>
          <w:tcPr>
            <w:tcW w:w="1410" w:type="dxa"/>
            <w:tcBorders/>
            <w:vAlign w:val="bottom"/>
          </w:tcPr>
          <w:p>
            <w:pPr>
              <w:pStyle w:val="Normal"/>
              <w:widowControl w:val="false"/>
              <w:tabs>
                <w:tab w:val="clear" w:pos="720"/>
              </w:tabs>
              <w:spacing w:before="0" w:after="120"/>
              <w:jc w:val="center"/>
              <w:rPr>
                <w:rFonts w:ascii="Calibri" w:hAnsi="Calibri"/>
              </w:rPr>
            </w:pPr>
            <w:r>
              <w:rPr/>
              <w:t>3</w:t>
            </w:r>
          </w:p>
        </w:tc>
        <w:tc>
          <w:tcPr>
            <w:tcW w:w="2220" w:type="dxa"/>
            <w:tcBorders/>
            <w:vAlign w:val="bottom"/>
          </w:tcPr>
          <w:p>
            <w:pPr>
              <w:pStyle w:val="Normal"/>
              <w:widowControl w:val="false"/>
              <w:tabs>
                <w:tab w:val="clear" w:pos="720"/>
              </w:tabs>
              <w:spacing w:before="0" w:after="120"/>
              <w:jc w:val="right"/>
              <w:rPr>
                <w:rFonts w:ascii="Calibri" w:hAnsi="Calibri"/>
              </w:rPr>
            </w:pPr>
            <w:r>
              <w:rPr/>
              <w:t>26,00</w:t>
            </w:r>
          </w:p>
        </w:tc>
        <w:tc>
          <w:tcPr>
            <w:tcW w:w="2259" w:type="dxa"/>
            <w:tcBorders/>
            <w:vAlign w:val="bottom"/>
          </w:tcPr>
          <w:p>
            <w:pPr>
              <w:pStyle w:val="Normal"/>
              <w:widowControl w:val="false"/>
              <w:tabs>
                <w:tab w:val="clear" w:pos="720"/>
              </w:tabs>
              <w:spacing w:before="0" w:after="120"/>
              <w:jc w:val="right"/>
              <w:rPr>
                <w:rFonts w:ascii="Calibri" w:hAnsi="Calibri"/>
              </w:rPr>
            </w:pPr>
            <w:r>
              <w:rPr/>
              <w:t>78,00</w:t>
            </w:r>
          </w:p>
        </w:tc>
      </w:tr>
      <w:tr>
        <w:trPr>
          <w:trHeight w:val="300" w:hRule="atLeast"/>
        </w:trPr>
        <w:tc>
          <w:tcPr>
            <w:tcW w:w="855" w:type="dxa"/>
            <w:tcBorders/>
            <w:vAlign w:val="bottom"/>
          </w:tcPr>
          <w:p>
            <w:pPr>
              <w:pStyle w:val="Normal"/>
              <w:widowControl w:val="false"/>
              <w:tabs>
                <w:tab w:val="clear" w:pos="720"/>
              </w:tabs>
              <w:spacing w:before="0" w:after="120"/>
              <w:jc w:val="center"/>
              <w:rPr>
                <w:rFonts w:ascii="Calibri" w:hAnsi="Calibri"/>
              </w:rPr>
            </w:pPr>
            <w:r>
              <w:rPr/>
              <w:t>18</w:t>
            </w:r>
          </w:p>
        </w:tc>
        <w:tc>
          <w:tcPr>
            <w:tcW w:w="3585" w:type="dxa"/>
            <w:tcBorders/>
            <w:vAlign w:val="bottom"/>
          </w:tcPr>
          <w:p>
            <w:pPr>
              <w:pStyle w:val="Normal"/>
              <w:widowControl w:val="false"/>
              <w:tabs>
                <w:tab w:val="clear" w:pos="720"/>
              </w:tabs>
              <w:spacing w:before="0" w:after="120"/>
              <w:jc w:val="left"/>
              <w:rPr>
                <w:rFonts w:ascii="Calibri" w:hAnsi="Calibri"/>
              </w:rPr>
            </w:pPr>
            <w:r>
              <w:rPr/>
              <w:t>Καναπές τριθέσιος - κρεβάτι</w:t>
            </w:r>
          </w:p>
        </w:tc>
        <w:tc>
          <w:tcPr>
            <w:tcW w:w="1410" w:type="dxa"/>
            <w:tcBorders/>
            <w:vAlign w:val="bottom"/>
          </w:tcPr>
          <w:p>
            <w:pPr>
              <w:pStyle w:val="Normal"/>
              <w:widowControl w:val="false"/>
              <w:tabs>
                <w:tab w:val="clear" w:pos="720"/>
              </w:tabs>
              <w:spacing w:before="0" w:after="120"/>
              <w:jc w:val="center"/>
              <w:rPr>
                <w:rFonts w:ascii="Calibri" w:hAnsi="Calibri"/>
              </w:rPr>
            </w:pPr>
            <w:r>
              <w:rPr/>
              <w:t>1</w:t>
            </w:r>
          </w:p>
        </w:tc>
        <w:tc>
          <w:tcPr>
            <w:tcW w:w="2220" w:type="dxa"/>
            <w:tcBorders/>
            <w:vAlign w:val="bottom"/>
          </w:tcPr>
          <w:p>
            <w:pPr>
              <w:pStyle w:val="Normal"/>
              <w:widowControl w:val="false"/>
              <w:tabs>
                <w:tab w:val="clear" w:pos="720"/>
              </w:tabs>
              <w:spacing w:before="0" w:after="120"/>
              <w:jc w:val="right"/>
              <w:rPr>
                <w:rFonts w:ascii="Calibri" w:hAnsi="Calibri"/>
              </w:rPr>
            </w:pPr>
            <w:r>
              <w:rPr/>
              <w:t>185,00</w:t>
            </w:r>
          </w:p>
        </w:tc>
        <w:tc>
          <w:tcPr>
            <w:tcW w:w="2259" w:type="dxa"/>
            <w:tcBorders/>
            <w:vAlign w:val="bottom"/>
          </w:tcPr>
          <w:p>
            <w:pPr>
              <w:pStyle w:val="Normal"/>
              <w:widowControl w:val="false"/>
              <w:tabs>
                <w:tab w:val="clear" w:pos="720"/>
              </w:tabs>
              <w:spacing w:before="0" w:after="120"/>
              <w:jc w:val="right"/>
              <w:rPr>
                <w:rFonts w:ascii="Calibri" w:hAnsi="Calibri"/>
              </w:rPr>
            </w:pPr>
            <w:r>
              <w:rPr/>
              <w:t>185,00</w:t>
            </w:r>
          </w:p>
        </w:tc>
      </w:tr>
      <w:tr>
        <w:trPr>
          <w:trHeight w:val="300" w:hRule="atLeast"/>
        </w:trPr>
        <w:tc>
          <w:tcPr>
            <w:tcW w:w="855" w:type="dxa"/>
            <w:tcBorders/>
            <w:vAlign w:val="bottom"/>
          </w:tcPr>
          <w:p>
            <w:pPr>
              <w:pStyle w:val="Normal"/>
              <w:widowControl w:val="false"/>
              <w:tabs>
                <w:tab w:val="clear" w:pos="720"/>
              </w:tabs>
              <w:spacing w:before="0" w:after="120"/>
              <w:jc w:val="center"/>
              <w:rPr>
                <w:rFonts w:ascii="Calibri" w:hAnsi="Calibri"/>
              </w:rPr>
            </w:pPr>
            <w:r>
              <w:rPr/>
              <w:t>19</w:t>
            </w:r>
          </w:p>
        </w:tc>
        <w:tc>
          <w:tcPr>
            <w:tcW w:w="3585" w:type="dxa"/>
            <w:tcBorders/>
            <w:vAlign w:val="bottom"/>
          </w:tcPr>
          <w:p>
            <w:pPr>
              <w:pStyle w:val="Normal"/>
              <w:widowControl w:val="false"/>
              <w:tabs>
                <w:tab w:val="clear" w:pos="720"/>
              </w:tabs>
              <w:spacing w:before="0" w:after="120"/>
              <w:jc w:val="left"/>
              <w:rPr>
                <w:rFonts w:ascii="Calibri" w:hAnsi="Calibri"/>
              </w:rPr>
            </w:pPr>
            <w:r>
              <w:rPr/>
              <w:t>Τραπέζι φαγητού</w:t>
            </w:r>
          </w:p>
        </w:tc>
        <w:tc>
          <w:tcPr>
            <w:tcW w:w="1410" w:type="dxa"/>
            <w:tcBorders/>
            <w:vAlign w:val="bottom"/>
          </w:tcPr>
          <w:p>
            <w:pPr>
              <w:pStyle w:val="Normal"/>
              <w:widowControl w:val="false"/>
              <w:tabs>
                <w:tab w:val="clear" w:pos="720"/>
              </w:tabs>
              <w:spacing w:before="0" w:after="120"/>
              <w:jc w:val="center"/>
              <w:rPr>
                <w:rFonts w:ascii="Calibri" w:hAnsi="Calibri"/>
              </w:rPr>
            </w:pPr>
            <w:r>
              <w:rPr/>
              <w:t>3</w:t>
            </w:r>
          </w:p>
        </w:tc>
        <w:tc>
          <w:tcPr>
            <w:tcW w:w="2220" w:type="dxa"/>
            <w:tcBorders/>
            <w:vAlign w:val="bottom"/>
          </w:tcPr>
          <w:p>
            <w:pPr>
              <w:pStyle w:val="Normal"/>
              <w:widowControl w:val="false"/>
              <w:tabs>
                <w:tab w:val="clear" w:pos="720"/>
              </w:tabs>
              <w:spacing w:before="0" w:after="120"/>
              <w:jc w:val="right"/>
              <w:rPr>
                <w:rFonts w:ascii="Calibri" w:hAnsi="Calibri"/>
              </w:rPr>
            </w:pPr>
            <w:r>
              <w:rPr/>
              <w:t>150,00</w:t>
            </w:r>
          </w:p>
        </w:tc>
        <w:tc>
          <w:tcPr>
            <w:tcW w:w="2259" w:type="dxa"/>
            <w:tcBorders/>
            <w:vAlign w:val="bottom"/>
          </w:tcPr>
          <w:p>
            <w:pPr>
              <w:pStyle w:val="Normal"/>
              <w:widowControl w:val="false"/>
              <w:tabs>
                <w:tab w:val="clear" w:pos="720"/>
              </w:tabs>
              <w:spacing w:before="0" w:after="120"/>
              <w:jc w:val="right"/>
              <w:rPr>
                <w:rFonts w:ascii="Calibri" w:hAnsi="Calibri"/>
              </w:rPr>
            </w:pPr>
            <w:r>
              <w:rPr/>
              <w:t>450,00</w:t>
            </w:r>
          </w:p>
        </w:tc>
      </w:tr>
      <w:tr>
        <w:trPr>
          <w:trHeight w:val="300" w:hRule="atLeast"/>
        </w:trPr>
        <w:tc>
          <w:tcPr>
            <w:tcW w:w="855" w:type="dxa"/>
            <w:tcBorders/>
            <w:vAlign w:val="bottom"/>
          </w:tcPr>
          <w:p>
            <w:pPr>
              <w:pStyle w:val="Normal"/>
              <w:widowControl w:val="false"/>
              <w:tabs>
                <w:tab w:val="clear" w:pos="720"/>
              </w:tabs>
              <w:spacing w:before="0" w:after="120"/>
              <w:jc w:val="center"/>
              <w:rPr>
                <w:rFonts w:ascii="Calibri" w:hAnsi="Calibri"/>
              </w:rPr>
            </w:pPr>
            <w:r>
              <w:rPr/>
              <w:t>20</w:t>
            </w:r>
          </w:p>
        </w:tc>
        <w:tc>
          <w:tcPr>
            <w:tcW w:w="3585" w:type="dxa"/>
            <w:tcBorders/>
            <w:vAlign w:val="bottom"/>
          </w:tcPr>
          <w:p>
            <w:pPr>
              <w:pStyle w:val="Normal"/>
              <w:widowControl w:val="false"/>
              <w:tabs>
                <w:tab w:val="clear" w:pos="720"/>
              </w:tabs>
              <w:spacing w:before="0" w:after="120"/>
              <w:jc w:val="left"/>
              <w:rPr>
                <w:rFonts w:ascii="Calibri" w:hAnsi="Calibri"/>
              </w:rPr>
            </w:pPr>
            <w:r>
              <w:rPr/>
              <w:t>Καρέκλα τραπεζαρίας</w:t>
            </w:r>
          </w:p>
        </w:tc>
        <w:tc>
          <w:tcPr>
            <w:tcW w:w="1410" w:type="dxa"/>
            <w:tcBorders/>
            <w:vAlign w:val="bottom"/>
          </w:tcPr>
          <w:p>
            <w:pPr>
              <w:pStyle w:val="Normal"/>
              <w:widowControl w:val="false"/>
              <w:tabs>
                <w:tab w:val="clear" w:pos="720"/>
              </w:tabs>
              <w:spacing w:before="0" w:after="120"/>
              <w:jc w:val="center"/>
              <w:rPr>
                <w:rFonts w:ascii="Calibri" w:hAnsi="Calibri"/>
              </w:rPr>
            </w:pPr>
            <w:r>
              <w:rPr/>
              <w:t>9</w:t>
            </w:r>
          </w:p>
        </w:tc>
        <w:tc>
          <w:tcPr>
            <w:tcW w:w="2220" w:type="dxa"/>
            <w:tcBorders/>
            <w:vAlign w:val="bottom"/>
          </w:tcPr>
          <w:p>
            <w:pPr>
              <w:pStyle w:val="Normal"/>
              <w:widowControl w:val="false"/>
              <w:tabs>
                <w:tab w:val="clear" w:pos="720"/>
              </w:tabs>
              <w:spacing w:before="0" w:after="120"/>
              <w:jc w:val="right"/>
              <w:rPr>
                <w:rFonts w:ascii="Calibri" w:hAnsi="Calibri"/>
              </w:rPr>
            </w:pPr>
            <w:r>
              <w:rPr/>
              <w:t>61,50</w:t>
            </w:r>
          </w:p>
        </w:tc>
        <w:tc>
          <w:tcPr>
            <w:tcW w:w="2259" w:type="dxa"/>
            <w:tcBorders/>
            <w:vAlign w:val="bottom"/>
          </w:tcPr>
          <w:p>
            <w:pPr>
              <w:pStyle w:val="Normal"/>
              <w:widowControl w:val="false"/>
              <w:tabs>
                <w:tab w:val="clear" w:pos="720"/>
              </w:tabs>
              <w:spacing w:before="0" w:after="120"/>
              <w:jc w:val="right"/>
              <w:rPr>
                <w:rFonts w:ascii="Calibri" w:hAnsi="Calibri"/>
              </w:rPr>
            </w:pPr>
            <w:r>
              <w:rPr/>
              <w:t>553,50</w:t>
            </w:r>
          </w:p>
        </w:tc>
      </w:tr>
      <w:tr>
        <w:trPr>
          <w:trHeight w:val="300" w:hRule="atLeast"/>
        </w:trPr>
        <w:tc>
          <w:tcPr>
            <w:tcW w:w="855" w:type="dxa"/>
            <w:tcBorders/>
            <w:vAlign w:val="bottom"/>
          </w:tcPr>
          <w:p>
            <w:pPr>
              <w:pStyle w:val="Normal"/>
              <w:widowControl w:val="false"/>
              <w:tabs>
                <w:tab w:val="clear" w:pos="720"/>
              </w:tabs>
              <w:spacing w:before="0" w:after="120"/>
              <w:jc w:val="center"/>
              <w:rPr>
                <w:rFonts w:ascii="Calibri" w:hAnsi="Calibri"/>
              </w:rPr>
            </w:pPr>
            <w:r>
              <w:rPr/>
              <w:t>21</w:t>
            </w:r>
          </w:p>
        </w:tc>
        <w:tc>
          <w:tcPr>
            <w:tcW w:w="3585" w:type="dxa"/>
            <w:tcBorders/>
            <w:vAlign w:val="bottom"/>
          </w:tcPr>
          <w:p>
            <w:pPr>
              <w:pStyle w:val="Normal"/>
              <w:widowControl w:val="false"/>
              <w:tabs>
                <w:tab w:val="clear" w:pos="720"/>
              </w:tabs>
              <w:spacing w:before="0" w:after="120"/>
              <w:jc w:val="left"/>
              <w:rPr>
                <w:rFonts w:ascii="Calibri" w:hAnsi="Calibri"/>
              </w:rPr>
            </w:pPr>
            <w:r>
              <w:rPr/>
              <w:t>Συρταριέρα</w:t>
            </w:r>
          </w:p>
        </w:tc>
        <w:tc>
          <w:tcPr>
            <w:tcW w:w="1410" w:type="dxa"/>
            <w:tcBorders/>
            <w:vAlign w:val="bottom"/>
          </w:tcPr>
          <w:p>
            <w:pPr>
              <w:pStyle w:val="Normal"/>
              <w:widowControl w:val="false"/>
              <w:tabs>
                <w:tab w:val="clear" w:pos="720"/>
              </w:tabs>
              <w:spacing w:before="0" w:after="120"/>
              <w:jc w:val="center"/>
              <w:rPr>
                <w:rFonts w:ascii="Calibri" w:hAnsi="Calibri"/>
              </w:rPr>
            </w:pPr>
            <w:r>
              <w:rPr/>
              <w:t>4</w:t>
            </w:r>
          </w:p>
        </w:tc>
        <w:tc>
          <w:tcPr>
            <w:tcW w:w="2220" w:type="dxa"/>
            <w:tcBorders/>
            <w:vAlign w:val="bottom"/>
          </w:tcPr>
          <w:p>
            <w:pPr>
              <w:pStyle w:val="Normal"/>
              <w:widowControl w:val="false"/>
              <w:tabs>
                <w:tab w:val="clear" w:pos="720"/>
              </w:tabs>
              <w:spacing w:before="0" w:after="120"/>
              <w:jc w:val="right"/>
              <w:rPr>
                <w:rFonts w:ascii="Calibri" w:hAnsi="Calibri"/>
              </w:rPr>
            </w:pPr>
            <w:r>
              <w:rPr/>
              <w:t>125,00</w:t>
            </w:r>
          </w:p>
        </w:tc>
        <w:tc>
          <w:tcPr>
            <w:tcW w:w="2259" w:type="dxa"/>
            <w:tcBorders/>
            <w:vAlign w:val="bottom"/>
          </w:tcPr>
          <w:p>
            <w:pPr>
              <w:pStyle w:val="Normal"/>
              <w:widowControl w:val="false"/>
              <w:tabs>
                <w:tab w:val="clear" w:pos="720"/>
              </w:tabs>
              <w:spacing w:before="0" w:after="120"/>
              <w:jc w:val="right"/>
              <w:rPr>
                <w:rFonts w:ascii="Calibri" w:hAnsi="Calibri"/>
              </w:rPr>
            </w:pPr>
            <w:r>
              <w:rPr/>
              <w:t>500,00</w:t>
            </w:r>
          </w:p>
        </w:tc>
      </w:tr>
      <w:tr>
        <w:trPr>
          <w:trHeight w:val="300" w:hRule="atLeast"/>
        </w:trPr>
        <w:tc>
          <w:tcPr>
            <w:tcW w:w="855" w:type="dxa"/>
            <w:tcBorders/>
            <w:vAlign w:val="bottom"/>
          </w:tcPr>
          <w:p>
            <w:pPr>
              <w:pStyle w:val="Normal"/>
              <w:widowControl w:val="false"/>
              <w:tabs>
                <w:tab w:val="clear" w:pos="720"/>
              </w:tabs>
              <w:spacing w:before="0" w:after="120"/>
              <w:jc w:val="center"/>
              <w:rPr>
                <w:rFonts w:ascii="Calibri" w:hAnsi="Calibri"/>
              </w:rPr>
            </w:pPr>
            <w:r>
              <w:rPr/>
            </w:r>
          </w:p>
        </w:tc>
        <w:tc>
          <w:tcPr>
            <w:tcW w:w="3585" w:type="dxa"/>
            <w:tcBorders/>
            <w:vAlign w:val="bottom"/>
          </w:tcPr>
          <w:p>
            <w:pPr>
              <w:pStyle w:val="Normal"/>
              <w:widowControl w:val="false"/>
              <w:tabs>
                <w:tab w:val="clear" w:pos="720"/>
              </w:tabs>
              <w:spacing w:before="0" w:after="120"/>
              <w:jc w:val="left"/>
              <w:rPr>
                <w:rFonts w:ascii="Calibri" w:hAnsi="Calibri"/>
              </w:rPr>
            </w:pPr>
            <w:r>
              <w:rPr/>
            </w:r>
          </w:p>
        </w:tc>
        <w:tc>
          <w:tcPr>
            <w:tcW w:w="1410" w:type="dxa"/>
            <w:tcBorders/>
            <w:vAlign w:val="bottom"/>
          </w:tcPr>
          <w:p>
            <w:pPr>
              <w:pStyle w:val="Normal"/>
              <w:widowControl w:val="false"/>
              <w:tabs>
                <w:tab w:val="clear" w:pos="720"/>
              </w:tabs>
              <w:spacing w:before="0" w:after="120"/>
              <w:jc w:val="center"/>
              <w:rPr>
                <w:rFonts w:ascii="Calibri" w:hAnsi="Calibri"/>
              </w:rPr>
            </w:pPr>
            <w:r>
              <w:rPr/>
            </w:r>
          </w:p>
        </w:tc>
        <w:tc>
          <w:tcPr>
            <w:tcW w:w="2220" w:type="dxa"/>
            <w:tcBorders/>
            <w:vAlign w:val="bottom"/>
          </w:tcPr>
          <w:p>
            <w:pPr>
              <w:pStyle w:val="Normal"/>
              <w:widowControl w:val="false"/>
              <w:tabs>
                <w:tab w:val="clear" w:pos="720"/>
              </w:tabs>
              <w:spacing w:before="0" w:after="120"/>
              <w:jc w:val="left"/>
              <w:rPr>
                <w:rFonts w:ascii="Calibri" w:hAnsi="Calibri"/>
              </w:rPr>
            </w:pPr>
            <w:r>
              <w:rPr/>
            </w:r>
          </w:p>
        </w:tc>
        <w:tc>
          <w:tcPr>
            <w:tcW w:w="2259" w:type="dxa"/>
            <w:tcBorders/>
            <w:vAlign w:val="bottom"/>
          </w:tcPr>
          <w:p>
            <w:pPr>
              <w:pStyle w:val="Normal"/>
              <w:widowControl w:val="false"/>
              <w:tabs>
                <w:tab w:val="clear" w:pos="720"/>
              </w:tabs>
              <w:spacing w:before="0" w:after="120"/>
              <w:jc w:val="left"/>
              <w:rPr>
                <w:rFonts w:ascii="Calibri" w:hAnsi="Calibri"/>
              </w:rPr>
            </w:pPr>
            <w:r>
              <w:rPr/>
            </w:r>
          </w:p>
        </w:tc>
      </w:tr>
      <w:tr>
        <w:trPr>
          <w:trHeight w:val="300" w:hRule="atLeast"/>
        </w:trPr>
        <w:tc>
          <w:tcPr>
            <w:tcW w:w="855" w:type="dxa"/>
            <w:tcBorders/>
            <w:vAlign w:val="bottom"/>
          </w:tcPr>
          <w:p>
            <w:pPr>
              <w:pStyle w:val="Normal"/>
              <w:widowControl w:val="false"/>
              <w:tabs>
                <w:tab w:val="clear" w:pos="720"/>
              </w:tabs>
              <w:spacing w:before="0" w:after="120"/>
              <w:jc w:val="center"/>
              <w:rPr>
                <w:rFonts w:ascii="Calibri" w:hAnsi="Calibri"/>
              </w:rPr>
            </w:pPr>
            <w:r>
              <w:rPr/>
            </w:r>
          </w:p>
        </w:tc>
        <w:tc>
          <w:tcPr>
            <w:tcW w:w="3585" w:type="dxa"/>
            <w:tcBorders/>
            <w:vAlign w:val="bottom"/>
          </w:tcPr>
          <w:p>
            <w:pPr>
              <w:pStyle w:val="Normal"/>
              <w:widowControl w:val="false"/>
              <w:tabs>
                <w:tab w:val="clear" w:pos="720"/>
              </w:tabs>
              <w:spacing w:before="0" w:after="120"/>
              <w:jc w:val="left"/>
              <w:rPr>
                <w:rFonts w:ascii="Calibri" w:hAnsi="Calibri"/>
              </w:rPr>
            </w:pPr>
            <w:r>
              <w:rPr>
                <w:b/>
              </w:rPr>
              <w:t>Φωτιστικά σώματα</w:t>
            </w:r>
          </w:p>
        </w:tc>
        <w:tc>
          <w:tcPr>
            <w:tcW w:w="1410" w:type="dxa"/>
            <w:tcBorders/>
            <w:vAlign w:val="bottom"/>
          </w:tcPr>
          <w:p>
            <w:pPr>
              <w:pStyle w:val="Normal"/>
              <w:widowControl w:val="false"/>
              <w:tabs>
                <w:tab w:val="clear" w:pos="720"/>
              </w:tabs>
              <w:spacing w:before="0" w:after="120"/>
              <w:jc w:val="center"/>
              <w:rPr>
                <w:rFonts w:ascii="Calibri" w:hAnsi="Calibri"/>
              </w:rPr>
            </w:pPr>
            <w:r>
              <w:rPr/>
            </w:r>
          </w:p>
        </w:tc>
        <w:tc>
          <w:tcPr>
            <w:tcW w:w="2220" w:type="dxa"/>
            <w:tcBorders/>
            <w:vAlign w:val="bottom"/>
          </w:tcPr>
          <w:p>
            <w:pPr>
              <w:pStyle w:val="Normal"/>
              <w:widowControl w:val="false"/>
              <w:tabs>
                <w:tab w:val="clear" w:pos="720"/>
              </w:tabs>
              <w:spacing w:before="0" w:after="120"/>
              <w:jc w:val="left"/>
              <w:rPr>
                <w:rFonts w:ascii="Calibri" w:hAnsi="Calibri"/>
              </w:rPr>
            </w:pPr>
            <w:r>
              <w:rPr/>
            </w:r>
          </w:p>
        </w:tc>
        <w:tc>
          <w:tcPr>
            <w:tcW w:w="2259" w:type="dxa"/>
            <w:tcBorders/>
            <w:vAlign w:val="bottom"/>
          </w:tcPr>
          <w:p>
            <w:pPr>
              <w:pStyle w:val="Normal"/>
              <w:widowControl w:val="false"/>
              <w:tabs>
                <w:tab w:val="clear" w:pos="720"/>
              </w:tabs>
              <w:spacing w:before="0" w:after="120"/>
              <w:jc w:val="left"/>
              <w:rPr>
                <w:rFonts w:ascii="Calibri" w:hAnsi="Calibri"/>
              </w:rPr>
            </w:pPr>
            <w:r>
              <w:rPr/>
            </w:r>
          </w:p>
        </w:tc>
      </w:tr>
      <w:tr>
        <w:trPr>
          <w:trHeight w:val="300" w:hRule="atLeast"/>
        </w:trPr>
        <w:tc>
          <w:tcPr>
            <w:tcW w:w="855" w:type="dxa"/>
            <w:tcBorders/>
            <w:vAlign w:val="bottom"/>
          </w:tcPr>
          <w:p>
            <w:pPr>
              <w:pStyle w:val="Normal"/>
              <w:widowControl w:val="false"/>
              <w:tabs>
                <w:tab w:val="clear" w:pos="720"/>
              </w:tabs>
              <w:spacing w:before="0" w:after="120"/>
              <w:jc w:val="center"/>
              <w:rPr>
                <w:rFonts w:ascii="Calibri" w:hAnsi="Calibri"/>
              </w:rPr>
            </w:pPr>
            <w:r>
              <w:rPr/>
              <w:t>22</w:t>
            </w:r>
          </w:p>
        </w:tc>
        <w:tc>
          <w:tcPr>
            <w:tcW w:w="3585" w:type="dxa"/>
            <w:tcBorders/>
            <w:vAlign w:val="bottom"/>
          </w:tcPr>
          <w:p>
            <w:pPr>
              <w:pStyle w:val="Normal"/>
              <w:widowControl w:val="false"/>
              <w:tabs>
                <w:tab w:val="clear" w:pos="720"/>
              </w:tabs>
              <w:spacing w:before="0" w:after="120"/>
              <w:jc w:val="left"/>
              <w:rPr>
                <w:rFonts w:ascii="Calibri" w:hAnsi="Calibri"/>
              </w:rPr>
            </w:pPr>
            <w:r>
              <w:rPr/>
              <w:t>Κρεμαστά φωτιστικά οροφής μεγάλα</w:t>
            </w:r>
          </w:p>
        </w:tc>
        <w:tc>
          <w:tcPr>
            <w:tcW w:w="1410" w:type="dxa"/>
            <w:tcBorders/>
            <w:vAlign w:val="bottom"/>
          </w:tcPr>
          <w:p>
            <w:pPr>
              <w:pStyle w:val="Normal"/>
              <w:widowControl w:val="false"/>
              <w:tabs>
                <w:tab w:val="clear" w:pos="720"/>
              </w:tabs>
              <w:spacing w:before="0" w:after="120"/>
              <w:jc w:val="center"/>
              <w:rPr>
                <w:rFonts w:ascii="Calibri" w:hAnsi="Calibri"/>
              </w:rPr>
            </w:pPr>
            <w:r>
              <w:rPr/>
              <w:t>6</w:t>
            </w:r>
          </w:p>
        </w:tc>
        <w:tc>
          <w:tcPr>
            <w:tcW w:w="2220" w:type="dxa"/>
            <w:tcBorders/>
            <w:vAlign w:val="bottom"/>
          </w:tcPr>
          <w:p>
            <w:pPr>
              <w:pStyle w:val="Normal"/>
              <w:widowControl w:val="false"/>
              <w:tabs>
                <w:tab w:val="clear" w:pos="720"/>
              </w:tabs>
              <w:spacing w:before="0" w:after="120"/>
              <w:jc w:val="right"/>
              <w:rPr>
                <w:rFonts w:ascii="Calibri" w:hAnsi="Calibri"/>
              </w:rPr>
            </w:pPr>
            <w:r>
              <w:rPr/>
              <w:t>49,00</w:t>
            </w:r>
          </w:p>
        </w:tc>
        <w:tc>
          <w:tcPr>
            <w:tcW w:w="2259" w:type="dxa"/>
            <w:tcBorders/>
            <w:vAlign w:val="bottom"/>
          </w:tcPr>
          <w:p>
            <w:pPr>
              <w:pStyle w:val="Normal"/>
              <w:widowControl w:val="false"/>
              <w:tabs>
                <w:tab w:val="clear" w:pos="720"/>
              </w:tabs>
              <w:spacing w:before="0" w:after="120"/>
              <w:jc w:val="right"/>
              <w:rPr>
                <w:rFonts w:ascii="Calibri" w:hAnsi="Calibri"/>
              </w:rPr>
            </w:pPr>
            <w:r>
              <w:rPr/>
              <w:t>294,00</w:t>
            </w:r>
          </w:p>
        </w:tc>
      </w:tr>
      <w:tr>
        <w:trPr>
          <w:trHeight w:val="300" w:hRule="atLeast"/>
        </w:trPr>
        <w:tc>
          <w:tcPr>
            <w:tcW w:w="855" w:type="dxa"/>
            <w:tcBorders/>
            <w:vAlign w:val="bottom"/>
          </w:tcPr>
          <w:p>
            <w:pPr>
              <w:pStyle w:val="Normal"/>
              <w:widowControl w:val="false"/>
              <w:tabs>
                <w:tab w:val="clear" w:pos="720"/>
              </w:tabs>
              <w:spacing w:before="0" w:after="120"/>
              <w:jc w:val="center"/>
              <w:rPr>
                <w:rFonts w:ascii="Calibri" w:hAnsi="Calibri"/>
              </w:rPr>
            </w:pPr>
            <w:r>
              <w:rPr/>
              <w:t>23</w:t>
            </w:r>
          </w:p>
        </w:tc>
        <w:tc>
          <w:tcPr>
            <w:tcW w:w="3585" w:type="dxa"/>
            <w:tcBorders/>
            <w:vAlign w:val="bottom"/>
          </w:tcPr>
          <w:p>
            <w:pPr>
              <w:pStyle w:val="Normal"/>
              <w:widowControl w:val="false"/>
              <w:tabs>
                <w:tab w:val="clear" w:pos="720"/>
              </w:tabs>
              <w:spacing w:before="0" w:after="120"/>
              <w:jc w:val="left"/>
              <w:rPr>
                <w:rFonts w:ascii="Calibri" w:hAnsi="Calibri"/>
              </w:rPr>
            </w:pPr>
            <w:r>
              <w:rPr/>
              <w:t>Κρεμαστά φωτιστικά οροφής μικρά</w:t>
            </w:r>
          </w:p>
        </w:tc>
        <w:tc>
          <w:tcPr>
            <w:tcW w:w="1410" w:type="dxa"/>
            <w:tcBorders/>
            <w:vAlign w:val="bottom"/>
          </w:tcPr>
          <w:p>
            <w:pPr>
              <w:pStyle w:val="Normal"/>
              <w:widowControl w:val="false"/>
              <w:tabs>
                <w:tab w:val="clear" w:pos="720"/>
              </w:tabs>
              <w:spacing w:before="0" w:after="120"/>
              <w:jc w:val="center"/>
              <w:rPr>
                <w:rFonts w:ascii="Calibri" w:hAnsi="Calibri"/>
              </w:rPr>
            </w:pPr>
            <w:r>
              <w:rPr/>
              <w:t>3</w:t>
            </w:r>
          </w:p>
        </w:tc>
        <w:tc>
          <w:tcPr>
            <w:tcW w:w="2220" w:type="dxa"/>
            <w:tcBorders/>
            <w:vAlign w:val="bottom"/>
          </w:tcPr>
          <w:p>
            <w:pPr>
              <w:pStyle w:val="Normal"/>
              <w:widowControl w:val="false"/>
              <w:tabs>
                <w:tab w:val="clear" w:pos="720"/>
              </w:tabs>
              <w:spacing w:before="0" w:after="120"/>
              <w:jc w:val="right"/>
              <w:rPr>
                <w:rFonts w:ascii="Calibri" w:hAnsi="Calibri"/>
              </w:rPr>
            </w:pPr>
            <w:r>
              <w:rPr/>
              <w:t>19,00</w:t>
            </w:r>
          </w:p>
        </w:tc>
        <w:tc>
          <w:tcPr>
            <w:tcW w:w="2259" w:type="dxa"/>
            <w:tcBorders/>
            <w:vAlign w:val="bottom"/>
          </w:tcPr>
          <w:p>
            <w:pPr>
              <w:pStyle w:val="Normal"/>
              <w:widowControl w:val="false"/>
              <w:tabs>
                <w:tab w:val="clear" w:pos="720"/>
              </w:tabs>
              <w:spacing w:before="0" w:after="120"/>
              <w:jc w:val="right"/>
              <w:rPr>
                <w:rFonts w:ascii="Calibri" w:hAnsi="Calibri"/>
              </w:rPr>
            </w:pPr>
            <w:r>
              <w:rPr/>
              <w:t>57,00</w:t>
            </w:r>
          </w:p>
        </w:tc>
      </w:tr>
      <w:tr>
        <w:trPr>
          <w:trHeight w:val="300" w:hRule="atLeast"/>
        </w:trPr>
        <w:tc>
          <w:tcPr>
            <w:tcW w:w="855" w:type="dxa"/>
            <w:tcBorders/>
            <w:vAlign w:val="bottom"/>
          </w:tcPr>
          <w:p>
            <w:pPr>
              <w:pStyle w:val="Normal"/>
              <w:widowControl w:val="false"/>
              <w:tabs>
                <w:tab w:val="clear" w:pos="720"/>
              </w:tabs>
              <w:spacing w:before="0" w:after="120"/>
              <w:jc w:val="center"/>
              <w:rPr>
                <w:rFonts w:ascii="Calibri" w:hAnsi="Calibri"/>
              </w:rPr>
            </w:pPr>
            <w:r>
              <w:rPr/>
              <w:t>24</w:t>
            </w:r>
          </w:p>
        </w:tc>
        <w:tc>
          <w:tcPr>
            <w:tcW w:w="3585" w:type="dxa"/>
            <w:tcBorders/>
            <w:vAlign w:val="bottom"/>
          </w:tcPr>
          <w:p>
            <w:pPr>
              <w:pStyle w:val="Normal"/>
              <w:widowControl w:val="false"/>
              <w:tabs>
                <w:tab w:val="clear" w:pos="720"/>
              </w:tabs>
              <w:spacing w:before="0" w:after="120"/>
              <w:jc w:val="left"/>
              <w:rPr>
                <w:rFonts w:ascii="Calibri" w:hAnsi="Calibri"/>
              </w:rPr>
            </w:pPr>
            <w:r>
              <w:rPr/>
              <w:t>Πορτατίφ κομοδίνου</w:t>
            </w:r>
          </w:p>
        </w:tc>
        <w:tc>
          <w:tcPr>
            <w:tcW w:w="1410" w:type="dxa"/>
            <w:tcBorders/>
            <w:vAlign w:val="bottom"/>
          </w:tcPr>
          <w:p>
            <w:pPr>
              <w:pStyle w:val="Normal"/>
              <w:widowControl w:val="false"/>
              <w:tabs>
                <w:tab w:val="clear" w:pos="720"/>
              </w:tabs>
              <w:spacing w:before="0" w:after="120"/>
              <w:jc w:val="center"/>
              <w:rPr>
                <w:rFonts w:ascii="Calibri" w:hAnsi="Calibri"/>
              </w:rPr>
            </w:pPr>
            <w:r>
              <w:rPr/>
              <w:t>3</w:t>
            </w:r>
          </w:p>
        </w:tc>
        <w:tc>
          <w:tcPr>
            <w:tcW w:w="2220" w:type="dxa"/>
            <w:tcBorders/>
            <w:vAlign w:val="bottom"/>
          </w:tcPr>
          <w:p>
            <w:pPr>
              <w:pStyle w:val="Normal"/>
              <w:widowControl w:val="false"/>
              <w:tabs>
                <w:tab w:val="clear" w:pos="720"/>
              </w:tabs>
              <w:spacing w:before="0" w:after="120"/>
              <w:jc w:val="right"/>
              <w:rPr>
                <w:rFonts w:ascii="Calibri" w:hAnsi="Calibri"/>
              </w:rPr>
            </w:pPr>
            <w:r>
              <w:rPr/>
              <w:t>21,00</w:t>
            </w:r>
          </w:p>
        </w:tc>
        <w:tc>
          <w:tcPr>
            <w:tcW w:w="2259" w:type="dxa"/>
            <w:tcBorders/>
            <w:vAlign w:val="bottom"/>
          </w:tcPr>
          <w:p>
            <w:pPr>
              <w:pStyle w:val="Normal"/>
              <w:widowControl w:val="false"/>
              <w:tabs>
                <w:tab w:val="clear" w:pos="720"/>
              </w:tabs>
              <w:spacing w:before="0" w:after="120"/>
              <w:jc w:val="right"/>
              <w:rPr>
                <w:rFonts w:ascii="Calibri" w:hAnsi="Calibri"/>
              </w:rPr>
            </w:pPr>
            <w:r>
              <w:rPr/>
              <w:t>63,00</w:t>
            </w:r>
          </w:p>
        </w:tc>
      </w:tr>
      <w:tr>
        <w:trPr>
          <w:trHeight w:val="276" w:hRule="atLeast"/>
        </w:trPr>
        <w:tc>
          <w:tcPr>
            <w:tcW w:w="855" w:type="dxa"/>
            <w:tcBorders/>
            <w:vAlign w:val="bottom"/>
          </w:tcPr>
          <w:p>
            <w:pPr>
              <w:pStyle w:val="Normal"/>
              <w:widowControl w:val="false"/>
              <w:tabs>
                <w:tab w:val="clear" w:pos="720"/>
              </w:tabs>
              <w:spacing w:before="0" w:after="120"/>
              <w:jc w:val="center"/>
              <w:rPr>
                <w:rFonts w:ascii="Calibri" w:hAnsi="Calibri"/>
              </w:rPr>
            </w:pPr>
            <w:r>
              <w:rPr/>
            </w:r>
          </w:p>
        </w:tc>
        <w:tc>
          <w:tcPr>
            <w:tcW w:w="3585" w:type="dxa"/>
            <w:tcBorders/>
            <w:vAlign w:val="bottom"/>
          </w:tcPr>
          <w:p>
            <w:pPr>
              <w:pStyle w:val="Normal"/>
              <w:widowControl w:val="false"/>
              <w:tabs>
                <w:tab w:val="clear" w:pos="720"/>
              </w:tabs>
              <w:spacing w:before="0" w:after="120"/>
              <w:jc w:val="left"/>
              <w:rPr>
                <w:rFonts w:ascii="Calibri" w:hAnsi="Calibri"/>
              </w:rPr>
            </w:pPr>
            <w:r>
              <w:rPr/>
            </w:r>
          </w:p>
        </w:tc>
        <w:tc>
          <w:tcPr>
            <w:tcW w:w="1410" w:type="dxa"/>
            <w:tcBorders/>
            <w:vAlign w:val="bottom"/>
          </w:tcPr>
          <w:p>
            <w:pPr>
              <w:pStyle w:val="Normal"/>
              <w:widowControl w:val="false"/>
              <w:tabs>
                <w:tab w:val="clear" w:pos="720"/>
              </w:tabs>
              <w:spacing w:before="0" w:after="120"/>
              <w:jc w:val="center"/>
              <w:rPr>
                <w:rFonts w:ascii="Calibri" w:hAnsi="Calibri"/>
              </w:rPr>
            </w:pPr>
            <w:r>
              <w:rPr/>
            </w:r>
          </w:p>
        </w:tc>
        <w:tc>
          <w:tcPr>
            <w:tcW w:w="2220" w:type="dxa"/>
            <w:tcBorders/>
            <w:vAlign w:val="bottom"/>
          </w:tcPr>
          <w:p>
            <w:pPr>
              <w:pStyle w:val="Normal"/>
              <w:widowControl w:val="false"/>
              <w:tabs>
                <w:tab w:val="clear" w:pos="720"/>
              </w:tabs>
              <w:spacing w:before="0" w:after="120"/>
              <w:jc w:val="left"/>
              <w:rPr>
                <w:rFonts w:ascii="Calibri" w:hAnsi="Calibri"/>
              </w:rPr>
            </w:pPr>
            <w:r>
              <w:rPr/>
            </w:r>
          </w:p>
        </w:tc>
        <w:tc>
          <w:tcPr>
            <w:tcW w:w="2259" w:type="dxa"/>
            <w:tcBorders/>
            <w:vAlign w:val="bottom"/>
          </w:tcPr>
          <w:p>
            <w:pPr>
              <w:pStyle w:val="Normal"/>
              <w:widowControl w:val="false"/>
              <w:tabs>
                <w:tab w:val="clear" w:pos="720"/>
              </w:tabs>
              <w:spacing w:before="0" w:after="120"/>
              <w:jc w:val="left"/>
              <w:rPr>
                <w:rFonts w:ascii="Calibri" w:hAnsi="Calibri"/>
              </w:rPr>
            </w:pPr>
            <w:r>
              <w:rPr/>
            </w:r>
          </w:p>
        </w:tc>
      </w:tr>
      <w:tr>
        <w:trPr>
          <w:trHeight w:val="300" w:hRule="atLeast"/>
        </w:trPr>
        <w:tc>
          <w:tcPr>
            <w:tcW w:w="855" w:type="dxa"/>
            <w:tcBorders/>
            <w:vAlign w:val="bottom"/>
          </w:tcPr>
          <w:p>
            <w:pPr>
              <w:pStyle w:val="Normal"/>
              <w:widowControl w:val="false"/>
              <w:tabs>
                <w:tab w:val="clear" w:pos="720"/>
              </w:tabs>
              <w:spacing w:before="0" w:after="120"/>
              <w:jc w:val="center"/>
              <w:rPr>
                <w:rFonts w:ascii="Calibri" w:hAnsi="Calibri"/>
              </w:rPr>
            </w:pPr>
            <w:r>
              <w:rPr/>
            </w:r>
          </w:p>
        </w:tc>
        <w:tc>
          <w:tcPr>
            <w:tcW w:w="3585" w:type="dxa"/>
            <w:tcBorders/>
            <w:vAlign w:val="bottom"/>
          </w:tcPr>
          <w:p>
            <w:pPr>
              <w:pStyle w:val="Normal"/>
              <w:widowControl w:val="false"/>
              <w:tabs>
                <w:tab w:val="clear" w:pos="720"/>
              </w:tabs>
              <w:spacing w:before="0" w:after="120"/>
              <w:jc w:val="left"/>
              <w:rPr>
                <w:rFonts w:ascii="Calibri" w:hAnsi="Calibri"/>
              </w:rPr>
            </w:pPr>
            <w:r>
              <w:rPr>
                <w:b/>
              </w:rPr>
              <w:t>Κλινοσκεπάσματα</w:t>
            </w:r>
          </w:p>
        </w:tc>
        <w:tc>
          <w:tcPr>
            <w:tcW w:w="1410" w:type="dxa"/>
            <w:tcBorders/>
            <w:vAlign w:val="bottom"/>
          </w:tcPr>
          <w:p>
            <w:pPr>
              <w:pStyle w:val="Normal"/>
              <w:widowControl w:val="false"/>
              <w:tabs>
                <w:tab w:val="clear" w:pos="720"/>
              </w:tabs>
              <w:spacing w:before="0" w:after="120"/>
              <w:jc w:val="center"/>
              <w:rPr>
                <w:rFonts w:ascii="Calibri" w:hAnsi="Calibri"/>
              </w:rPr>
            </w:pPr>
            <w:r>
              <w:rPr/>
            </w:r>
          </w:p>
        </w:tc>
        <w:tc>
          <w:tcPr>
            <w:tcW w:w="2220" w:type="dxa"/>
            <w:tcBorders/>
            <w:vAlign w:val="bottom"/>
          </w:tcPr>
          <w:p>
            <w:pPr>
              <w:pStyle w:val="Normal"/>
              <w:widowControl w:val="false"/>
              <w:tabs>
                <w:tab w:val="clear" w:pos="720"/>
              </w:tabs>
              <w:spacing w:before="0" w:after="120"/>
              <w:jc w:val="left"/>
              <w:rPr>
                <w:rFonts w:ascii="Calibri" w:hAnsi="Calibri"/>
              </w:rPr>
            </w:pPr>
            <w:r>
              <w:rPr/>
            </w:r>
          </w:p>
        </w:tc>
        <w:tc>
          <w:tcPr>
            <w:tcW w:w="2259" w:type="dxa"/>
            <w:tcBorders/>
            <w:vAlign w:val="bottom"/>
          </w:tcPr>
          <w:p>
            <w:pPr>
              <w:pStyle w:val="Normal"/>
              <w:widowControl w:val="false"/>
              <w:tabs>
                <w:tab w:val="clear" w:pos="720"/>
              </w:tabs>
              <w:spacing w:before="0" w:after="120"/>
              <w:jc w:val="left"/>
              <w:rPr>
                <w:rFonts w:ascii="Calibri" w:hAnsi="Calibri"/>
              </w:rPr>
            </w:pPr>
            <w:r>
              <w:rPr/>
            </w:r>
          </w:p>
        </w:tc>
      </w:tr>
      <w:tr>
        <w:trPr>
          <w:trHeight w:val="300" w:hRule="atLeast"/>
        </w:trPr>
        <w:tc>
          <w:tcPr>
            <w:tcW w:w="855" w:type="dxa"/>
            <w:tcBorders/>
            <w:vAlign w:val="bottom"/>
          </w:tcPr>
          <w:p>
            <w:pPr>
              <w:pStyle w:val="Normal"/>
              <w:widowControl w:val="false"/>
              <w:tabs>
                <w:tab w:val="clear" w:pos="720"/>
              </w:tabs>
              <w:spacing w:before="0" w:after="120"/>
              <w:jc w:val="center"/>
              <w:rPr>
                <w:rFonts w:ascii="Calibri" w:hAnsi="Calibri"/>
              </w:rPr>
            </w:pPr>
            <w:r>
              <w:rPr/>
              <w:t>25</w:t>
            </w:r>
          </w:p>
        </w:tc>
        <w:tc>
          <w:tcPr>
            <w:tcW w:w="3585" w:type="dxa"/>
            <w:tcBorders/>
            <w:vAlign w:val="bottom"/>
          </w:tcPr>
          <w:p>
            <w:pPr>
              <w:pStyle w:val="Normal"/>
              <w:widowControl w:val="false"/>
              <w:tabs>
                <w:tab w:val="clear" w:pos="720"/>
              </w:tabs>
              <w:spacing w:before="0" w:after="120"/>
              <w:jc w:val="left"/>
              <w:rPr>
                <w:rFonts w:ascii="Calibri" w:hAnsi="Calibri"/>
              </w:rPr>
            </w:pPr>
            <w:r>
              <w:rPr/>
              <w:t>Σεντόνια υπέρδιπλα</w:t>
            </w:r>
          </w:p>
        </w:tc>
        <w:tc>
          <w:tcPr>
            <w:tcW w:w="1410" w:type="dxa"/>
            <w:tcBorders/>
            <w:vAlign w:val="bottom"/>
          </w:tcPr>
          <w:p>
            <w:pPr>
              <w:pStyle w:val="Normal"/>
              <w:widowControl w:val="false"/>
              <w:tabs>
                <w:tab w:val="clear" w:pos="720"/>
              </w:tabs>
              <w:spacing w:before="0" w:after="120"/>
              <w:jc w:val="center"/>
              <w:rPr>
                <w:rFonts w:ascii="Calibri" w:hAnsi="Calibri"/>
              </w:rPr>
            </w:pPr>
            <w:r>
              <w:rPr/>
              <w:t>4</w:t>
            </w:r>
          </w:p>
        </w:tc>
        <w:tc>
          <w:tcPr>
            <w:tcW w:w="2220" w:type="dxa"/>
            <w:tcBorders/>
            <w:vAlign w:val="bottom"/>
          </w:tcPr>
          <w:p>
            <w:pPr>
              <w:pStyle w:val="Normal"/>
              <w:widowControl w:val="false"/>
              <w:tabs>
                <w:tab w:val="clear" w:pos="720"/>
              </w:tabs>
              <w:spacing w:before="0" w:after="120"/>
              <w:jc w:val="right"/>
              <w:rPr>
                <w:rFonts w:ascii="Calibri" w:hAnsi="Calibri"/>
              </w:rPr>
            </w:pPr>
            <w:r>
              <w:rPr/>
              <w:t>47,00</w:t>
            </w:r>
          </w:p>
        </w:tc>
        <w:tc>
          <w:tcPr>
            <w:tcW w:w="2259" w:type="dxa"/>
            <w:tcBorders/>
            <w:vAlign w:val="bottom"/>
          </w:tcPr>
          <w:p>
            <w:pPr>
              <w:pStyle w:val="Normal"/>
              <w:widowControl w:val="false"/>
              <w:tabs>
                <w:tab w:val="clear" w:pos="720"/>
              </w:tabs>
              <w:spacing w:before="0" w:after="120"/>
              <w:jc w:val="right"/>
              <w:rPr>
                <w:rFonts w:ascii="Calibri" w:hAnsi="Calibri"/>
              </w:rPr>
            </w:pPr>
            <w:r>
              <w:rPr/>
              <w:t>188,00</w:t>
            </w:r>
          </w:p>
        </w:tc>
      </w:tr>
      <w:tr>
        <w:trPr>
          <w:trHeight w:val="300" w:hRule="atLeast"/>
        </w:trPr>
        <w:tc>
          <w:tcPr>
            <w:tcW w:w="855" w:type="dxa"/>
            <w:tcBorders/>
            <w:vAlign w:val="bottom"/>
          </w:tcPr>
          <w:p>
            <w:pPr>
              <w:pStyle w:val="Normal"/>
              <w:widowControl w:val="false"/>
              <w:tabs>
                <w:tab w:val="clear" w:pos="720"/>
              </w:tabs>
              <w:spacing w:before="0" w:after="120"/>
              <w:jc w:val="center"/>
              <w:rPr>
                <w:rFonts w:ascii="Calibri" w:hAnsi="Calibri"/>
              </w:rPr>
            </w:pPr>
            <w:r>
              <w:rPr/>
              <w:t>26</w:t>
            </w:r>
          </w:p>
        </w:tc>
        <w:tc>
          <w:tcPr>
            <w:tcW w:w="3585" w:type="dxa"/>
            <w:tcBorders/>
            <w:vAlign w:val="bottom"/>
          </w:tcPr>
          <w:p>
            <w:pPr>
              <w:pStyle w:val="Normal"/>
              <w:widowControl w:val="false"/>
              <w:tabs>
                <w:tab w:val="clear" w:pos="720"/>
              </w:tabs>
              <w:spacing w:before="0" w:after="120"/>
              <w:jc w:val="left"/>
              <w:rPr>
                <w:rFonts w:ascii="Calibri" w:hAnsi="Calibri"/>
              </w:rPr>
            </w:pPr>
            <w:r>
              <w:rPr/>
              <w:t>Σεντόνια διπλά</w:t>
            </w:r>
          </w:p>
        </w:tc>
        <w:tc>
          <w:tcPr>
            <w:tcW w:w="1410" w:type="dxa"/>
            <w:tcBorders/>
            <w:vAlign w:val="bottom"/>
          </w:tcPr>
          <w:p>
            <w:pPr>
              <w:pStyle w:val="Normal"/>
              <w:widowControl w:val="false"/>
              <w:tabs>
                <w:tab w:val="clear" w:pos="720"/>
              </w:tabs>
              <w:spacing w:before="0" w:after="120"/>
              <w:jc w:val="center"/>
              <w:rPr>
                <w:rFonts w:ascii="Calibri" w:hAnsi="Calibri"/>
              </w:rPr>
            </w:pPr>
            <w:r>
              <w:rPr/>
              <w:t>5</w:t>
            </w:r>
          </w:p>
        </w:tc>
        <w:tc>
          <w:tcPr>
            <w:tcW w:w="2220" w:type="dxa"/>
            <w:tcBorders/>
            <w:vAlign w:val="bottom"/>
          </w:tcPr>
          <w:p>
            <w:pPr>
              <w:pStyle w:val="Normal"/>
              <w:widowControl w:val="false"/>
              <w:tabs>
                <w:tab w:val="clear" w:pos="720"/>
              </w:tabs>
              <w:spacing w:before="0" w:after="120"/>
              <w:jc w:val="right"/>
              <w:rPr>
                <w:rFonts w:ascii="Calibri" w:hAnsi="Calibri"/>
              </w:rPr>
            </w:pPr>
            <w:r>
              <w:rPr/>
              <w:t>28,00</w:t>
            </w:r>
          </w:p>
        </w:tc>
        <w:tc>
          <w:tcPr>
            <w:tcW w:w="2259" w:type="dxa"/>
            <w:tcBorders/>
            <w:vAlign w:val="bottom"/>
          </w:tcPr>
          <w:p>
            <w:pPr>
              <w:pStyle w:val="Normal"/>
              <w:widowControl w:val="false"/>
              <w:tabs>
                <w:tab w:val="clear" w:pos="720"/>
              </w:tabs>
              <w:spacing w:before="0" w:after="120"/>
              <w:jc w:val="right"/>
              <w:rPr>
                <w:rFonts w:ascii="Calibri" w:hAnsi="Calibri"/>
              </w:rPr>
            </w:pPr>
            <w:r>
              <w:rPr/>
              <w:t>140,00</w:t>
            </w:r>
          </w:p>
        </w:tc>
      </w:tr>
      <w:tr>
        <w:trPr>
          <w:trHeight w:val="300" w:hRule="atLeast"/>
        </w:trPr>
        <w:tc>
          <w:tcPr>
            <w:tcW w:w="855" w:type="dxa"/>
            <w:tcBorders/>
            <w:vAlign w:val="bottom"/>
          </w:tcPr>
          <w:p>
            <w:pPr>
              <w:pStyle w:val="Normal"/>
              <w:widowControl w:val="false"/>
              <w:tabs>
                <w:tab w:val="clear" w:pos="720"/>
              </w:tabs>
              <w:spacing w:before="0" w:after="120"/>
              <w:jc w:val="center"/>
              <w:rPr>
                <w:rFonts w:ascii="Calibri" w:hAnsi="Calibri"/>
              </w:rPr>
            </w:pPr>
            <w:r>
              <w:rPr/>
              <w:t>27</w:t>
            </w:r>
          </w:p>
        </w:tc>
        <w:tc>
          <w:tcPr>
            <w:tcW w:w="3585" w:type="dxa"/>
            <w:tcBorders/>
            <w:vAlign w:val="bottom"/>
          </w:tcPr>
          <w:p>
            <w:pPr>
              <w:pStyle w:val="Normal"/>
              <w:widowControl w:val="false"/>
              <w:tabs>
                <w:tab w:val="clear" w:pos="720"/>
              </w:tabs>
              <w:spacing w:before="0" w:after="120"/>
              <w:jc w:val="left"/>
              <w:rPr>
                <w:rFonts w:ascii="Calibri" w:hAnsi="Calibri"/>
              </w:rPr>
            </w:pPr>
            <w:r>
              <w:rPr/>
              <w:t>Σεντόνια μονά</w:t>
            </w:r>
          </w:p>
        </w:tc>
        <w:tc>
          <w:tcPr>
            <w:tcW w:w="1410" w:type="dxa"/>
            <w:tcBorders/>
            <w:vAlign w:val="bottom"/>
          </w:tcPr>
          <w:p>
            <w:pPr>
              <w:pStyle w:val="Normal"/>
              <w:widowControl w:val="false"/>
              <w:tabs>
                <w:tab w:val="clear" w:pos="720"/>
              </w:tabs>
              <w:spacing w:before="0" w:after="120"/>
              <w:jc w:val="center"/>
              <w:rPr>
                <w:rFonts w:ascii="Calibri" w:hAnsi="Calibri"/>
              </w:rPr>
            </w:pPr>
            <w:r>
              <w:rPr/>
              <w:t>18</w:t>
            </w:r>
          </w:p>
        </w:tc>
        <w:tc>
          <w:tcPr>
            <w:tcW w:w="2220" w:type="dxa"/>
            <w:tcBorders/>
            <w:vAlign w:val="bottom"/>
          </w:tcPr>
          <w:p>
            <w:pPr>
              <w:pStyle w:val="Normal"/>
              <w:widowControl w:val="false"/>
              <w:tabs>
                <w:tab w:val="clear" w:pos="720"/>
              </w:tabs>
              <w:spacing w:before="0" w:after="120"/>
              <w:jc w:val="right"/>
              <w:rPr>
                <w:rFonts w:ascii="Calibri" w:hAnsi="Calibri"/>
              </w:rPr>
            </w:pPr>
            <w:r>
              <w:rPr/>
              <w:t>20,00</w:t>
            </w:r>
          </w:p>
        </w:tc>
        <w:tc>
          <w:tcPr>
            <w:tcW w:w="2259" w:type="dxa"/>
            <w:tcBorders/>
            <w:vAlign w:val="bottom"/>
          </w:tcPr>
          <w:p>
            <w:pPr>
              <w:pStyle w:val="Normal"/>
              <w:widowControl w:val="false"/>
              <w:tabs>
                <w:tab w:val="clear" w:pos="720"/>
              </w:tabs>
              <w:spacing w:before="0" w:after="120"/>
              <w:jc w:val="right"/>
              <w:rPr>
                <w:rFonts w:ascii="Calibri" w:hAnsi="Calibri"/>
              </w:rPr>
            </w:pPr>
            <w:r>
              <w:rPr/>
              <w:t>360,00</w:t>
            </w:r>
          </w:p>
        </w:tc>
      </w:tr>
      <w:tr>
        <w:trPr>
          <w:trHeight w:val="300" w:hRule="atLeast"/>
        </w:trPr>
        <w:tc>
          <w:tcPr>
            <w:tcW w:w="855" w:type="dxa"/>
            <w:tcBorders/>
            <w:vAlign w:val="bottom"/>
          </w:tcPr>
          <w:p>
            <w:pPr>
              <w:pStyle w:val="Normal"/>
              <w:widowControl w:val="false"/>
              <w:tabs>
                <w:tab w:val="clear" w:pos="720"/>
              </w:tabs>
              <w:spacing w:before="0" w:after="120"/>
              <w:jc w:val="center"/>
              <w:rPr>
                <w:rFonts w:ascii="Calibri" w:hAnsi="Calibri"/>
              </w:rPr>
            </w:pPr>
            <w:r>
              <w:rPr/>
              <w:t>28</w:t>
            </w:r>
          </w:p>
        </w:tc>
        <w:tc>
          <w:tcPr>
            <w:tcW w:w="3585" w:type="dxa"/>
            <w:tcBorders/>
            <w:vAlign w:val="bottom"/>
          </w:tcPr>
          <w:p>
            <w:pPr>
              <w:pStyle w:val="Normal"/>
              <w:widowControl w:val="false"/>
              <w:tabs>
                <w:tab w:val="clear" w:pos="720"/>
              </w:tabs>
              <w:spacing w:before="0" w:after="120"/>
              <w:jc w:val="left"/>
              <w:rPr>
                <w:rFonts w:ascii="Calibri" w:hAnsi="Calibri"/>
              </w:rPr>
            </w:pPr>
            <w:r>
              <w:rPr/>
              <w:t>Κουβέρτα διπλή</w:t>
            </w:r>
          </w:p>
        </w:tc>
        <w:tc>
          <w:tcPr>
            <w:tcW w:w="1410" w:type="dxa"/>
            <w:tcBorders/>
            <w:vAlign w:val="bottom"/>
          </w:tcPr>
          <w:p>
            <w:pPr>
              <w:pStyle w:val="Normal"/>
              <w:widowControl w:val="false"/>
              <w:tabs>
                <w:tab w:val="clear" w:pos="720"/>
              </w:tabs>
              <w:spacing w:before="0" w:after="120"/>
              <w:jc w:val="center"/>
              <w:rPr>
                <w:rFonts w:ascii="Calibri" w:hAnsi="Calibri"/>
              </w:rPr>
            </w:pPr>
            <w:r>
              <w:rPr/>
              <w:t>6</w:t>
            </w:r>
          </w:p>
        </w:tc>
        <w:tc>
          <w:tcPr>
            <w:tcW w:w="2220" w:type="dxa"/>
            <w:tcBorders/>
            <w:vAlign w:val="bottom"/>
          </w:tcPr>
          <w:p>
            <w:pPr>
              <w:pStyle w:val="Normal"/>
              <w:widowControl w:val="false"/>
              <w:tabs>
                <w:tab w:val="clear" w:pos="720"/>
              </w:tabs>
              <w:spacing w:before="0" w:after="120"/>
              <w:jc w:val="right"/>
              <w:rPr>
                <w:rFonts w:ascii="Calibri" w:hAnsi="Calibri"/>
              </w:rPr>
            </w:pPr>
            <w:r>
              <w:rPr/>
              <w:t>41,00</w:t>
            </w:r>
          </w:p>
        </w:tc>
        <w:tc>
          <w:tcPr>
            <w:tcW w:w="2259" w:type="dxa"/>
            <w:tcBorders/>
            <w:vAlign w:val="bottom"/>
          </w:tcPr>
          <w:p>
            <w:pPr>
              <w:pStyle w:val="Normal"/>
              <w:widowControl w:val="false"/>
              <w:tabs>
                <w:tab w:val="clear" w:pos="720"/>
              </w:tabs>
              <w:spacing w:before="0" w:after="120"/>
              <w:jc w:val="right"/>
              <w:rPr>
                <w:rFonts w:ascii="Calibri" w:hAnsi="Calibri"/>
              </w:rPr>
            </w:pPr>
            <w:r>
              <w:rPr/>
              <w:t>246,00</w:t>
            </w:r>
          </w:p>
        </w:tc>
      </w:tr>
      <w:tr>
        <w:trPr>
          <w:trHeight w:val="300" w:hRule="atLeast"/>
        </w:trPr>
        <w:tc>
          <w:tcPr>
            <w:tcW w:w="855" w:type="dxa"/>
            <w:tcBorders/>
            <w:vAlign w:val="bottom"/>
          </w:tcPr>
          <w:p>
            <w:pPr>
              <w:pStyle w:val="Normal"/>
              <w:widowControl w:val="false"/>
              <w:tabs>
                <w:tab w:val="clear" w:pos="720"/>
              </w:tabs>
              <w:spacing w:before="0" w:after="120"/>
              <w:jc w:val="center"/>
              <w:rPr>
                <w:rFonts w:ascii="Calibri" w:hAnsi="Calibri"/>
              </w:rPr>
            </w:pPr>
            <w:r>
              <w:rPr/>
              <w:t>29</w:t>
            </w:r>
          </w:p>
        </w:tc>
        <w:tc>
          <w:tcPr>
            <w:tcW w:w="3585" w:type="dxa"/>
            <w:tcBorders/>
            <w:vAlign w:val="bottom"/>
          </w:tcPr>
          <w:p>
            <w:pPr>
              <w:pStyle w:val="Normal"/>
              <w:widowControl w:val="false"/>
              <w:tabs>
                <w:tab w:val="clear" w:pos="720"/>
              </w:tabs>
              <w:spacing w:before="0" w:after="120"/>
              <w:jc w:val="left"/>
              <w:rPr>
                <w:rFonts w:ascii="Calibri" w:hAnsi="Calibri"/>
              </w:rPr>
            </w:pPr>
            <w:r>
              <w:rPr/>
              <w:t>Κουβέρτα διπλή πικέ</w:t>
            </w:r>
          </w:p>
        </w:tc>
        <w:tc>
          <w:tcPr>
            <w:tcW w:w="1410" w:type="dxa"/>
            <w:tcBorders/>
            <w:vAlign w:val="bottom"/>
          </w:tcPr>
          <w:p>
            <w:pPr>
              <w:pStyle w:val="Normal"/>
              <w:widowControl w:val="false"/>
              <w:tabs>
                <w:tab w:val="clear" w:pos="720"/>
              </w:tabs>
              <w:spacing w:before="0" w:after="120"/>
              <w:jc w:val="center"/>
              <w:rPr>
                <w:rFonts w:ascii="Calibri" w:hAnsi="Calibri"/>
              </w:rPr>
            </w:pPr>
            <w:r>
              <w:rPr/>
              <w:t>6</w:t>
            </w:r>
          </w:p>
        </w:tc>
        <w:tc>
          <w:tcPr>
            <w:tcW w:w="2220" w:type="dxa"/>
            <w:tcBorders/>
            <w:vAlign w:val="bottom"/>
          </w:tcPr>
          <w:p>
            <w:pPr>
              <w:pStyle w:val="Normal"/>
              <w:widowControl w:val="false"/>
              <w:tabs>
                <w:tab w:val="clear" w:pos="720"/>
              </w:tabs>
              <w:spacing w:before="0" w:after="120"/>
              <w:jc w:val="right"/>
              <w:rPr>
                <w:rFonts w:ascii="Calibri" w:hAnsi="Calibri"/>
              </w:rPr>
            </w:pPr>
            <w:r>
              <w:rPr/>
              <w:t>26,00</w:t>
            </w:r>
          </w:p>
        </w:tc>
        <w:tc>
          <w:tcPr>
            <w:tcW w:w="2259" w:type="dxa"/>
            <w:tcBorders/>
            <w:vAlign w:val="bottom"/>
          </w:tcPr>
          <w:p>
            <w:pPr>
              <w:pStyle w:val="Normal"/>
              <w:widowControl w:val="false"/>
              <w:tabs>
                <w:tab w:val="clear" w:pos="720"/>
              </w:tabs>
              <w:spacing w:before="0" w:after="120"/>
              <w:jc w:val="right"/>
              <w:rPr>
                <w:rFonts w:ascii="Calibri" w:hAnsi="Calibri"/>
              </w:rPr>
            </w:pPr>
            <w:r>
              <w:rPr/>
              <w:t>156,00</w:t>
            </w:r>
          </w:p>
        </w:tc>
      </w:tr>
      <w:tr>
        <w:trPr>
          <w:trHeight w:val="300" w:hRule="atLeast"/>
        </w:trPr>
        <w:tc>
          <w:tcPr>
            <w:tcW w:w="855" w:type="dxa"/>
            <w:tcBorders/>
            <w:vAlign w:val="bottom"/>
          </w:tcPr>
          <w:p>
            <w:pPr>
              <w:pStyle w:val="Normal"/>
              <w:widowControl w:val="false"/>
              <w:tabs>
                <w:tab w:val="clear" w:pos="720"/>
              </w:tabs>
              <w:spacing w:before="0" w:after="120"/>
              <w:jc w:val="center"/>
              <w:rPr>
                <w:rFonts w:ascii="Calibri" w:hAnsi="Calibri"/>
              </w:rPr>
            </w:pPr>
            <w:r>
              <w:rPr/>
              <w:t>30</w:t>
            </w:r>
          </w:p>
        </w:tc>
        <w:tc>
          <w:tcPr>
            <w:tcW w:w="3585" w:type="dxa"/>
            <w:tcBorders/>
            <w:vAlign w:val="bottom"/>
          </w:tcPr>
          <w:p>
            <w:pPr>
              <w:pStyle w:val="Normal"/>
              <w:widowControl w:val="false"/>
              <w:tabs>
                <w:tab w:val="clear" w:pos="720"/>
              </w:tabs>
              <w:spacing w:before="0" w:after="120"/>
              <w:jc w:val="left"/>
              <w:rPr>
                <w:rFonts w:ascii="Calibri" w:hAnsi="Calibri"/>
              </w:rPr>
            </w:pPr>
            <w:r>
              <w:rPr/>
              <w:t>Κουβέρτα μονή</w:t>
            </w:r>
          </w:p>
        </w:tc>
        <w:tc>
          <w:tcPr>
            <w:tcW w:w="1410" w:type="dxa"/>
            <w:tcBorders/>
            <w:vAlign w:val="bottom"/>
          </w:tcPr>
          <w:p>
            <w:pPr>
              <w:pStyle w:val="Normal"/>
              <w:widowControl w:val="false"/>
              <w:tabs>
                <w:tab w:val="clear" w:pos="720"/>
              </w:tabs>
              <w:spacing w:before="0" w:after="120"/>
              <w:jc w:val="center"/>
              <w:rPr>
                <w:rFonts w:ascii="Calibri" w:hAnsi="Calibri"/>
              </w:rPr>
            </w:pPr>
            <w:r>
              <w:rPr/>
              <w:t>12</w:t>
            </w:r>
          </w:p>
        </w:tc>
        <w:tc>
          <w:tcPr>
            <w:tcW w:w="2220" w:type="dxa"/>
            <w:tcBorders/>
            <w:vAlign w:val="bottom"/>
          </w:tcPr>
          <w:p>
            <w:pPr>
              <w:pStyle w:val="Normal"/>
              <w:widowControl w:val="false"/>
              <w:tabs>
                <w:tab w:val="clear" w:pos="720"/>
              </w:tabs>
              <w:spacing w:before="0" w:after="120"/>
              <w:jc w:val="right"/>
              <w:rPr>
                <w:rFonts w:ascii="Calibri" w:hAnsi="Calibri"/>
              </w:rPr>
            </w:pPr>
            <w:r>
              <w:rPr/>
              <w:t>30,00</w:t>
            </w:r>
          </w:p>
        </w:tc>
        <w:tc>
          <w:tcPr>
            <w:tcW w:w="2259" w:type="dxa"/>
            <w:tcBorders/>
            <w:vAlign w:val="bottom"/>
          </w:tcPr>
          <w:p>
            <w:pPr>
              <w:pStyle w:val="Normal"/>
              <w:widowControl w:val="false"/>
              <w:tabs>
                <w:tab w:val="clear" w:pos="720"/>
              </w:tabs>
              <w:spacing w:before="0" w:after="120"/>
              <w:jc w:val="right"/>
              <w:rPr>
                <w:rFonts w:ascii="Calibri" w:hAnsi="Calibri"/>
              </w:rPr>
            </w:pPr>
            <w:r>
              <w:rPr/>
              <w:t>360,00</w:t>
            </w:r>
          </w:p>
        </w:tc>
      </w:tr>
      <w:tr>
        <w:trPr>
          <w:trHeight w:val="300" w:hRule="atLeast"/>
        </w:trPr>
        <w:tc>
          <w:tcPr>
            <w:tcW w:w="855" w:type="dxa"/>
            <w:tcBorders/>
            <w:vAlign w:val="bottom"/>
          </w:tcPr>
          <w:p>
            <w:pPr>
              <w:pStyle w:val="Normal"/>
              <w:widowControl w:val="false"/>
              <w:tabs>
                <w:tab w:val="clear" w:pos="720"/>
              </w:tabs>
              <w:spacing w:before="0" w:after="120"/>
              <w:jc w:val="center"/>
              <w:rPr>
                <w:rFonts w:ascii="Calibri" w:hAnsi="Calibri"/>
              </w:rPr>
            </w:pPr>
            <w:r>
              <w:rPr/>
              <w:t>31</w:t>
            </w:r>
          </w:p>
        </w:tc>
        <w:tc>
          <w:tcPr>
            <w:tcW w:w="3585" w:type="dxa"/>
            <w:tcBorders/>
            <w:vAlign w:val="bottom"/>
          </w:tcPr>
          <w:p>
            <w:pPr>
              <w:pStyle w:val="Normal"/>
              <w:widowControl w:val="false"/>
              <w:tabs>
                <w:tab w:val="clear" w:pos="720"/>
              </w:tabs>
              <w:spacing w:before="0" w:after="120"/>
              <w:jc w:val="left"/>
              <w:rPr>
                <w:rFonts w:ascii="Calibri" w:hAnsi="Calibri"/>
              </w:rPr>
            </w:pPr>
            <w:r>
              <w:rPr/>
              <w:t>Κουβέρτα ημίδιπλη πικέ</w:t>
            </w:r>
          </w:p>
        </w:tc>
        <w:tc>
          <w:tcPr>
            <w:tcW w:w="1410" w:type="dxa"/>
            <w:tcBorders/>
            <w:vAlign w:val="bottom"/>
          </w:tcPr>
          <w:p>
            <w:pPr>
              <w:pStyle w:val="Normal"/>
              <w:widowControl w:val="false"/>
              <w:tabs>
                <w:tab w:val="clear" w:pos="720"/>
              </w:tabs>
              <w:spacing w:before="0" w:after="120"/>
              <w:jc w:val="center"/>
              <w:rPr>
                <w:rFonts w:ascii="Calibri" w:hAnsi="Calibri"/>
              </w:rPr>
            </w:pPr>
            <w:r>
              <w:rPr/>
              <w:t>12</w:t>
            </w:r>
          </w:p>
        </w:tc>
        <w:tc>
          <w:tcPr>
            <w:tcW w:w="2220" w:type="dxa"/>
            <w:tcBorders/>
            <w:vAlign w:val="bottom"/>
          </w:tcPr>
          <w:p>
            <w:pPr>
              <w:pStyle w:val="Normal"/>
              <w:widowControl w:val="false"/>
              <w:tabs>
                <w:tab w:val="clear" w:pos="720"/>
              </w:tabs>
              <w:spacing w:before="0" w:after="120"/>
              <w:jc w:val="right"/>
              <w:rPr>
                <w:rFonts w:ascii="Calibri" w:hAnsi="Calibri"/>
              </w:rPr>
            </w:pPr>
            <w:r>
              <w:rPr/>
              <w:t>32,90</w:t>
            </w:r>
          </w:p>
        </w:tc>
        <w:tc>
          <w:tcPr>
            <w:tcW w:w="2259" w:type="dxa"/>
            <w:tcBorders/>
            <w:vAlign w:val="bottom"/>
          </w:tcPr>
          <w:p>
            <w:pPr>
              <w:pStyle w:val="Normal"/>
              <w:widowControl w:val="false"/>
              <w:tabs>
                <w:tab w:val="clear" w:pos="720"/>
              </w:tabs>
              <w:spacing w:before="0" w:after="120"/>
              <w:jc w:val="right"/>
              <w:rPr>
                <w:rFonts w:ascii="Calibri" w:hAnsi="Calibri"/>
              </w:rPr>
            </w:pPr>
            <w:r>
              <w:rPr/>
              <w:t>394,80</w:t>
            </w:r>
          </w:p>
        </w:tc>
      </w:tr>
      <w:tr>
        <w:trPr>
          <w:trHeight w:val="300" w:hRule="atLeast"/>
        </w:trPr>
        <w:tc>
          <w:tcPr>
            <w:tcW w:w="855" w:type="dxa"/>
            <w:tcBorders/>
            <w:vAlign w:val="bottom"/>
          </w:tcPr>
          <w:p>
            <w:pPr>
              <w:pStyle w:val="Normal"/>
              <w:widowControl w:val="false"/>
              <w:tabs>
                <w:tab w:val="clear" w:pos="720"/>
              </w:tabs>
              <w:spacing w:before="0" w:after="120"/>
              <w:jc w:val="center"/>
              <w:rPr>
                <w:rFonts w:ascii="Calibri" w:hAnsi="Calibri"/>
              </w:rPr>
            </w:pPr>
            <w:r>
              <w:rPr/>
              <w:t>32</w:t>
            </w:r>
          </w:p>
        </w:tc>
        <w:tc>
          <w:tcPr>
            <w:tcW w:w="3585" w:type="dxa"/>
            <w:tcBorders/>
            <w:vAlign w:val="bottom"/>
          </w:tcPr>
          <w:p>
            <w:pPr>
              <w:pStyle w:val="Normal"/>
              <w:widowControl w:val="false"/>
              <w:tabs>
                <w:tab w:val="clear" w:pos="720"/>
              </w:tabs>
              <w:spacing w:before="0" w:after="120"/>
              <w:jc w:val="left"/>
              <w:rPr>
                <w:rFonts w:ascii="Calibri" w:hAnsi="Calibri"/>
              </w:rPr>
            </w:pPr>
            <w:r>
              <w:rPr/>
              <w:t>Πάπλωμα υπέρδιπλο</w:t>
            </w:r>
          </w:p>
        </w:tc>
        <w:tc>
          <w:tcPr>
            <w:tcW w:w="1410" w:type="dxa"/>
            <w:tcBorders/>
            <w:vAlign w:val="bottom"/>
          </w:tcPr>
          <w:p>
            <w:pPr>
              <w:pStyle w:val="Normal"/>
              <w:widowControl w:val="false"/>
              <w:tabs>
                <w:tab w:val="clear" w:pos="720"/>
              </w:tabs>
              <w:spacing w:before="0" w:after="120"/>
              <w:jc w:val="center"/>
              <w:rPr>
                <w:rFonts w:ascii="Calibri" w:hAnsi="Calibri"/>
              </w:rPr>
            </w:pPr>
            <w:r>
              <w:rPr/>
              <w:t>1</w:t>
            </w:r>
          </w:p>
        </w:tc>
        <w:tc>
          <w:tcPr>
            <w:tcW w:w="2220" w:type="dxa"/>
            <w:tcBorders/>
            <w:vAlign w:val="bottom"/>
          </w:tcPr>
          <w:p>
            <w:pPr>
              <w:pStyle w:val="Normal"/>
              <w:widowControl w:val="false"/>
              <w:tabs>
                <w:tab w:val="clear" w:pos="720"/>
              </w:tabs>
              <w:spacing w:before="0" w:after="120"/>
              <w:jc w:val="right"/>
              <w:rPr>
                <w:rFonts w:ascii="Calibri" w:hAnsi="Calibri"/>
              </w:rPr>
            </w:pPr>
            <w:r>
              <w:rPr/>
              <w:t>52,50</w:t>
            </w:r>
          </w:p>
        </w:tc>
        <w:tc>
          <w:tcPr>
            <w:tcW w:w="2259" w:type="dxa"/>
            <w:tcBorders/>
            <w:vAlign w:val="bottom"/>
          </w:tcPr>
          <w:p>
            <w:pPr>
              <w:pStyle w:val="Normal"/>
              <w:widowControl w:val="false"/>
              <w:tabs>
                <w:tab w:val="clear" w:pos="720"/>
              </w:tabs>
              <w:spacing w:before="0" w:after="120"/>
              <w:jc w:val="right"/>
              <w:rPr>
                <w:rFonts w:ascii="Calibri" w:hAnsi="Calibri"/>
              </w:rPr>
            </w:pPr>
            <w:r>
              <w:rPr/>
              <w:t>52,50</w:t>
            </w:r>
          </w:p>
        </w:tc>
      </w:tr>
      <w:tr>
        <w:trPr>
          <w:trHeight w:val="300" w:hRule="atLeast"/>
        </w:trPr>
        <w:tc>
          <w:tcPr>
            <w:tcW w:w="855" w:type="dxa"/>
            <w:tcBorders/>
            <w:vAlign w:val="bottom"/>
          </w:tcPr>
          <w:p>
            <w:pPr>
              <w:pStyle w:val="Normal"/>
              <w:widowControl w:val="false"/>
              <w:tabs>
                <w:tab w:val="clear" w:pos="720"/>
              </w:tabs>
              <w:spacing w:before="0" w:after="120"/>
              <w:jc w:val="center"/>
              <w:rPr>
                <w:rFonts w:ascii="Calibri" w:hAnsi="Calibri"/>
              </w:rPr>
            </w:pPr>
            <w:r>
              <w:rPr/>
              <w:t>33</w:t>
            </w:r>
          </w:p>
        </w:tc>
        <w:tc>
          <w:tcPr>
            <w:tcW w:w="3585" w:type="dxa"/>
            <w:tcBorders/>
            <w:vAlign w:val="bottom"/>
          </w:tcPr>
          <w:p>
            <w:pPr>
              <w:pStyle w:val="Normal"/>
              <w:widowControl w:val="false"/>
              <w:tabs>
                <w:tab w:val="clear" w:pos="720"/>
              </w:tabs>
              <w:spacing w:before="0" w:after="120"/>
              <w:jc w:val="left"/>
              <w:rPr>
                <w:rFonts w:ascii="Calibri" w:hAnsi="Calibri"/>
              </w:rPr>
            </w:pPr>
            <w:r>
              <w:rPr/>
              <w:t>Πάπλωμα διπλό</w:t>
            </w:r>
          </w:p>
        </w:tc>
        <w:tc>
          <w:tcPr>
            <w:tcW w:w="1410" w:type="dxa"/>
            <w:tcBorders/>
            <w:vAlign w:val="bottom"/>
          </w:tcPr>
          <w:p>
            <w:pPr>
              <w:pStyle w:val="Normal"/>
              <w:widowControl w:val="false"/>
              <w:tabs>
                <w:tab w:val="clear" w:pos="720"/>
              </w:tabs>
              <w:spacing w:before="0" w:after="120"/>
              <w:jc w:val="center"/>
              <w:rPr>
                <w:rFonts w:ascii="Calibri" w:hAnsi="Calibri"/>
              </w:rPr>
            </w:pPr>
            <w:r>
              <w:rPr/>
              <w:t>1</w:t>
            </w:r>
          </w:p>
        </w:tc>
        <w:tc>
          <w:tcPr>
            <w:tcW w:w="2220" w:type="dxa"/>
            <w:tcBorders/>
            <w:vAlign w:val="bottom"/>
          </w:tcPr>
          <w:p>
            <w:pPr>
              <w:pStyle w:val="Normal"/>
              <w:widowControl w:val="false"/>
              <w:tabs>
                <w:tab w:val="clear" w:pos="720"/>
              </w:tabs>
              <w:spacing w:before="0" w:after="120"/>
              <w:jc w:val="right"/>
              <w:rPr>
                <w:rFonts w:ascii="Calibri" w:hAnsi="Calibri"/>
              </w:rPr>
            </w:pPr>
            <w:r>
              <w:rPr/>
              <w:t>32,00</w:t>
            </w:r>
          </w:p>
        </w:tc>
        <w:tc>
          <w:tcPr>
            <w:tcW w:w="2259" w:type="dxa"/>
            <w:tcBorders/>
            <w:vAlign w:val="bottom"/>
          </w:tcPr>
          <w:p>
            <w:pPr>
              <w:pStyle w:val="Normal"/>
              <w:widowControl w:val="false"/>
              <w:tabs>
                <w:tab w:val="clear" w:pos="720"/>
              </w:tabs>
              <w:spacing w:before="0" w:after="120"/>
              <w:jc w:val="right"/>
              <w:rPr>
                <w:rFonts w:ascii="Calibri" w:hAnsi="Calibri"/>
              </w:rPr>
            </w:pPr>
            <w:r>
              <w:rPr/>
              <w:t>32,00</w:t>
            </w:r>
          </w:p>
        </w:tc>
      </w:tr>
      <w:tr>
        <w:trPr>
          <w:trHeight w:val="300" w:hRule="atLeast"/>
        </w:trPr>
        <w:tc>
          <w:tcPr>
            <w:tcW w:w="855" w:type="dxa"/>
            <w:tcBorders/>
            <w:vAlign w:val="bottom"/>
          </w:tcPr>
          <w:p>
            <w:pPr>
              <w:pStyle w:val="Normal"/>
              <w:widowControl w:val="false"/>
              <w:tabs>
                <w:tab w:val="clear" w:pos="720"/>
              </w:tabs>
              <w:spacing w:before="0" w:after="120"/>
              <w:jc w:val="center"/>
              <w:rPr>
                <w:rFonts w:ascii="Calibri" w:hAnsi="Calibri"/>
              </w:rPr>
            </w:pPr>
            <w:r>
              <w:rPr/>
              <w:t>34</w:t>
            </w:r>
          </w:p>
        </w:tc>
        <w:tc>
          <w:tcPr>
            <w:tcW w:w="3585" w:type="dxa"/>
            <w:tcBorders/>
            <w:vAlign w:val="bottom"/>
          </w:tcPr>
          <w:p>
            <w:pPr>
              <w:pStyle w:val="Normal"/>
              <w:widowControl w:val="false"/>
              <w:tabs>
                <w:tab w:val="clear" w:pos="720"/>
              </w:tabs>
              <w:spacing w:before="0" w:after="120"/>
              <w:jc w:val="left"/>
              <w:rPr>
                <w:rFonts w:ascii="Calibri" w:hAnsi="Calibri"/>
              </w:rPr>
            </w:pPr>
            <w:r>
              <w:rPr/>
              <w:t>Πάπλωμα μονό</w:t>
            </w:r>
          </w:p>
        </w:tc>
        <w:tc>
          <w:tcPr>
            <w:tcW w:w="1410" w:type="dxa"/>
            <w:tcBorders/>
            <w:vAlign w:val="bottom"/>
          </w:tcPr>
          <w:p>
            <w:pPr>
              <w:pStyle w:val="Normal"/>
              <w:widowControl w:val="false"/>
              <w:tabs>
                <w:tab w:val="clear" w:pos="720"/>
              </w:tabs>
              <w:spacing w:before="0" w:after="120"/>
              <w:jc w:val="center"/>
              <w:rPr>
                <w:rFonts w:ascii="Calibri" w:hAnsi="Calibri"/>
              </w:rPr>
            </w:pPr>
            <w:r>
              <w:rPr/>
              <w:t>6</w:t>
            </w:r>
          </w:p>
        </w:tc>
        <w:tc>
          <w:tcPr>
            <w:tcW w:w="2220" w:type="dxa"/>
            <w:tcBorders/>
            <w:vAlign w:val="bottom"/>
          </w:tcPr>
          <w:p>
            <w:pPr>
              <w:pStyle w:val="Normal"/>
              <w:widowControl w:val="false"/>
              <w:tabs>
                <w:tab w:val="clear" w:pos="720"/>
              </w:tabs>
              <w:spacing w:before="0" w:after="120"/>
              <w:jc w:val="right"/>
              <w:rPr>
                <w:rFonts w:ascii="Calibri" w:hAnsi="Calibri"/>
              </w:rPr>
            </w:pPr>
            <w:r>
              <w:rPr/>
              <w:t>30,00</w:t>
            </w:r>
          </w:p>
        </w:tc>
        <w:tc>
          <w:tcPr>
            <w:tcW w:w="2259" w:type="dxa"/>
            <w:tcBorders/>
            <w:vAlign w:val="bottom"/>
          </w:tcPr>
          <w:p>
            <w:pPr>
              <w:pStyle w:val="Normal"/>
              <w:widowControl w:val="false"/>
              <w:tabs>
                <w:tab w:val="clear" w:pos="720"/>
              </w:tabs>
              <w:spacing w:before="0" w:after="120"/>
              <w:jc w:val="right"/>
              <w:rPr>
                <w:rFonts w:ascii="Calibri" w:hAnsi="Calibri"/>
              </w:rPr>
            </w:pPr>
            <w:r>
              <w:rPr/>
              <w:t>180,00</w:t>
            </w:r>
          </w:p>
        </w:tc>
      </w:tr>
      <w:tr>
        <w:trPr>
          <w:trHeight w:val="300" w:hRule="atLeast"/>
        </w:trPr>
        <w:tc>
          <w:tcPr>
            <w:tcW w:w="855" w:type="dxa"/>
            <w:tcBorders/>
            <w:vAlign w:val="bottom"/>
          </w:tcPr>
          <w:p>
            <w:pPr>
              <w:pStyle w:val="Normal"/>
              <w:widowControl w:val="false"/>
              <w:tabs>
                <w:tab w:val="clear" w:pos="720"/>
              </w:tabs>
              <w:spacing w:before="0" w:after="120"/>
              <w:jc w:val="center"/>
              <w:rPr>
                <w:rFonts w:ascii="Calibri" w:hAnsi="Calibri"/>
              </w:rPr>
            </w:pPr>
            <w:r>
              <w:rPr/>
              <w:t>35</w:t>
            </w:r>
          </w:p>
        </w:tc>
        <w:tc>
          <w:tcPr>
            <w:tcW w:w="3585" w:type="dxa"/>
            <w:tcBorders/>
            <w:vAlign w:val="bottom"/>
          </w:tcPr>
          <w:p>
            <w:pPr>
              <w:pStyle w:val="Normal"/>
              <w:widowControl w:val="false"/>
              <w:tabs>
                <w:tab w:val="clear" w:pos="720"/>
              </w:tabs>
              <w:spacing w:before="0" w:after="120"/>
              <w:jc w:val="left"/>
              <w:rPr>
                <w:rFonts w:ascii="Calibri" w:hAnsi="Calibri"/>
              </w:rPr>
            </w:pPr>
            <w:r>
              <w:rPr/>
              <w:t>Παπλωματοθήκη υπέρδιπλη</w:t>
            </w:r>
          </w:p>
        </w:tc>
        <w:tc>
          <w:tcPr>
            <w:tcW w:w="1410" w:type="dxa"/>
            <w:tcBorders/>
            <w:vAlign w:val="bottom"/>
          </w:tcPr>
          <w:p>
            <w:pPr>
              <w:pStyle w:val="Normal"/>
              <w:widowControl w:val="false"/>
              <w:tabs>
                <w:tab w:val="clear" w:pos="720"/>
              </w:tabs>
              <w:spacing w:before="0" w:after="120"/>
              <w:jc w:val="center"/>
              <w:rPr>
                <w:rFonts w:ascii="Calibri" w:hAnsi="Calibri"/>
              </w:rPr>
            </w:pPr>
            <w:r>
              <w:rPr/>
              <w:t>3</w:t>
            </w:r>
          </w:p>
        </w:tc>
        <w:tc>
          <w:tcPr>
            <w:tcW w:w="2220" w:type="dxa"/>
            <w:tcBorders/>
            <w:vAlign w:val="bottom"/>
          </w:tcPr>
          <w:p>
            <w:pPr>
              <w:pStyle w:val="Normal"/>
              <w:widowControl w:val="false"/>
              <w:tabs>
                <w:tab w:val="clear" w:pos="720"/>
              </w:tabs>
              <w:spacing w:before="0" w:after="120"/>
              <w:jc w:val="right"/>
              <w:rPr>
                <w:rFonts w:ascii="Calibri" w:hAnsi="Calibri"/>
              </w:rPr>
            </w:pPr>
            <w:r>
              <w:rPr/>
              <w:t>52,00</w:t>
            </w:r>
          </w:p>
        </w:tc>
        <w:tc>
          <w:tcPr>
            <w:tcW w:w="2259" w:type="dxa"/>
            <w:tcBorders/>
            <w:vAlign w:val="bottom"/>
          </w:tcPr>
          <w:p>
            <w:pPr>
              <w:pStyle w:val="Normal"/>
              <w:widowControl w:val="false"/>
              <w:tabs>
                <w:tab w:val="clear" w:pos="720"/>
              </w:tabs>
              <w:spacing w:before="0" w:after="120"/>
              <w:jc w:val="right"/>
              <w:rPr>
                <w:rFonts w:ascii="Calibri" w:hAnsi="Calibri"/>
              </w:rPr>
            </w:pPr>
            <w:r>
              <w:rPr/>
              <w:t>156,00</w:t>
            </w:r>
          </w:p>
        </w:tc>
      </w:tr>
      <w:tr>
        <w:trPr>
          <w:trHeight w:val="300" w:hRule="atLeast"/>
        </w:trPr>
        <w:tc>
          <w:tcPr>
            <w:tcW w:w="855" w:type="dxa"/>
            <w:tcBorders/>
            <w:vAlign w:val="bottom"/>
          </w:tcPr>
          <w:p>
            <w:pPr>
              <w:pStyle w:val="Normal"/>
              <w:widowControl w:val="false"/>
              <w:tabs>
                <w:tab w:val="clear" w:pos="720"/>
              </w:tabs>
              <w:spacing w:before="0" w:after="120"/>
              <w:jc w:val="center"/>
              <w:rPr>
                <w:rFonts w:ascii="Calibri" w:hAnsi="Calibri"/>
              </w:rPr>
            </w:pPr>
            <w:r>
              <w:rPr/>
              <w:t>36</w:t>
            </w:r>
          </w:p>
        </w:tc>
        <w:tc>
          <w:tcPr>
            <w:tcW w:w="3585" w:type="dxa"/>
            <w:tcBorders/>
            <w:vAlign w:val="bottom"/>
          </w:tcPr>
          <w:p>
            <w:pPr>
              <w:pStyle w:val="Normal"/>
              <w:widowControl w:val="false"/>
              <w:tabs>
                <w:tab w:val="clear" w:pos="720"/>
              </w:tabs>
              <w:spacing w:before="0" w:after="120"/>
              <w:jc w:val="left"/>
              <w:rPr>
                <w:rFonts w:ascii="Calibri" w:hAnsi="Calibri"/>
              </w:rPr>
            </w:pPr>
            <w:r>
              <w:rPr/>
              <w:t>Παπλωματοθήκη διπλή</w:t>
            </w:r>
          </w:p>
        </w:tc>
        <w:tc>
          <w:tcPr>
            <w:tcW w:w="1410" w:type="dxa"/>
            <w:tcBorders/>
            <w:vAlign w:val="bottom"/>
          </w:tcPr>
          <w:p>
            <w:pPr>
              <w:pStyle w:val="Normal"/>
              <w:widowControl w:val="false"/>
              <w:tabs>
                <w:tab w:val="clear" w:pos="720"/>
              </w:tabs>
              <w:spacing w:before="0" w:after="120"/>
              <w:jc w:val="center"/>
              <w:rPr>
                <w:rFonts w:ascii="Calibri" w:hAnsi="Calibri"/>
              </w:rPr>
            </w:pPr>
            <w:r>
              <w:rPr/>
              <w:t>3</w:t>
            </w:r>
          </w:p>
        </w:tc>
        <w:tc>
          <w:tcPr>
            <w:tcW w:w="2220" w:type="dxa"/>
            <w:tcBorders/>
            <w:vAlign w:val="bottom"/>
          </w:tcPr>
          <w:p>
            <w:pPr>
              <w:pStyle w:val="Normal"/>
              <w:widowControl w:val="false"/>
              <w:tabs>
                <w:tab w:val="clear" w:pos="720"/>
              </w:tabs>
              <w:spacing w:before="0" w:after="120"/>
              <w:jc w:val="right"/>
              <w:rPr>
                <w:rFonts w:ascii="Calibri" w:hAnsi="Calibri"/>
              </w:rPr>
            </w:pPr>
            <w:r>
              <w:rPr/>
              <w:t>25,00</w:t>
            </w:r>
          </w:p>
        </w:tc>
        <w:tc>
          <w:tcPr>
            <w:tcW w:w="2259" w:type="dxa"/>
            <w:tcBorders/>
            <w:vAlign w:val="bottom"/>
          </w:tcPr>
          <w:p>
            <w:pPr>
              <w:pStyle w:val="Normal"/>
              <w:widowControl w:val="false"/>
              <w:tabs>
                <w:tab w:val="clear" w:pos="720"/>
              </w:tabs>
              <w:spacing w:before="0" w:after="120"/>
              <w:jc w:val="right"/>
              <w:rPr>
                <w:rFonts w:ascii="Calibri" w:hAnsi="Calibri"/>
              </w:rPr>
            </w:pPr>
            <w:r>
              <w:rPr/>
              <w:t>75,00</w:t>
            </w:r>
          </w:p>
        </w:tc>
      </w:tr>
      <w:tr>
        <w:trPr>
          <w:trHeight w:val="300" w:hRule="atLeast"/>
        </w:trPr>
        <w:tc>
          <w:tcPr>
            <w:tcW w:w="855" w:type="dxa"/>
            <w:tcBorders/>
            <w:vAlign w:val="bottom"/>
          </w:tcPr>
          <w:p>
            <w:pPr>
              <w:pStyle w:val="Normal"/>
              <w:widowControl w:val="false"/>
              <w:tabs>
                <w:tab w:val="clear" w:pos="720"/>
              </w:tabs>
              <w:spacing w:before="0" w:after="120"/>
              <w:jc w:val="center"/>
              <w:rPr>
                <w:rFonts w:ascii="Calibri" w:hAnsi="Calibri"/>
              </w:rPr>
            </w:pPr>
            <w:r>
              <w:rPr/>
              <w:t>37</w:t>
            </w:r>
          </w:p>
        </w:tc>
        <w:tc>
          <w:tcPr>
            <w:tcW w:w="3585" w:type="dxa"/>
            <w:tcBorders/>
            <w:vAlign w:val="bottom"/>
          </w:tcPr>
          <w:p>
            <w:pPr>
              <w:pStyle w:val="Normal"/>
              <w:widowControl w:val="false"/>
              <w:tabs>
                <w:tab w:val="clear" w:pos="720"/>
              </w:tabs>
              <w:spacing w:before="0" w:after="120"/>
              <w:jc w:val="left"/>
              <w:rPr>
                <w:rFonts w:ascii="Calibri" w:hAnsi="Calibri"/>
              </w:rPr>
            </w:pPr>
            <w:r>
              <w:rPr/>
              <w:t>Παπλωματοθήκη μονή</w:t>
            </w:r>
          </w:p>
        </w:tc>
        <w:tc>
          <w:tcPr>
            <w:tcW w:w="1410" w:type="dxa"/>
            <w:tcBorders/>
            <w:vAlign w:val="bottom"/>
          </w:tcPr>
          <w:p>
            <w:pPr>
              <w:pStyle w:val="Normal"/>
              <w:widowControl w:val="false"/>
              <w:tabs>
                <w:tab w:val="clear" w:pos="720"/>
              </w:tabs>
              <w:spacing w:before="0" w:after="120"/>
              <w:jc w:val="center"/>
              <w:rPr>
                <w:rFonts w:ascii="Calibri" w:hAnsi="Calibri"/>
              </w:rPr>
            </w:pPr>
            <w:r>
              <w:rPr/>
              <w:t>16</w:t>
            </w:r>
          </w:p>
        </w:tc>
        <w:tc>
          <w:tcPr>
            <w:tcW w:w="2220" w:type="dxa"/>
            <w:tcBorders/>
            <w:vAlign w:val="bottom"/>
          </w:tcPr>
          <w:p>
            <w:pPr>
              <w:pStyle w:val="Normal"/>
              <w:widowControl w:val="false"/>
              <w:tabs>
                <w:tab w:val="clear" w:pos="720"/>
              </w:tabs>
              <w:spacing w:before="0" w:after="120"/>
              <w:jc w:val="right"/>
              <w:rPr>
                <w:rFonts w:ascii="Calibri" w:hAnsi="Calibri"/>
              </w:rPr>
            </w:pPr>
            <w:r>
              <w:rPr/>
              <w:t>23,00</w:t>
            </w:r>
          </w:p>
        </w:tc>
        <w:tc>
          <w:tcPr>
            <w:tcW w:w="2259" w:type="dxa"/>
            <w:tcBorders/>
            <w:vAlign w:val="bottom"/>
          </w:tcPr>
          <w:p>
            <w:pPr>
              <w:pStyle w:val="Normal"/>
              <w:widowControl w:val="false"/>
              <w:tabs>
                <w:tab w:val="clear" w:pos="720"/>
              </w:tabs>
              <w:spacing w:before="0" w:after="120"/>
              <w:jc w:val="right"/>
              <w:rPr>
                <w:rFonts w:ascii="Calibri" w:hAnsi="Calibri"/>
              </w:rPr>
            </w:pPr>
            <w:r>
              <w:rPr/>
              <w:t>368,00</w:t>
            </w:r>
          </w:p>
        </w:tc>
      </w:tr>
      <w:tr>
        <w:trPr>
          <w:trHeight w:val="276" w:hRule="atLeast"/>
        </w:trPr>
        <w:tc>
          <w:tcPr>
            <w:tcW w:w="855" w:type="dxa"/>
            <w:tcBorders/>
            <w:vAlign w:val="bottom"/>
          </w:tcPr>
          <w:p>
            <w:pPr>
              <w:pStyle w:val="Normal"/>
              <w:widowControl w:val="false"/>
              <w:tabs>
                <w:tab w:val="clear" w:pos="720"/>
              </w:tabs>
              <w:spacing w:before="0" w:after="120"/>
              <w:jc w:val="center"/>
              <w:rPr>
                <w:rFonts w:ascii="Calibri" w:hAnsi="Calibri"/>
              </w:rPr>
            </w:pPr>
            <w:r>
              <w:rPr/>
            </w:r>
          </w:p>
        </w:tc>
        <w:tc>
          <w:tcPr>
            <w:tcW w:w="3585" w:type="dxa"/>
            <w:tcBorders/>
            <w:vAlign w:val="bottom"/>
          </w:tcPr>
          <w:p>
            <w:pPr>
              <w:pStyle w:val="Normal"/>
              <w:widowControl w:val="false"/>
              <w:tabs>
                <w:tab w:val="clear" w:pos="720"/>
              </w:tabs>
              <w:spacing w:before="0" w:after="120"/>
              <w:jc w:val="left"/>
              <w:rPr>
                <w:rFonts w:ascii="Calibri" w:hAnsi="Calibri"/>
              </w:rPr>
            </w:pPr>
            <w:r>
              <w:rPr/>
            </w:r>
          </w:p>
        </w:tc>
        <w:tc>
          <w:tcPr>
            <w:tcW w:w="1410" w:type="dxa"/>
            <w:tcBorders/>
            <w:vAlign w:val="bottom"/>
          </w:tcPr>
          <w:p>
            <w:pPr>
              <w:pStyle w:val="Normal"/>
              <w:widowControl w:val="false"/>
              <w:tabs>
                <w:tab w:val="clear" w:pos="720"/>
              </w:tabs>
              <w:spacing w:before="0" w:after="120"/>
              <w:jc w:val="center"/>
              <w:rPr>
                <w:rFonts w:ascii="Calibri" w:hAnsi="Calibri"/>
              </w:rPr>
            </w:pPr>
            <w:r>
              <w:rPr/>
            </w:r>
          </w:p>
        </w:tc>
        <w:tc>
          <w:tcPr>
            <w:tcW w:w="2220" w:type="dxa"/>
            <w:tcBorders/>
            <w:vAlign w:val="bottom"/>
          </w:tcPr>
          <w:p>
            <w:pPr>
              <w:pStyle w:val="Normal"/>
              <w:widowControl w:val="false"/>
              <w:tabs>
                <w:tab w:val="clear" w:pos="720"/>
              </w:tabs>
              <w:spacing w:before="0" w:after="120"/>
              <w:jc w:val="left"/>
              <w:rPr>
                <w:rFonts w:ascii="Calibri" w:hAnsi="Calibri"/>
              </w:rPr>
            </w:pPr>
            <w:r>
              <w:rPr/>
            </w:r>
          </w:p>
        </w:tc>
        <w:tc>
          <w:tcPr>
            <w:tcW w:w="2259" w:type="dxa"/>
            <w:tcBorders/>
            <w:vAlign w:val="bottom"/>
          </w:tcPr>
          <w:p>
            <w:pPr>
              <w:pStyle w:val="Normal"/>
              <w:widowControl w:val="false"/>
              <w:tabs>
                <w:tab w:val="clear" w:pos="720"/>
              </w:tabs>
              <w:spacing w:before="0" w:after="120"/>
              <w:jc w:val="left"/>
              <w:rPr>
                <w:rFonts w:ascii="Calibri" w:hAnsi="Calibri"/>
              </w:rPr>
            </w:pPr>
            <w:r>
              <w:rPr/>
            </w:r>
          </w:p>
        </w:tc>
      </w:tr>
      <w:tr>
        <w:trPr>
          <w:trHeight w:val="300" w:hRule="atLeast"/>
        </w:trPr>
        <w:tc>
          <w:tcPr>
            <w:tcW w:w="855" w:type="dxa"/>
            <w:tcBorders/>
            <w:vAlign w:val="bottom"/>
          </w:tcPr>
          <w:p>
            <w:pPr>
              <w:pStyle w:val="Normal"/>
              <w:widowControl w:val="false"/>
              <w:tabs>
                <w:tab w:val="clear" w:pos="720"/>
              </w:tabs>
              <w:spacing w:before="0" w:after="120"/>
              <w:jc w:val="center"/>
              <w:rPr>
                <w:rFonts w:ascii="Calibri" w:hAnsi="Calibri"/>
              </w:rPr>
            </w:pPr>
            <w:r>
              <w:rPr/>
            </w:r>
          </w:p>
        </w:tc>
        <w:tc>
          <w:tcPr>
            <w:tcW w:w="3585" w:type="dxa"/>
            <w:tcBorders/>
            <w:vAlign w:val="bottom"/>
          </w:tcPr>
          <w:p>
            <w:pPr>
              <w:pStyle w:val="Normal"/>
              <w:widowControl w:val="false"/>
              <w:tabs>
                <w:tab w:val="clear" w:pos="720"/>
              </w:tabs>
              <w:spacing w:before="0" w:after="120"/>
              <w:jc w:val="left"/>
              <w:rPr>
                <w:rFonts w:ascii="Calibri" w:hAnsi="Calibri"/>
              </w:rPr>
            </w:pPr>
            <w:r>
              <w:rPr>
                <w:b/>
              </w:rPr>
              <w:t>Πετσέτες μπάνιου και κουζίνας</w:t>
            </w:r>
          </w:p>
        </w:tc>
        <w:tc>
          <w:tcPr>
            <w:tcW w:w="1410" w:type="dxa"/>
            <w:tcBorders/>
            <w:vAlign w:val="bottom"/>
          </w:tcPr>
          <w:p>
            <w:pPr>
              <w:pStyle w:val="Normal"/>
              <w:widowControl w:val="false"/>
              <w:tabs>
                <w:tab w:val="clear" w:pos="720"/>
              </w:tabs>
              <w:spacing w:before="0" w:after="120"/>
              <w:jc w:val="left"/>
              <w:rPr>
                <w:rFonts w:ascii="Calibri" w:hAnsi="Calibri"/>
              </w:rPr>
            </w:pPr>
            <w:r>
              <w:rPr/>
            </w:r>
          </w:p>
        </w:tc>
        <w:tc>
          <w:tcPr>
            <w:tcW w:w="2220" w:type="dxa"/>
            <w:tcBorders/>
            <w:vAlign w:val="bottom"/>
          </w:tcPr>
          <w:p>
            <w:pPr>
              <w:pStyle w:val="Normal"/>
              <w:widowControl w:val="false"/>
              <w:tabs>
                <w:tab w:val="clear" w:pos="720"/>
              </w:tabs>
              <w:spacing w:before="0" w:after="120"/>
              <w:jc w:val="left"/>
              <w:rPr>
                <w:rFonts w:ascii="Calibri" w:hAnsi="Calibri"/>
              </w:rPr>
            </w:pPr>
            <w:r>
              <w:rPr/>
            </w:r>
          </w:p>
        </w:tc>
        <w:tc>
          <w:tcPr>
            <w:tcW w:w="2259" w:type="dxa"/>
            <w:tcBorders/>
            <w:vAlign w:val="bottom"/>
          </w:tcPr>
          <w:p>
            <w:pPr>
              <w:pStyle w:val="Normal"/>
              <w:widowControl w:val="false"/>
              <w:tabs>
                <w:tab w:val="clear" w:pos="720"/>
              </w:tabs>
              <w:spacing w:before="0" w:after="120"/>
              <w:jc w:val="left"/>
              <w:rPr>
                <w:rFonts w:ascii="Calibri" w:hAnsi="Calibri"/>
              </w:rPr>
            </w:pPr>
            <w:r>
              <w:rPr/>
            </w:r>
          </w:p>
        </w:tc>
      </w:tr>
      <w:tr>
        <w:trPr>
          <w:trHeight w:val="300" w:hRule="atLeast"/>
        </w:trPr>
        <w:tc>
          <w:tcPr>
            <w:tcW w:w="855" w:type="dxa"/>
            <w:tcBorders/>
            <w:vAlign w:val="bottom"/>
          </w:tcPr>
          <w:p>
            <w:pPr>
              <w:pStyle w:val="Normal"/>
              <w:widowControl w:val="false"/>
              <w:tabs>
                <w:tab w:val="clear" w:pos="720"/>
              </w:tabs>
              <w:spacing w:before="0" w:after="120"/>
              <w:jc w:val="center"/>
              <w:rPr>
                <w:rFonts w:ascii="Calibri" w:hAnsi="Calibri"/>
              </w:rPr>
            </w:pPr>
            <w:r>
              <w:rPr/>
              <w:t>38</w:t>
            </w:r>
          </w:p>
        </w:tc>
        <w:tc>
          <w:tcPr>
            <w:tcW w:w="3585" w:type="dxa"/>
            <w:tcBorders/>
            <w:vAlign w:val="bottom"/>
          </w:tcPr>
          <w:p>
            <w:pPr>
              <w:pStyle w:val="Normal"/>
              <w:widowControl w:val="false"/>
              <w:tabs>
                <w:tab w:val="clear" w:pos="720"/>
              </w:tabs>
              <w:spacing w:before="0" w:after="120"/>
              <w:jc w:val="left"/>
              <w:rPr>
                <w:rFonts w:ascii="Calibri" w:hAnsi="Calibri"/>
              </w:rPr>
            </w:pPr>
            <w:r>
              <w:rPr/>
              <w:t>Σετ πετσέτες μπάνιου</w:t>
            </w:r>
          </w:p>
        </w:tc>
        <w:tc>
          <w:tcPr>
            <w:tcW w:w="1410" w:type="dxa"/>
            <w:tcBorders/>
            <w:vAlign w:val="bottom"/>
          </w:tcPr>
          <w:p>
            <w:pPr>
              <w:pStyle w:val="Normal"/>
              <w:widowControl w:val="false"/>
              <w:tabs>
                <w:tab w:val="clear" w:pos="720"/>
              </w:tabs>
              <w:spacing w:before="0" w:after="120"/>
              <w:jc w:val="center"/>
              <w:rPr>
                <w:rFonts w:ascii="Calibri" w:hAnsi="Calibri"/>
              </w:rPr>
            </w:pPr>
            <w:r>
              <w:rPr/>
              <w:t>18</w:t>
            </w:r>
          </w:p>
        </w:tc>
        <w:tc>
          <w:tcPr>
            <w:tcW w:w="2220" w:type="dxa"/>
            <w:tcBorders/>
            <w:vAlign w:val="bottom"/>
          </w:tcPr>
          <w:p>
            <w:pPr>
              <w:pStyle w:val="Normal"/>
              <w:widowControl w:val="false"/>
              <w:tabs>
                <w:tab w:val="clear" w:pos="720"/>
              </w:tabs>
              <w:spacing w:before="0" w:after="120"/>
              <w:jc w:val="right"/>
              <w:rPr>
                <w:rFonts w:ascii="Calibri" w:hAnsi="Calibri"/>
              </w:rPr>
            </w:pPr>
            <w:r>
              <w:rPr/>
              <w:t>13,20</w:t>
            </w:r>
          </w:p>
        </w:tc>
        <w:tc>
          <w:tcPr>
            <w:tcW w:w="2259" w:type="dxa"/>
            <w:tcBorders/>
            <w:vAlign w:val="bottom"/>
          </w:tcPr>
          <w:p>
            <w:pPr>
              <w:pStyle w:val="Normal"/>
              <w:widowControl w:val="false"/>
              <w:tabs>
                <w:tab w:val="clear" w:pos="720"/>
              </w:tabs>
              <w:spacing w:before="0" w:after="120"/>
              <w:jc w:val="right"/>
              <w:rPr>
                <w:rFonts w:ascii="Calibri" w:hAnsi="Calibri"/>
              </w:rPr>
            </w:pPr>
            <w:r>
              <w:rPr/>
              <w:t>237,60</w:t>
            </w:r>
          </w:p>
        </w:tc>
      </w:tr>
      <w:tr>
        <w:trPr>
          <w:trHeight w:val="300" w:hRule="atLeast"/>
        </w:trPr>
        <w:tc>
          <w:tcPr>
            <w:tcW w:w="855" w:type="dxa"/>
            <w:tcBorders/>
            <w:vAlign w:val="bottom"/>
          </w:tcPr>
          <w:p>
            <w:pPr>
              <w:pStyle w:val="Normal"/>
              <w:widowControl w:val="false"/>
              <w:tabs>
                <w:tab w:val="clear" w:pos="720"/>
              </w:tabs>
              <w:spacing w:before="0" w:after="120"/>
              <w:jc w:val="center"/>
              <w:rPr>
                <w:rFonts w:ascii="Calibri" w:hAnsi="Calibri"/>
              </w:rPr>
            </w:pPr>
            <w:r>
              <w:rPr/>
              <w:t>39</w:t>
            </w:r>
          </w:p>
        </w:tc>
        <w:tc>
          <w:tcPr>
            <w:tcW w:w="3585" w:type="dxa"/>
            <w:tcBorders/>
            <w:vAlign w:val="bottom"/>
          </w:tcPr>
          <w:p>
            <w:pPr>
              <w:pStyle w:val="Normal"/>
              <w:widowControl w:val="false"/>
              <w:tabs>
                <w:tab w:val="clear" w:pos="720"/>
              </w:tabs>
              <w:spacing w:before="0" w:after="120"/>
              <w:jc w:val="left"/>
              <w:rPr>
                <w:rFonts w:ascii="Calibri" w:hAnsi="Calibri"/>
              </w:rPr>
            </w:pPr>
            <w:r>
              <w:rPr/>
              <w:t>Σετ πετσέτες κουζίνας</w:t>
            </w:r>
          </w:p>
        </w:tc>
        <w:tc>
          <w:tcPr>
            <w:tcW w:w="1410" w:type="dxa"/>
            <w:tcBorders/>
            <w:vAlign w:val="bottom"/>
          </w:tcPr>
          <w:p>
            <w:pPr>
              <w:pStyle w:val="Normal"/>
              <w:widowControl w:val="false"/>
              <w:tabs>
                <w:tab w:val="clear" w:pos="720"/>
              </w:tabs>
              <w:spacing w:before="0" w:after="120"/>
              <w:jc w:val="center"/>
              <w:rPr>
                <w:rFonts w:ascii="Calibri" w:hAnsi="Calibri"/>
              </w:rPr>
            </w:pPr>
            <w:r>
              <w:rPr/>
              <w:t>12</w:t>
            </w:r>
          </w:p>
        </w:tc>
        <w:tc>
          <w:tcPr>
            <w:tcW w:w="2220" w:type="dxa"/>
            <w:tcBorders/>
            <w:vAlign w:val="bottom"/>
          </w:tcPr>
          <w:p>
            <w:pPr>
              <w:pStyle w:val="Normal"/>
              <w:widowControl w:val="false"/>
              <w:tabs>
                <w:tab w:val="clear" w:pos="720"/>
              </w:tabs>
              <w:spacing w:before="0" w:after="120"/>
              <w:jc w:val="right"/>
              <w:rPr>
                <w:rFonts w:ascii="Calibri" w:hAnsi="Calibri"/>
              </w:rPr>
            </w:pPr>
            <w:r>
              <w:rPr/>
              <w:t>2,50</w:t>
            </w:r>
          </w:p>
        </w:tc>
        <w:tc>
          <w:tcPr>
            <w:tcW w:w="2259" w:type="dxa"/>
            <w:tcBorders/>
            <w:vAlign w:val="bottom"/>
          </w:tcPr>
          <w:p>
            <w:pPr>
              <w:pStyle w:val="Normal"/>
              <w:widowControl w:val="false"/>
              <w:tabs>
                <w:tab w:val="clear" w:pos="720"/>
              </w:tabs>
              <w:spacing w:before="0" w:after="120"/>
              <w:jc w:val="right"/>
              <w:rPr>
                <w:rFonts w:ascii="Calibri" w:hAnsi="Calibri"/>
              </w:rPr>
            </w:pPr>
            <w:r>
              <w:rPr/>
              <w:t>30,00</w:t>
            </w:r>
          </w:p>
        </w:tc>
      </w:tr>
      <w:tr>
        <w:trPr>
          <w:trHeight w:val="300" w:hRule="atLeast"/>
        </w:trPr>
        <w:tc>
          <w:tcPr>
            <w:tcW w:w="855" w:type="dxa"/>
            <w:tcBorders/>
            <w:vAlign w:val="bottom"/>
          </w:tcPr>
          <w:p>
            <w:pPr>
              <w:pStyle w:val="Normal"/>
              <w:widowControl w:val="false"/>
              <w:tabs>
                <w:tab w:val="clear" w:pos="720"/>
              </w:tabs>
              <w:spacing w:before="0" w:after="120"/>
              <w:jc w:val="center"/>
              <w:rPr>
                <w:rFonts w:ascii="Calibri" w:hAnsi="Calibri"/>
              </w:rPr>
            </w:pPr>
            <w:r>
              <w:rPr/>
              <w:t>40</w:t>
            </w:r>
          </w:p>
        </w:tc>
        <w:tc>
          <w:tcPr>
            <w:tcW w:w="3585" w:type="dxa"/>
            <w:tcBorders/>
            <w:vAlign w:val="bottom"/>
          </w:tcPr>
          <w:p>
            <w:pPr>
              <w:pStyle w:val="Normal"/>
              <w:widowControl w:val="false"/>
              <w:tabs>
                <w:tab w:val="clear" w:pos="720"/>
              </w:tabs>
              <w:spacing w:before="0" w:after="120"/>
              <w:jc w:val="left"/>
              <w:rPr>
                <w:rFonts w:ascii="Calibri" w:hAnsi="Calibri"/>
              </w:rPr>
            </w:pPr>
            <w:r>
              <w:rPr/>
              <w:t>Τραπεζομάντηλο φαγητού</w:t>
            </w:r>
          </w:p>
        </w:tc>
        <w:tc>
          <w:tcPr>
            <w:tcW w:w="1410" w:type="dxa"/>
            <w:tcBorders/>
            <w:vAlign w:val="bottom"/>
          </w:tcPr>
          <w:p>
            <w:pPr>
              <w:pStyle w:val="Normal"/>
              <w:widowControl w:val="false"/>
              <w:tabs>
                <w:tab w:val="clear" w:pos="720"/>
              </w:tabs>
              <w:spacing w:before="0" w:after="120"/>
              <w:jc w:val="center"/>
              <w:rPr>
                <w:rFonts w:ascii="Calibri" w:hAnsi="Calibri"/>
              </w:rPr>
            </w:pPr>
            <w:r>
              <w:rPr/>
              <w:t>9</w:t>
            </w:r>
          </w:p>
        </w:tc>
        <w:tc>
          <w:tcPr>
            <w:tcW w:w="2220" w:type="dxa"/>
            <w:tcBorders/>
            <w:vAlign w:val="bottom"/>
          </w:tcPr>
          <w:p>
            <w:pPr>
              <w:pStyle w:val="Normal"/>
              <w:widowControl w:val="false"/>
              <w:tabs>
                <w:tab w:val="clear" w:pos="720"/>
              </w:tabs>
              <w:spacing w:before="0" w:after="120"/>
              <w:jc w:val="right"/>
              <w:rPr>
                <w:rFonts w:ascii="Calibri" w:hAnsi="Calibri"/>
              </w:rPr>
            </w:pPr>
            <w:r>
              <w:rPr/>
              <w:t>7,45</w:t>
            </w:r>
          </w:p>
        </w:tc>
        <w:tc>
          <w:tcPr>
            <w:tcW w:w="2259" w:type="dxa"/>
            <w:tcBorders/>
            <w:vAlign w:val="bottom"/>
          </w:tcPr>
          <w:p>
            <w:pPr>
              <w:pStyle w:val="Normal"/>
              <w:widowControl w:val="false"/>
              <w:tabs>
                <w:tab w:val="clear" w:pos="720"/>
              </w:tabs>
              <w:spacing w:before="0" w:after="120"/>
              <w:jc w:val="right"/>
              <w:rPr>
                <w:rFonts w:ascii="Calibri" w:hAnsi="Calibri"/>
              </w:rPr>
            </w:pPr>
            <w:r>
              <w:rPr/>
              <w:t>67,05</w:t>
            </w:r>
          </w:p>
        </w:tc>
      </w:tr>
      <w:tr>
        <w:trPr>
          <w:trHeight w:val="300" w:hRule="atLeast"/>
        </w:trPr>
        <w:tc>
          <w:tcPr>
            <w:tcW w:w="855" w:type="dxa"/>
            <w:tcBorders/>
            <w:vAlign w:val="bottom"/>
          </w:tcPr>
          <w:p>
            <w:pPr>
              <w:pStyle w:val="Normal"/>
              <w:widowControl w:val="false"/>
              <w:tabs>
                <w:tab w:val="clear" w:pos="720"/>
              </w:tabs>
              <w:spacing w:before="0" w:after="120"/>
              <w:jc w:val="center"/>
              <w:rPr>
                <w:rFonts w:ascii="Calibri" w:hAnsi="Calibri"/>
              </w:rPr>
            </w:pPr>
            <w:r>
              <w:rPr/>
              <w:t>41</w:t>
            </w:r>
          </w:p>
        </w:tc>
        <w:tc>
          <w:tcPr>
            <w:tcW w:w="3585" w:type="dxa"/>
            <w:tcBorders/>
            <w:vAlign w:val="bottom"/>
          </w:tcPr>
          <w:p>
            <w:pPr>
              <w:pStyle w:val="Normal"/>
              <w:widowControl w:val="false"/>
              <w:tabs>
                <w:tab w:val="clear" w:pos="720"/>
              </w:tabs>
              <w:spacing w:before="0" w:after="120"/>
              <w:jc w:val="left"/>
              <w:rPr>
                <w:rFonts w:ascii="Calibri" w:hAnsi="Calibri"/>
              </w:rPr>
            </w:pPr>
            <w:r>
              <w:rPr/>
              <w:t>Τραπεζομάντηλο φιγούρας</w:t>
            </w:r>
          </w:p>
        </w:tc>
        <w:tc>
          <w:tcPr>
            <w:tcW w:w="1410" w:type="dxa"/>
            <w:tcBorders/>
            <w:vAlign w:val="bottom"/>
          </w:tcPr>
          <w:p>
            <w:pPr>
              <w:pStyle w:val="Normal"/>
              <w:widowControl w:val="false"/>
              <w:tabs>
                <w:tab w:val="clear" w:pos="720"/>
              </w:tabs>
              <w:spacing w:before="0" w:after="120"/>
              <w:jc w:val="center"/>
              <w:rPr>
                <w:rFonts w:ascii="Calibri" w:hAnsi="Calibri"/>
              </w:rPr>
            </w:pPr>
            <w:r>
              <w:rPr/>
              <w:t>6</w:t>
            </w:r>
          </w:p>
        </w:tc>
        <w:tc>
          <w:tcPr>
            <w:tcW w:w="2220" w:type="dxa"/>
            <w:tcBorders/>
            <w:vAlign w:val="bottom"/>
          </w:tcPr>
          <w:p>
            <w:pPr>
              <w:pStyle w:val="Normal"/>
              <w:widowControl w:val="false"/>
              <w:tabs>
                <w:tab w:val="clear" w:pos="720"/>
              </w:tabs>
              <w:spacing w:before="0" w:after="120"/>
              <w:jc w:val="right"/>
              <w:rPr>
                <w:rFonts w:ascii="Calibri" w:hAnsi="Calibri"/>
              </w:rPr>
            </w:pPr>
            <w:r>
              <w:rPr/>
              <w:t>18,90</w:t>
            </w:r>
          </w:p>
        </w:tc>
        <w:tc>
          <w:tcPr>
            <w:tcW w:w="2259" w:type="dxa"/>
            <w:tcBorders/>
            <w:vAlign w:val="bottom"/>
          </w:tcPr>
          <w:p>
            <w:pPr>
              <w:pStyle w:val="Normal"/>
              <w:widowControl w:val="false"/>
              <w:tabs>
                <w:tab w:val="clear" w:pos="720"/>
              </w:tabs>
              <w:spacing w:before="0" w:after="120"/>
              <w:jc w:val="right"/>
              <w:rPr>
                <w:rFonts w:ascii="Calibri" w:hAnsi="Calibri"/>
              </w:rPr>
            </w:pPr>
            <w:r>
              <w:rPr/>
              <w:t>113,40</w:t>
            </w:r>
          </w:p>
        </w:tc>
      </w:tr>
      <w:tr>
        <w:trPr>
          <w:trHeight w:val="276" w:hRule="atLeast"/>
        </w:trPr>
        <w:tc>
          <w:tcPr>
            <w:tcW w:w="855" w:type="dxa"/>
            <w:tcBorders/>
            <w:vAlign w:val="bottom"/>
          </w:tcPr>
          <w:p>
            <w:pPr>
              <w:pStyle w:val="Normal"/>
              <w:widowControl w:val="false"/>
              <w:tabs>
                <w:tab w:val="clear" w:pos="720"/>
              </w:tabs>
              <w:spacing w:before="0" w:after="120"/>
              <w:jc w:val="center"/>
              <w:rPr>
                <w:rFonts w:ascii="Calibri" w:hAnsi="Calibri"/>
              </w:rPr>
            </w:pPr>
            <w:r>
              <w:rPr/>
            </w:r>
          </w:p>
        </w:tc>
        <w:tc>
          <w:tcPr>
            <w:tcW w:w="3585" w:type="dxa"/>
            <w:tcBorders/>
            <w:vAlign w:val="bottom"/>
          </w:tcPr>
          <w:p>
            <w:pPr>
              <w:pStyle w:val="Normal"/>
              <w:widowControl w:val="false"/>
              <w:tabs>
                <w:tab w:val="clear" w:pos="720"/>
              </w:tabs>
              <w:spacing w:before="0" w:after="120"/>
              <w:jc w:val="left"/>
              <w:rPr>
                <w:rFonts w:ascii="Calibri" w:hAnsi="Calibri"/>
              </w:rPr>
            </w:pPr>
            <w:r>
              <w:rPr/>
            </w:r>
          </w:p>
        </w:tc>
        <w:tc>
          <w:tcPr>
            <w:tcW w:w="1410" w:type="dxa"/>
            <w:tcBorders/>
            <w:vAlign w:val="bottom"/>
          </w:tcPr>
          <w:p>
            <w:pPr>
              <w:pStyle w:val="Normal"/>
              <w:widowControl w:val="false"/>
              <w:tabs>
                <w:tab w:val="clear" w:pos="720"/>
              </w:tabs>
              <w:spacing w:before="0" w:after="120"/>
              <w:jc w:val="center"/>
              <w:rPr>
                <w:rFonts w:ascii="Calibri" w:hAnsi="Calibri"/>
              </w:rPr>
            </w:pPr>
            <w:r>
              <w:rPr/>
            </w:r>
          </w:p>
        </w:tc>
        <w:tc>
          <w:tcPr>
            <w:tcW w:w="2220" w:type="dxa"/>
            <w:tcBorders/>
            <w:vAlign w:val="bottom"/>
          </w:tcPr>
          <w:p>
            <w:pPr>
              <w:pStyle w:val="Normal"/>
              <w:widowControl w:val="false"/>
              <w:tabs>
                <w:tab w:val="clear" w:pos="720"/>
              </w:tabs>
              <w:spacing w:before="0" w:after="120"/>
              <w:jc w:val="left"/>
              <w:rPr>
                <w:rFonts w:ascii="Calibri" w:hAnsi="Calibri"/>
              </w:rPr>
            </w:pPr>
            <w:r>
              <w:rPr/>
            </w:r>
          </w:p>
        </w:tc>
        <w:tc>
          <w:tcPr>
            <w:tcW w:w="2259" w:type="dxa"/>
            <w:tcBorders/>
            <w:vAlign w:val="bottom"/>
          </w:tcPr>
          <w:p>
            <w:pPr>
              <w:pStyle w:val="Normal"/>
              <w:widowControl w:val="false"/>
              <w:tabs>
                <w:tab w:val="clear" w:pos="720"/>
              </w:tabs>
              <w:spacing w:before="0" w:after="120"/>
              <w:jc w:val="left"/>
              <w:rPr>
                <w:rFonts w:ascii="Calibri" w:hAnsi="Calibri"/>
              </w:rPr>
            </w:pPr>
            <w:r>
              <w:rPr/>
            </w:r>
          </w:p>
        </w:tc>
      </w:tr>
      <w:tr>
        <w:trPr>
          <w:trHeight w:val="542" w:hRule="atLeast"/>
        </w:trPr>
        <w:tc>
          <w:tcPr>
            <w:tcW w:w="855" w:type="dxa"/>
            <w:tcBorders/>
            <w:vAlign w:val="bottom"/>
          </w:tcPr>
          <w:p>
            <w:pPr>
              <w:pStyle w:val="Normal"/>
              <w:widowControl w:val="false"/>
              <w:tabs>
                <w:tab w:val="clear" w:pos="720"/>
              </w:tabs>
              <w:spacing w:before="0" w:after="120"/>
              <w:jc w:val="center"/>
              <w:rPr>
                <w:rFonts w:ascii="Calibri" w:hAnsi="Calibri"/>
              </w:rPr>
            </w:pPr>
            <w:r>
              <w:rPr/>
            </w:r>
          </w:p>
        </w:tc>
        <w:tc>
          <w:tcPr>
            <w:tcW w:w="3585" w:type="dxa"/>
            <w:tcBorders/>
            <w:vAlign w:val="bottom"/>
          </w:tcPr>
          <w:p>
            <w:pPr>
              <w:pStyle w:val="Normal"/>
              <w:widowControl w:val="false"/>
              <w:tabs>
                <w:tab w:val="clear" w:pos="720"/>
              </w:tabs>
              <w:spacing w:before="0" w:after="120"/>
              <w:jc w:val="left"/>
              <w:rPr>
                <w:rFonts w:ascii="Calibri" w:hAnsi="Calibri"/>
              </w:rPr>
            </w:pPr>
            <w:r>
              <w:rPr>
                <w:b/>
              </w:rPr>
              <w:t>Εξοπλισμός κουζίνας, είδη οικιακής χρήσης και αναλώσιμα τροφοδοσίας</w:t>
            </w:r>
          </w:p>
        </w:tc>
        <w:tc>
          <w:tcPr>
            <w:tcW w:w="1410" w:type="dxa"/>
            <w:tcBorders/>
            <w:vAlign w:val="bottom"/>
          </w:tcPr>
          <w:p>
            <w:pPr>
              <w:pStyle w:val="Normal"/>
              <w:widowControl w:val="false"/>
              <w:tabs>
                <w:tab w:val="clear" w:pos="720"/>
              </w:tabs>
              <w:spacing w:before="0" w:after="120"/>
              <w:jc w:val="center"/>
              <w:rPr>
                <w:rFonts w:ascii="Calibri" w:hAnsi="Calibri"/>
              </w:rPr>
            </w:pPr>
            <w:r>
              <w:rPr/>
            </w:r>
          </w:p>
        </w:tc>
        <w:tc>
          <w:tcPr>
            <w:tcW w:w="2220" w:type="dxa"/>
            <w:tcBorders/>
            <w:vAlign w:val="bottom"/>
          </w:tcPr>
          <w:p>
            <w:pPr>
              <w:pStyle w:val="Normal"/>
              <w:widowControl w:val="false"/>
              <w:tabs>
                <w:tab w:val="clear" w:pos="720"/>
              </w:tabs>
              <w:spacing w:before="0" w:after="120"/>
              <w:jc w:val="left"/>
              <w:rPr>
                <w:rFonts w:ascii="Calibri" w:hAnsi="Calibri"/>
              </w:rPr>
            </w:pPr>
            <w:r>
              <w:rPr/>
            </w:r>
          </w:p>
        </w:tc>
        <w:tc>
          <w:tcPr>
            <w:tcW w:w="2259" w:type="dxa"/>
            <w:tcBorders/>
            <w:vAlign w:val="bottom"/>
          </w:tcPr>
          <w:p>
            <w:pPr>
              <w:pStyle w:val="Normal"/>
              <w:widowControl w:val="false"/>
              <w:tabs>
                <w:tab w:val="clear" w:pos="720"/>
              </w:tabs>
              <w:spacing w:before="0" w:after="120"/>
              <w:jc w:val="left"/>
              <w:rPr>
                <w:rFonts w:ascii="Calibri" w:hAnsi="Calibri"/>
              </w:rPr>
            </w:pPr>
            <w:r>
              <w:rPr/>
            </w:r>
          </w:p>
        </w:tc>
      </w:tr>
      <w:tr>
        <w:trPr>
          <w:trHeight w:val="300" w:hRule="atLeast"/>
        </w:trPr>
        <w:tc>
          <w:tcPr>
            <w:tcW w:w="855" w:type="dxa"/>
            <w:tcBorders/>
            <w:vAlign w:val="bottom"/>
          </w:tcPr>
          <w:p>
            <w:pPr>
              <w:pStyle w:val="Normal"/>
              <w:widowControl w:val="false"/>
              <w:tabs>
                <w:tab w:val="clear" w:pos="720"/>
              </w:tabs>
              <w:spacing w:before="0" w:after="120"/>
              <w:jc w:val="center"/>
              <w:rPr>
                <w:rFonts w:ascii="Calibri" w:hAnsi="Calibri"/>
              </w:rPr>
            </w:pPr>
            <w:r>
              <w:rPr/>
              <w:t>42</w:t>
            </w:r>
          </w:p>
        </w:tc>
        <w:tc>
          <w:tcPr>
            <w:tcW w:w="3585" w:type="dxa"/>
            <w:tcBorders/>
            <w:vAlign w:val="bottom"/>
          </w:tcPr>
          <w:p>
            <w:pPr>
              <w:pStyle w:val="Normal"/>
              <w:widowControl w:val="false"/>
              <w:tabs>
                <w:tab w:val="clear" w:pos="720"/>
              </w:tabs>
              <w:spacing w:before="0" w:after="120"/>
              <w:jc w:val="left"/>
              <w:rPr>
                <w:rFonts w:ascii="Calibri" w:hAnsi="Calibri"/>
              </w:rPr>
            </w:pPr>
            <w:r>
              <w:rPr/>
              <w:t>Σετ πιάτα 20 τμχ</w:t>
            </w:r>
          </w:p>
        </w:tc>
        <w:tc>
          <w:tcPr>
            <w:tcW w:w="1410" w:type="dxa"/>
            <w:tcBorders/>
            <w:vAlign w:val="bottom"/>
          </w:tcPr>
          <w:p>
            <w:pPr>
              <w:pStyle w:val="Normal"/>
              <w:widowControl w:val="false"/>
              <w:tabs>
                <w:tab w:val="clear" w:pos="720"/>
              </w:tabs>
              <w:spacing w:before="0" w:after="120"/>
              <w:jc w:val="center"/>
              <w:rPr>
                <w:rFonts w:ascii="Calibri" w:hAnsi="Calibri"/>
              </w:rPr>
            </w:pPr>
            <w:r>
              <w:rPr/>
              <w:t>6</w:t>
            </w:r>
          </w:p>
        </w:tc>
        <w:tc>
          <w:tcPr>
            <w:tcW w:w="2220" w:type="dxa"/>
            <w:tcBorders/>
            <w:vAlign w:val="bottom"/>
          </w:tcPr>
          <w:p>
            <w:pPr>
              <w:pStyle w:val="Normal"/>
              <w:widowControl w:val="false"/>
              <w:tabs>
                <w:tab w:val="clear" w:pos="720"/>
              </w:tabs>
              <w:spacing w:before="0" w:after="120"/>
              <w:jc w:val="right"/>
              <w:rPr>
                <w:rFonts w:ascii="Calibri" w:hAnsi="Calibri"/>
              </w:rPr>
            </w:pPr>
            <w:r>
              <w:rPr/>
              <w:t>36,00</w:t>
            </w:r>
          </w:p>
        </w:tc>
        <w:tc>
          <w:tcPr>
            <w:tcW w:w="2259" w:type="dxa"/>
            <w:tcBorders/>
            <w:vAlign w:val="bottom"/>
          </w:tcPr>
          <w:p>
            <w:pPr>
              <w:pStyle w:val="Normal"/>
              <w:widowControl w:val="false"/>
              <w:tabs>
                <w:tab w:val="clear" w:pos="720"/>
              </w:tabs>
              <w:spacing w:before="0" w:after="120"/>
              <w:jc w:val="right"/>
              <w:rPr>
                <w:rFonts w:ascii="Calibri" w:hAnsi="Calibri"/>
              </w:rPr>
            </w:pPr>
            <w:r>
              <w:rPr/>
              <w:t>216,00</w:t>
            </w:r>
          </w:p>
        </w:tc>
      </w:tr>
      <w:tr>
        <w:trPr>
          <w:trHeight w:val="300" w:hRule="atLeast"/>
        </w:trPr>
        <w:tc>
          <w:tcPr>
            <w:tcW w:w="855" w:type="dxa"/>
            <w:tcBorders/>
            <w:vAlign w:val="bottom"/>
          </w:tcPr>
          <w:p>
            <w:pPr>
              <w:pStyle w:val="Normal"/>
              <w:widowControl w:val="false"/>
              <w:tabs>
                <w:tab w:val="clear" w:pos="720"/>
              </w:tabs>
              <w:spacing w:before="0" w:after="120"/>
              <w:jc w:val="center"/>
              <w:rPr>
                <w:rFonts w:ascii="Calibri" w:hAnsi="Calibri"/>
              </w:rPr>
            </w:pPr>
            <w:r>
              <w:rPr/>
              <w:t>43</w:t>
            </w:r>
          </w:p>
        </w:tc>
        <w:tc>
          <w:tcPr>
            <w:tcW w:w="3585" w:type="dxa"/>
            <w:tcBorders/>
            <w:vAlign w:val="bottom"/>
          </w:tcPr>
          <w:p>
            <w:pPr>
              <w:pStyle w:val="Normal"/>
              <w:widowControl w:val="false"/>
              <w:tabs>
                <w:tab w:val="clear" w:pos="720"/>
              </w:tabs>
              <w:spacing w:before="0" w:after="120"/>
              <w:jc w:val="left"/>
              <w:rPr>
                <w:rFonts w:ascii="Calibri" w:hAnsi="Calibri"/>
              </w:rPr>
            </w:pPr>
            <w:r>
              <w:rPr/>
              <w:t>Σετ ποτήρια νερού 6 τμχ</w:t>
            </w:r>
          </w:p>
        </w:tc>
        <w:tc>
          <w:tcPr>
            <w:tcW w:w="1410" w:type="dxa"/>
            <w:tcBorders/>
            <w:vAlign w:val="bottom"/>
          </w:tcPr>
          <w:p>
            <w:pPr>
              <w:pStyle w:val="Normal"/>
              <w:widowControl w:val="false"/>
              <w:tabs>
                <w:tab w:val="clear" w:pos="720"/>
              </w:tabs>
              <w:spacing w:before="0" w:after="120"/>
              <w:jc w:val="center"/>
              <w:rPr>
                <w:rFonts w:ascii="Calibri" w:hAnsi="Calibri"/>
              </w:rPr>
            </w:pPr>
            <w:r>
              <w:rPr/>
              <w:t>6</w:t>
            </w:r>
          </w:p>
        </w:tc>
        <w:tc>
          <w:tcPr>
            <w:tcW w:w="2220" w:type="dxa"/>
            <w:tcBorders/>
            <w:vAlign w:val="bottom"/>
          </w:tcPr>
          <w:p>
            <w:pPr>
              <w:pStyle w:val="Normal"/>
              <w:widowControl w:val="false"/>
              <w:tabs>
                <w:tab w:val="clear" w:pos="720"/>
              </w:tabs>
              <w:spacing w:before="0" w:after="120"/>
              <w:jc w:val="right"/>
              <w:rPr>
                <w:rFonts w:ascii="Calibri" w:hAnsi="Calibri"/>
              </w:rPr>
            </w:pPr>
            <w:r>
              <w:rPr/>
              <w:t>5,50</w:t>
            </w:r>
          </w:p>
        </w:tc>
        <w:tc>
          <w:tcPr>
            <w:tcW w:w="2259" w:type="dxa"/>
            <w:tcBorders/>
            <w:vAlign w:val="bottom"/>
          </w:tcPr>
          <w:p>
            <w:pPr>
              <w:pStyle w:val="Normal"/>
              <w:widowControl w:val="false"/>
              <w:tabs>
                <w:tab w:val="clear" w:pos="720"/>
              </w:tabs>
              <w:spacing w:before="0" w:after="120"/>
              <w:jc w:val="right"/>
              <w:rPr>
                <w:rFonts w:ascii="Calibri" w:hAnsi="Calibri"/>
              </w:rPr>
            </w:pPr>
            <w:r>
              <w:rPr/>
              <w:t>33,00</w:t>
            </w:r>
          </w:p>
        </w:tc>
      </w:tr>
      <w:tr>
        <w:trPr>
          <w:trHeight w:val="300" w:hRule="atLeast"/>
        </w:trPr>
        <w:tc>
          <w:tcPr>
            <w:tcW w:w="855" w:type="dxa"/>
            <w:tcBorders/>
            <w:vAlign w:val="bottom"/>
          </w:tcPr>
          <w:p>
            <w:pPr>
              <w:pStyle w:val="Normal"/>
              <w:widowControl w:val="false"/>
              <w:tabs>
                <w:tab w:val="clear" w:pos="720"/>
              </w:tabs>
              <w:spacing w:before="0" w:after="120"/>
              <w:jc w:val="center"/>
              <w:rPr>
                <w:rFonts w:ascii="Calibri" w:hAnsi="Calibri"/>
              </w:rPr>
            </w:pPr>
            <w:r>
              <w:rPr/>
              <w:t>44</w:t>
            </w:r>
          </w:p>
        </w:tc>
        <w:tc>
          <w:tcPr>
            <w:tcW w:w="3585" w:type="dxa"/>
            <w:tcBorders/>
            <w:vAlign w:val="bottom"/>
          </w:tcPr>
          <w:p>
            <w:pPr>
              <w:pStyle w:val="Normal"/>
              <w:widowControl w:val="false"/>
              <w:tabs>
                <w:tab w:val="clear" w:pos="720"/>
              </w:tabs>
              <w:spacing w:before="0" w:after="120"/>
              <w:jc w:val="left"/>
              <w:rPr>
                <w:rFonts w:ascii="Calibri" w:hAnsi="Calibri"/>
              </w:rPr>
            </w:pPr>
            <w:r>
              <w:rPr/>
              <w:t>Κούπες</w:t>
            </w:r>
          </w:p>
        </w:tc>
        <w:tc>
          <w:tcPr>
            <w:tcW w:w="1410" w:type="dxa"/>
            <w:tcBorders/>
            <w:vAlign w:val="bottom"/>
          </w:tcPr>
          <w:p>
            <w:pPr>
              <w:pStyle w:val="Normal"/>
              <w:widowControl w:val="false"/>
              <w:tabs>
                <w:tab w:val="clear" w:pos="720"/>
              </w:tabs>
              <w:spacing w:before="0" w:after="120"/>
              <w:jc w:val="center"/>
              <w:rPr>
                <w:rFonts w:ascii="Calibri" w:hAnsi="Calibri"/>
              </w:rPr>
            </w:pPr>
            <w:r>
              <w:rPr/>
              <w:t>6</w:t>
            </w:r>
          </w:p>
        </w:tc>
        <w:tc>
          <w:tcPr>
            <w:tcW w:w="2220" w:type="dxa"/>
            <w:tcBorders/>
            <w:vAlign w:val="bottom"/>
          </w:tcPr>
          <w:p>
            <w:pPr>
              <w:pStyle w:val="Normal"/>
              <w:widowControl w:val="false"/>
              <w:tabs>
                <w:tab w:val="clear" w:pos="720"/>
              </w:tabs>
              <w:spacing w:before="0" w:after="120"/>
              <w:jc w:val="right"/>
              <w:rPr>
                <w:rFonts w:ascii="Calibri" w:hAnsi="Calibri"/>
              </w:rPr>
            </w:pPr>
            <w:r>
              <w:rPr/>
              <w:t>13,30</w:t>
            </w:r>
          </w:p>
        </w:tc>
        <w:tc>
          <w:tcPr>
            <w:tcW w:w="2259" w:type="dxa"/>
            <w:tcBorders/>
            <w:vAlign w:val="bottom"/>
          </w:tcPr>
          <w:p>
            <w:pPr>
              <w:pStyle w:val="Normal"/>
              <w:widowControl w:val="false"/>
              <w:tabs>
                <w:tab w:val="clear" w:pos="720"/>
              </w:tabs>
              <w:spacing w:before="0" w:after="120"/>
              <w:jc w:val="right"/>
              <w:rPr>
                <w:rFonts w:ascii="Calibri" w:hAnsi="Calibri"/>
              </w:rPr>
            </w:pPr>
            <w:r>
              <w:rPr/>
              <w:t>79,80</w:t>
            </w:r>
          </w:p>
        </w:tc>
      </w:tr>
      <w:tr>
        <w:trPr>
          <w:trHeight w:val="300" w:hRule="atLeast"/>
        </w:trPr>
        <w:tc>
          <w:tcPr>
            <w:tcW w:w="855" w:type="dxa"/>
            <w:tcBorders/>
            <w:vAlign w:val="bottom"/>
          </w:tcPr>
          <w:p>
            <w:pPr>
              <w:pStyle w:val="Normal"/>
              <w:widowControl w:val="false"/>
              <w:tabs>
                <w:tab w:val="clear" w:pos="720"/>
              </w:tabs>
              <w:spacing w:before="0" w:after="120"/>
              <w:jc w:val="center"/>
              <w:rPr>
                <w:rFonts w:ascii="Calibri" w:hAnsi="Calibri"/>
              </w:rPr>
            </w:pPr>
            <w:r>
              <w:rPr/>
              <w:t>45</w:t>
            </w:r>
          </w:p>
        </w:tc>
        <w:tc>
          <w:tcPr>
            <w:tcW w:w="3585" w:type="dxa"/>
            <w:tcBorders/>
            <w:vAlign w:val="bottom"/>
          </w:tcPr>
          <w:p>
            <w:pPr>
              <w:pStyle w:val="Normal"/>
              <w:widowControl w:val="false"/>
              <w:tabs>
                <w:tab w:val="clear" w:pos="720"/>
              </w:tabs>
              <w:spacing w:before="0" w:after="120"/>
              <w:jc w:val="left"/>
              <w:rPr>
                <w:rFonts w:ascii="Calibri" w:hAnsi="Calibri"/>
              </w:rPr>
            </w:pPr>
            <w:r>
              <w:rPr/>
              <w:t>Μαχαιροπίρουνα</w:t>
            </w:r>
          </w:p>
        </w:tc>
        <w:tc>
          <w:tcPr>
            <w:tcW w:w="1410" w:type="dxa"/>
            <w:tcBorders/>
            <w:vAlign w:val="bottom"/>
          </w:tcPr>
          <w:p>
            <w:pPr>
              <w:pStyle w:val="Normal"/>
              <w:widowControl w:val="false"/>
              <w:tabs>
                <w:tab w:val="clear" w:pos="720"/>
              </w:tabs>
              <w:spacing w:before="0" w:after="120"/>
              <w:jc w:val="center"/>
              <w:rPr>
                <w:rFonts w:ascii="Calibri" w:hAnsi="Calibri"/>
              </w:rPr>
            </w:pPr>
            <w:r>
              <w:rPr/>
              <w:t>6</w:t>
            </w:r>
          </w:p>
        </w:tc>
        <w:tc>
          <w:tcPr>
            <w:tcW w:w="2220" w:type="dxa"/>
            <w:tcBorders/>
            <w:vAlign w:val="bottom"/>
          </w:tcPr>
          <w:p>
            <w:pPr>
              <w:pStyle w:val="Normal"/>
              <w:widowControl w:val="false"/>
              <w:tabs>
                <w:tab w:val="clear" w:pos="720"/>
              </w:tabs>
              <w:spacing w:before="0" w:after="120"/>
              <w:jc w:val="right"/>
              <w:rPr>
                <w:rFonts w:ascii="Calibri" w:hAnsi="Calibri"/>
              </w:rPr>
            </w:pPr>
            <w:r>
              <w:rPr/>
              <w:t>24,90</w:t>
            </w:r>
          </w:p>
        </w:tc>
        <w:tc>
          <w:tcPr>
            <w:tcW w:w="2259" w:type="dxa"/>
            <w:tcBorders/>
            <w:vAlign w:val="bottom"/>
          </w:tcPr>
          <w:p>
            <w:pPr>
              <w:pStyle w:val="Normal"/>
              <w:widowControl w:val="false"/>
              <w:tabs>
                <w:tab w:val="clear" w:pos="720"/>
              </w:tabs>
              <w:spacing w:before="0" w:after="120"/>
              <w:jc w:val="right"/>
              <w:rPr>
                <w:rFonts w:ascii="Calibri" w:hAnsi="Calibri"/>
              </w:rPr>
            </w:pPr>
            <w:r>
              <w:rPr/>
              <w:t>149,40</w:t>
            </w:r>
          </w:p>
        </w:tc>
      </w:tr>
      <w:tr>
        <w:trPr>
          <w:trHeight w:val="300" w:hRule="atLeast"/>
        </w:trPr>
        <w:tc>
          <w:tcPr>
            <w:tcW w:w="855" w:type="dxa"/>
            <w:tcBorders/>
            <w:vAlign w:val="bottom"/>
          </w:tcPr>
          <w:p>
            <w:pPr>
              <w:pStyle w:val="Normal"/>
              <w:widowControl w:val="false"/>
              <w:tabs>
                <w:tab w:val="clear" w:pos="720"/>
              </w:tabs>
              <w:spacing w:before="0" w:after="120"/>
              <w:jc w:val="center"/>
              <w:rPr>
                <w:rFonts w:ascii="Calibri" w:hAnsi="Calibri"/>
              </w:rPr>
            </w:pPr>
            <w:r>
              <w:rPr/>
              <w:t>46</w:t>
            </w:r>
          </w:p>
        </w:tc>
        <w:tc>
          <w:tcPr>
            <w:tcW w:w="3585" w:type="dxa"/>
            <w:tcBorders/>
            <w:vAlign w:val="bottom"/>
          </w:tcPr>
          <w:p>
            <w:pPr>
              <w:pStyle w:val="Normal"/>
              <w:widowControl w:val="false"/>
              <w:tabs>
                <w:tab w:val="clear" w:pos="720"/>
              </w:tabs>
              <w:spacing w:before="0" w:after="120"/>
              <w:jc w:val="left"/>
              <w:rPr>
                <w:rFonts w:ascii="Calibri" w:hAnsi="Calibri"/>
              </w:rPr>
            </w:pPr>
            <w:r>
              <w:rPr/>
              <w:t>Πιατοθήκη</w:t>
            </w:r>
          </w:p>
        </w:tc>
        <w:tc>
          <w:tcPr>
            <w:tcW w:w="1410" w:type="dxa"/>
            <w:tcBorders/>
            <w:vAlign w:val="bottom"/>
          </w:tcPr>
          <w:p>
            <w:pPr>
              <w:pStyle w:val="Normal"/>
              <w:widowControl w:val="false"/>
              <w:tabs>
                <w:tab w:val="clear" w:pos="720"/>
              </w:tabs>
              <w:spacing w:before="0" w:after="120"/>
              <w:jc w:val="center"/>
              <w:rPr>
                <w:rFonts w:ascii="Calibri" w:hAnsi="Calibri"/>
              </w:rPr>
            </w:pPr>
            <w:r>
              <w:rPr/>
              <w:t>3</w:t>
            </w:r>
          </w:p>
        </w:tc>
        <w:tc>
          <w:tcPr>
            <w:tcW w:w="2220" w:type="dxa"/>
            <w:tcBorders/>
            <w:vAlign w:val="bottom"/>
          </w:tcPr>
          <w:p>
            <w:pPr>
              <w:pStyle w:val="Normal"/>
              <w:widowControl w:val="false"/>
              <w:tabs>
                <w:tab w:val="clear" w:pos="720"/>
              </w:tabs>
              <w:spacing w:before="0" w:after="120"/>
              <w:jc w:val="right"/>
              <w:rPr>
                <w:rFonts w:ascii="Calibri" w:hAnsi="Calibri"/>
              </w:rPr>
            </w:pPr>
            <w:r>
              <w:rPr/>
              <w:t>6,70</w:t>
            </w:r>
          </w:p>
        </w:tc>
        <w:tc>
          <w:tcPr>
            <w:tcW w:w="2259" w:type="dxa"/>
            <w:tcBorders/>
            <w:vAlign w:val="bottom"/>
          </w:tcPr>
          <w:p>
            <w:pPr>
              <w:pStyle w:val="Normal"/>
              <w:widowControl w:val="false"/>
              <w:tabs>
                <w:tab w:val="clear" w:pos="720"/>
              </w:tabs>
              <w:spacing w:before="0" w:after="120"/>
              <w:jc w:val="right"/>
              <w:rPr>
                <w:rFonts w:ascii="Calibri" w:hAnsi="Calibri"/>
              </w:rPr>
            </w:pPr>
            <w:r>
              <w:rPr/>
              <w:t>20,10</w:t>
            </w:r>
          </w:p>
        </w:tc>
      </w:tr>
      <w:tr>
        <w:trPr>
          <w:trHeight w:val="300" w:hRule="atLeast"/>
        </w:trPr>
        <w:tc>
          <w:tcPr>
            <w:tcW w:w="855" w:type="dxa"/>
            <w:tcBorders/>
            <w:vAlign w:val="bottom"/>
          </w:tcPr>
          <w:p>
            <w:pPr>
              <w:pStyle w:val="Normal"/>
              <w:widowControl w:val="false"/>
              <w:tabs>
                <w:tab w:val="clear" w:pos="720"/>
              </w:tabs>
              <w:spacing w:before="0" w:after="120"/>
              <w:jc w:val="center"/>
              <w:rPr>
                <w:rFonts w:ascii="Calibri" w:hAnsi="Calibri"/>
              </w:rPr>
            </w:pPr>
            <w:r>
              <w:rPr/>
              <w:t>47</w:t>
            </w:r>
          </w:p>
        </w:tc>
        <w:tc>
          <w:tcPr>
            <w:tcW w:w="3585" w:type="dxa"/>
            <w:tcBorders/>
            <w:vAlign w:val="bottom"/>
          </w:tcPr>
          <w:p>
            <w:pPr>
              <w:pStyle w:val="Normal"/>
              <w:widowControl w:val="false"/>
              <w:tabs>
                <w:tab w:val="clear" w:pos="720"/>
              </w:tabs>
              <w:spacing w:before="0" w:after="120"/>
              <w:jc w:val="left"/>
              <w:rPr>
                <w:rFonts w:ascii="Calibri" w:hAnsi="Calibri"/>
              </w:rPr>
            </w:pPr>
            <w:r>
              <w:rPr/>
              <w:t>Σετ δοχεία τροφίμων</w:t>
            </w:r>
          </w:p>
        </w:tc>
        <w:tc>
          <w:tcPr>
            <w:tcW w:w="1410" w:type="dxa"/>
            <w:tcBorders/>
            <w:vAlign w:val="bottom"/>
          </w:tcPr>
          <w:p>
            <w:pPr>
              <w:pStyle w:val="Normal"/>
              <w:widowControl w:val="false"/>
              <w:tabs>
                <w:tab w:val="clear" w:pos="720"/>
              </w:tabs>
              <w:spacing w:before="0" w:after="120"/>
              <w:jc w:val="center"/>
              <w:rPr>
                <w:rFonts w:ascii="Calibri" w:hAnsi="Calibri"/>
              </w:rPr>
            </w:pPr>
            <w:r>
              <w:rPr/>
              <w:t>6</w:t>
            </w:r>
          </w:p>
        </w:tc>
        <w:tc>
          <w:tcPr>
            <w:tcW w:w="2220" w:type="dxa"/>
            <w:tcBorders/>
            <w:vAlign w:val="bottom"/>
          </w:tcPr>
          <w:p>
            <w:pPr>
              <w:pStyle w:val="Normal"/>
              <w:widowControl w:val="false"/>
              <w:tabs>
                <w:tab w:val="clear" w:pos="720"/>
              </w:tabs>
              <w:spacing w:before="0" w:after="120"/>
              <w:jc w:val="right"/>
              <w:rPr>
                <w:rFonts w:ascii="Calibri" w:hAnsi="Calibri"/>
              </w:rPr>
            </w:pPr>
            <w:r>
              <w:rPr/>
              <w:t>12,50</w:t>
            </w:r>
          </w:p>
        </w:tc>
        <w:tc>
          <w:tcPr>
            <w:tcW w:w="2259" w:type="dxa"/>
            <w:tcBorders/>
            <w:vAlign w:val="bottom"/>
          </w:tcPr>
          <w:p>
            <w:pPr>
              <w:pStyle w:val="Normal"/>
              <w:widowControl w:val="false"/>
              <w:tabs>
                <w:tab w:val="clear" w:pos="720"/>
              </w:tabs>
              <w:spacing w:before="0" w:after="120"/>
              <w:jc w:val="right"/>
              <w:rPr>
                <w:rFonts w:ascii="Calibri" w:hAnsi="Calibri"/>
              </w:rPr>
            </w:pPr>
            <w:r>
              <w:rPr/>
              <w:t>75,00</w:t>
            </w:r>
          </w:p>
        </w:tc>
      </w:tr>
      <w:tr>
        <w:trPr>
          <w:trHeight w:val="300" w:hRule="atLeast"/>
        </w:trPr>
        <w:tc>
          <w:tcPr>
            <w:tcW w:w="855" w:type="dxa"/>
            <w:tcBorders/>
            <w:vAlign w:val="bottom"/>
          </w:tcPr>
          <w:p>
            <w:pPr>
              <w:pStyle w:val="Normal"/>
              <w:widowControl w:val="false"/>
              <w:tabs>
                <w:tab w:val="clear" w:pos="720"/>
              </w:tabs>
              <w:spacing w:before="0" w:after="120"/>
              <w:jc w:val="center"/>
              <w:rPr>
                <w:rFonts w:ascii="Calibri" w:hAnsi="Calibri"/>
              </w:rPr>
            </w:pPr>
            <w:r>
              <w:rPr/>
              <w:t>48</w:t>
            </w:r>
          </w:p>
        </w:tc>
        <w:tc>
          <w:tcPr>
            <w:tcW w:w="3585" w:type="dxa"/>
            <w:tcBorders/>
            <w:vAlign w:val="bottom"/>
          </w:tcPr>
          <w:p>
            <w:pPr>
              <w:pStyle w:val="Normal"/>
              <w:widowControl w:val="false"/>
              <w:tabs>
                <w:tab w:val="clear" w:pos="720"/>
              </w:tabs>
              <w:spacing w:before="0" w:after="120"/>
              <w:jc w:val="left"/>
              <w:rPr>
                <w:rFonts w:ascii="Calibri" w:hAnsi="Calibri"/>
              </w:rPr>
            </w:pPr>
            <w:r>
              <w:rPr/>
              <w:t>Σετ αντικολλητικά μαγειρικά σκεύη</w:t>
            </w:r>
          </w:p>
        </w:tc>
        <w:tc>
          <w:tcPr>
            <w:tcW w:w="1410" w:type="dxa"/>
            <w:tcBorders/>
            <w:vAlign w:val="bottom"/>
          </w:tcPr>
          <w:p>
            <w:pPr>
              <w:pStyle w:val="Normal"/>
              <w:widowControl w:val="false"/>
              <w:tabs>
                <w:tab w:val="clear" w:pos="720"/>
              </w:tabs>
              <w:spacing w:before="0" w:after="120"/>
              <w:jc w:val="center"/>
              <w:rPr>
                <w:rFonts w:ascii="Calibri" w:hAnsi="Calibri"/>
              </w:rPr>
            </w:pPr>
            <w:r>
              <w:rPr/>
              <w:t>3</w:t>
            </w:r>
          </w:p>
        </w:tc>
        <w:tc>
          <w:tcPr>
            <w:tcW w:w="2220" w:type="dxa"/>
            <w:tcBorders/>
            <w:vAlign w:val="bottom"/>
          </w:tcPr>
          <w:p>
            <w:pPr>
              <w:pStyle w:val="Normal"/>
              <w:widowControl w:val="false"/>
              <w:tabs>
                <w:tab w:val="clear" w:pos="720"/>
              </w:tabs>
              <w:spacing w:before="0" w:after="120"/>
              <w:jc w:val="right"/>
              <w:rPr>
                <w:rFonts w:ascii="Calibri" w:hAnsi="Calibri"/>
              </w:rPr>
            </w:pPr>
            <w:r>
              <w:rPr/>
              <w:t>80,00</w:t>
            </w:r>
          </w:p>
        </w:tc>
        <w:tc>
          <w:tcPr>
            <w:tcW w:w="2259" w:type="dxa"/>
            <w:tcBorders/>
            <w:vAlign w:val="bottom"/>
          </w:tcPr>
          <w:p>
            <w:pPr>
              <w:pStyle w:val="Normal"/>
              <w:widowControl w:val="false"/>
              <w:tabs>
                <w:tab w:val="clear" w:pos="720"/>
              </w:tabs>
              <w:spacing w:before="0" w:after="120"/>
              <w:jc w:val="right"/>
              <w:rPr>
                <w:rFonts w:ascii="Calibri" w:hAnsi="Calibri"/>
              </w:rPr>
            </w:pPr>
            <w:r>
              <w:rPr/>
              <w:t>240,00</w:t>
            </w:r>
          </w:p>
        </w:tc>
      </w:tr>
      <w:tr>
        <w:trPr>
          <w:trHeight w:val="300" w:hRule="atLeast"/>
        </w:trPr>
        <w:tc>
          <w:tcPr>
            <w:tcW w:w="855" w:type="dxa"/>
            <w:tcBorders/>
            <w:vAlign w:val="bottom"/>
          </w:tcPr>
          <w:p>
            <w:pPr>
              <w:pStyle w:val="Normal"/>
              <w:widowControl w:val="false"/>
              <w:tabs>
                <w:tab w:val="clear" w:pos="720"/>
              </w:tabs>
              <w:spacing w:before="0" w:after="120"/>
              <w:jc w:val="center"/>
              <w:rPr>
                <w:rFonts w:ascii="Calibri" w:hAnsi="Calibri"/>
              </w:rPr>
            </w:pPr>
            <w:r>
              <w:rPr/>
              <w:t>49</w:t>
            </w:r>
          </w:p>
        </w:tc>
        <w:tc>
          <w:tcPr>
            <w:tcW w:w="3585" w:type="dxa"/>
            <w:tcBorders/>
            <w:vAlign w:val="bottom"/>
          </w:tcPr>
          <w:p>
            <w:pPr>
              <w:pStyle w:val="Normal"/>
              <w:widowControl w:val="false"/>
              <w:tabs>
                <w:tab w:val="clear" w:pos="720"/>
              </w:tabs>
              <w:spacing w:before="0" w:after="120"/>
              <w:jc w:val="left"/>
              <w:rPr>
                <w:rFonts w:ascii="Calibri" w:hAnsi="Calibri"/>
              </w:rPr>
            </w:pPr>
            <w:r>
              <w:rPr/>
              <w:t>Μπρίκι για ηλεκτρική κουζίνα</w:t>
            </w:r>
          </w:p>
        </w:tc>
        <w:tc>
          <w:tcPr>
            <w:tcW w:w="1410" w:type="dxa"/>
            <w:tcBorders/>
            <w:vAlign w:val="bottom"/>
          </w:tcPr>
          <w:p>
            <w:pPr>
              <w:pStyle w:val="Normal"/>
              <w:widowControl w:val="false"/>
              <w:tabs>
                <w:tab w:val="clear" w:pos="720"/>
              </w:tabs>
              <w:spacing w:before="0" w:after="120"/>
              <w:jc w:val="center"/>
              <w:rPr>
                <w:rFonts w:ascii="Calibri" w:hAnsi="Calibri"/>
              </w:rPr>
            </w:pPr>
            <w:r>
              <w:rPr/>
              <w:t>3</w:t>
            </w:r>
          </w:p>
        </w:tc>
        <w:tc>
          <w:tcPr>
            <w:tcW w:w="2220" w:type="dxa"/>
            <w:tcBorders/>
            <w:vAlign w:val="bottom"/>
          </w:tcPr>
          <w:p>
            <w:pPr>
              <w:pStyle w:val="Normal"/>
              <w:widowControl w:val="false"/>
              <w:tabs>
                <w:tab w:val="clear" w:pos="720"/>
              </w:tabs>
              <w:spacing w:before="0" w:after="120"/>
              <w:jc w:val="right"/>
              <w:rPr>
                <w:rFonts w:ascii="Calibri" w:hAnsi="Calibri"/>
              </w:rPr>
            </w:pPr>
            <w:r>
              <w:rPr/>
              <w:t>5,00</w:t>
            </w:r>
          </w:p>
        </w:tc>
        <w:tc>
          <w:tcPr>
            <w:tcW w:w="2259" w:type="dxa"/>
            <w:tcBorders/>
            <w:vAlign w:val="bottom"/>
          </w:tcPr>
          <w:p>
            <w:pPr>
              <w:pStyle w:val="Normal"/>
              <w:widowControl w:val="false"/>
              <w:tabs>
                <w:tab w:val="clear" w:pos="720"/>
              </w:tabs>
              <w:spacing w:before="0" w:after="120"/>
              <w:jc w:val="right"/>
              <w:rPr>
                <w:rFonts w:ascii="Calibri" w:hAnsi="Calibri"/>
              </w:rPr>
            </w:pPr>
            <w:r>
              <w:rPr/>
              <w:t>15,00</w:t>
            </w:r>
          </w:p>
        </w:tc>
      </w:tr>
      <w:tr>
        <w:trPr>
          <w:trHeight w:val="300" w:hRule="atLeast"/>
        </w:trPr>
        <w:tc>
          <w:tcPr>
            <w:tcW w:w="855" w:type="dxa"/>
            <w:tcBorders/>
            <w:vAlign w:val="bottom"/>
          </w:tcPr>
          <w:p>
            <w:pPr>
              <w:pStyle w:val="Normal"/>
              <w:widowControl w:val="false"/>
              <w:tabs>
                <w:tab w:val="clear" w:pos="720"/>
              </w:tabs>
              <w:spacing w:before="0" w:after="120"/>
              <w:jc w:val="center"/>
              <w:rPr>
                <w:rFonts w:ascii="Calibri" w:hAnsi="Calibri"/>
              </w:rPr>
            </w:pPr>
            <w:r>
              <w:rPr/>
              <w:t>50</w:t>
            </w:r>
          </w:p>
        </w:tc>
        <w:tc>
          <w:tcPr>
            <w:tcW w:w="3585" w:type="dxa"/>
            <w:tcBorders/>
            <w:vAlign w:val="bottom"/>
          </w:tcPr>
          <w:p>
            <w:pPr>
              <w:pStyle w:val="Normal"/>
              <w:widowControl w:val="false"/>
              <w:tabs>
                <w:tab w:val="clear" w:pos="720"/>
              </w:tabs>
              <w:spacing w:before="0" w:after="120"/>
              <w:jc w:val="left"/>
              <w:rPr>
                <w:rFonts w:ascii="Calibri" w:hAnsi="Calibri"/>
              </w:rPr>
            </w:pPr>
            <w:r>
              <w:rPr/>
              <w:t>Κρεμάστρες ρούχων πλαστικές</w:t>
            </w:r>
          </w:p>
        </w:tc>
        <w:tc>
          <w:tcPr>
            <w:tcW w:w="1410" w:type="dxa"/>
            <w:tcBorders/>
            <w:vAlign w:val="bottom"/>
          </w:tcPr>
          <w:p>
            <w:pPr>
              <w:pStyle w:val="Normal"/>
              <w:widowControl w:val="false"/>
              <w:tabs>
                <w:tab w:val="clear" w:pos="720"/>
              </w:tabs>
              <w:spacing w:before="0" w:after="120"/>
              <w:jc w:val="center"/>
              <w:rPr>
                <w:rFonts w:ascii="Calibri" w:hAnsi="Calibri"/>
              </w:rPr>
            </w:pPr>
            <w:r>
              <w:rPr/>
              <w:t>45</w:t>
            </w:r>
          </w:p>
        </w:tc>
        <w:tc>
          <w:tcPr>
            <w:tcW w:w="2220" w:type="dxa"/>
            <w:tcBorders/>
            <w:vAlign w:val="bottom"/>
          </w:tcPr>
          <w:p>
            <w:pPr>
              <w:pStyle w:val="Normal"/>
              <w:widowControl w:val="false"/>
              <w:tabs>
                <w:tab w:val="clear" w:pos="720"/>
              </w:tabs>
              <w:spacing w:before="0" w:after="120"/>
              <w:jc w:val="right"/>
              <w:rPr>
                <w:rFonts w:ascii="Calibri" w:hAnsi="Calibri"/>
              </w:rPr>
            </w:pPr>
            <w:r>
              <w:rPr/>
              <w:t>0,70</w:t>
            </w:r>
          </w:p>
        </w:tc>
        <w:tc>
          <w:tcPr>
            <w:tcW w:w="2259" w:type="dxa"/>
            <w:tcBorders/>
            <w:vAlign w:val="bottom"/>
          </w:tcPr>
          <w:p>
            <w:pPr>
              <w:pStyle w:val="Normal"/>
              <w:widowControl w:val="false"/>
              <w:tabs>
                <w:tab w:val="clear" w:pos="720"/>
              </w:tabs>
              <w:spacing w:before="0" w:after="120"/>
              <w:jc w:val="right"/>
              <w:rPr>
                <w:rFonts w:ascii="Calibri" w:hAnsi="Calibri"/>
              </w:rPr>
            </w:pPr>
            <w:r>
              <w:rPr/>
              <w:t>31,50</w:t>
            </w:r>
          </w:p>
        </w:tc>
      </w:tr>
      <w:tr>
        <w:trPr>
          <w:trHeight w:val="542" w:hRule="atLeast"/>
        </w:trPr>
        <w:tc>
          <w:tcPr>
            <w:tcW w:w="855" w:type="dxa"/>
            <w:tcBorders/>
            <w:vAlign w:val="bottom"/>
          </w:tcPr>
          <w:p>
            <w:pPr>
              <w:pStyle w:val="Normal"/>
              <w:widowControl w:val="false"/>
              <w:tabs>
                <w:tab w:val="clear" w:pos="720"/>
              </w:tabs>
              <w:spacing w:before="0" w:after="120"/>
              <w:jc w:val="center"/>
              <w:rPr>
                <w:rFonts w:ascii="Calibri" w:hAnsi="Calibri"/>
              </w:rPr>
            </w:pPr>
            <w:r>
              <w:rPr/>
            </w:r>
          </w:p>
        </w:tc>
        <w:tc>
          <w:tcPr>
            <w:tcW w:w="3585" w:type="dxa"/>
            <w:tcBorders/>
          </w:tcPr>
          <w:p>
            <w:pPr>
              <w:pStyle w:val="Normal"/>
              <w:widowControl w:val="false"/>
              <w:tabs>
                <w:tab w:val="clear" w:pos="720"/>
              </w:tabs>
              <w:spacing w:before="0" w:after="120"/>
              <w:jc w:val="left"/>
              <w:rPr>
                <w:rFonts w:ascii="Calibri" w:hAnsi="Calibri"/>
              </w:rPr>
            </w:pPr>
            <w:r>
              <w:rPr/>
            </w:r>
          </w:p>
        </w:tc>
        <w:tc>
          <w:tcPr>
            <w:tcW w:w="1410" w:type="dxa"/>
            <w:tcBorders/>
            <w:vAlign w:val="bottom"/>
          </w:tcPr>
          <w:p>
            <w:pPr>
              <w:pStyle w:val="Normal"/>
              <w:widowControl w:val="false"/>
              <w:tabs>
                <w:tab w:val="clear" w:pos="720"/>
              </w:tabs>
              <w:spacing w:before="0" w:after="120"/>
              <w:jc w:val="center"/>
              <w:rPr>
                <w:rFonts w:ascii="Calibri" w:hAnsi="Calibri"/>
              </w:rPr>
            </w:pPr>
            <w:r>
              <w:rPr/>
            </w:r>
          </w:p>
        </w:tc>
        <w:tc>
          <w:tcPr>
            <w:tcW w:w="2220" w:type="dxa"/>
            <w:tcBorders/>
            <w:vAlign w:val="bottom"/>
          </w:tcPr>
          <w:p>
            <w:pPr>
              <w:pStyle w:val="Normal"/>
              <w:widowControl w:val="false"/>
              <w:tabs>
                <w:tab w:val="clear" w:pos="720"/>
              </w:tabs>
              <w:spacing w:before="0" w:after="120"/>
              <w:jc w:val="left"/>
              <w:rPr>
                <w:rFonts w:ascii="Calibri" w:hAnsi="Calibri"/>
              </w:rPr>
            </w:pPr>
            <w:r>
              <w:rPr/>
            </w:r>
          </w:p>
        </w:tc>
        <w:tc>
          <w:tcPr>
            <w:tcW w:w="2259" w:type="dxa"/>
            <w:tcBorders/>
            <w:vAlign w:val="bottom"/>
          </w:tcPr>
          <w:p>
            <w:pPr>
              <w:pStyle w:val="Normal"/>
              <w:widowControl w:val="false"/>
              <w:tabs>
                <w:tab w:val="clear" w:pos="720"/>
              </w:tabs>
              <w:spacing w:before="0" w:after="120"/>
              <w:jc w:val="left"/>
              <w:rPr>
                <w:rFonts w:ascii="Calibri" w:hAnsi="Calibri"/>
              </w:rPr>
            </w:pPr>
            <w:r>
              <w:rPr/>
            </w:r>
          </w:p>
        </w:tc>
      </w:tr>
      <w:tr>
        <w:trPr>
          <w:trHeight w:val="542" w:hRule="atLeast"/>
        </w:trPr>
        <w:tc>
          <w:tcPr>
            <w:tcW w:w="855" w:type="dxa"/>
            <w:tcBorders/>
            <w:vAlign w:val="bottom"/>
          </w:tcPr>
          <w:p>
            <w:pPr>
              <w:pStyle w:val="Normal"/>
              <w:widowControl w:val="false"/>
              <w:tabs>
                <w:tab w:val="clear" w:pos="720"/>
              </w:tabs>
              <w:spacing w:before="0" w:after="120"/>
              <w:jc w:val="center"/>
              <w:rPr>
                <w:rFonts w:ascii="Calibri" w:hAnsi="Calibri"/>
              </w:rPr>
            </w:pPr>
            <w:r>
              <w:rPr/>
            </w:r>
          </w:p>
        </w:tc>
        <w:tc>
          <w:tcPr>
            <w:tcW w:w="3585" w:type="dxa"/>
            <w:tcBorders/>
          </w:tcPr>
          <w:p>
            <w:pPr>
              <w:pStyle w:val="Normal"/>
              <w:widowControl w:val="false"/>
              <w:tabs>
                <w:tab w:val="clear" w:pos="720"/>
              </w:tabs>
              <w:spacing w:before="0" w:after="120"/>
              <w:jc w:val="left"/>
              <w:rPr>
                <w:rFonts w:ascii="Calibri" w:hAnsi="Calibri"/>
              </w:rPr>
            </w:pPr>
            <w:r>
              <w:rPr>
                <w:b/>
              </w:rPr>
              <w:t>Σκούπες και βούρτσες και άλλα είδη για την οικιακή καθαριότητα</w:t>
            </w:r>
          </w:p>
        </w:tc>
        <w:tc>
          <w:tcPr>
            <w:tcW w:w="1410" w:type="dxa"/>
            <w:tcBorders/>
            <w:vAlign w:val="bottom"/>
          </w:tcPr>
          <w:p>
            <w:pPr>
              <w:pStyle w:val="Normal"/>
              <w:widowControl w:val="false"/>
              <w:tabs>
                <w:tab w:val="clear" w:pos="720"/>
              </w:tabs>
              <w:spacing w:before="0" w:after="120"/>
              <w:jc w:val="center"/>
              <w:rPr>
                <w:rFonts w:ascii="Calibri" w:hAnsi="Calibri"/>
              </w:rPr>
            </w:pPr>
            <w:r>
              <w:rPr/>
            </w:r>
          </w:p>
        </w:tc>
        <w:tc>
          <w:tcPr>
            <w:tcW w:w="2220" w:type="dxa"/>
            <w:tcBorders/>
            <w:vAlign w:val="bottom"/>
          </w:tcPr>
          <w:p>
            <w:pPr>
              <w:pStyle w:val="Normal"/>
              <w:widowControl w:val="false"/>
              <w:tabs>
                <w:tab w:val="clear" w:pos="720"/>
              </w:tabs>
              <w:spacing w:before="0" w:after="120"/>
              <w:jc w:val="left"/>
              <w:rPr>
                <w:rFonts w:ascii="Calibri" w:hAnsi="Calibri"/>
              </w:rPr>
            </w:pPr>
            <w:r>
              <w:rPr/>
            </w:r>
          </w:p>
        </w:tc>
        <w:tc>
          <w:tcPr>
            <w:tcW w:w="2259" w:type="dxa"/>
            <w:tcBorders/>
            <w:vAlign w:val="bottom"/>
          </w:tcPr>
          <w:p>
            <w:pPr>
              <w:pStyle w:val="Normal"/>
              <w:widowControl w:val="false"/>
              <w:tabs>
                <w:tab w:val="clear" w:pos="720"/>
              </w:tabs>
              <w:spacing w:before="0" w:after="120"/>
              <w:jc w:val="left"/>
              <w:rPr>
                <w:rFonts w:ascii="Calibri" w:hAnsi="Calibri"/>
              </w:rPr>
            </w:pPr>
            <w:r>
              <w:rPr/>
            </w:r>
          </w:p>
        </w:tc>
      </w:tr>
      <w:tr>
        <w:trPr>
          <w:trHeight w:val="300" w:hRule="atLeast"/>
        </w:trPr>
        <w:tc>
          <w:tcPr>
            <w:tcW w:w="855" w:type="dxa"/>
            <w:tcBorders/>
            <w:vAlign w:val="bottom"/>
          </w:tcPr>
          <w:p>
            <w:pPr>
              <w:pStyle w:val="Normal"/>
              <w:widowControl w:val="false"/>
              <w:tabs>
                <w:tab w:val="clear" w:pos="720"/>
              </w:tabs>
              <w:spacing w:before="0" w:after="120"/>
              <w:jc w:val="center"/>
              <w:rPr>
                <w:rFonts w:ascii="Calibri" w:hAnsi="Calibri"/>
              </w:rPr>
            </w:pPr>
            <w:r>
              <w:rPr/>
              <w:t>51</w:t>
            </w:r>
          </w:p>
        </w:tc>
        <w:tc>
          <w:tcPr>
            <w:tcW w:w="3585" w:type="dxa"/>
            <w:tcBorders/>
            <w:vAlign w:val="bottom"/>
          </w:tcPr>
          <w:p>
            <w:pPr>
              <w:pStyle w:val="Normal"/>
              <w:widowControl w:val="false"/>
              <w:tabs>
                <w:tab w:val="clear" w:pos="720"/>
              </w:tabs>
              <w:spacing w:before="0" w:after="120"/>
              <w:jc w:val="left"/>
              <w:rPr>
                <w:rFonts w:ascii="Calibri" w:hAnsi="Calibri"/>
              </w:rPr>
            </w:pPr>
            <w:r>
              <w:rPr/>
              <w:t>Σκούπα</w:t>
            </w:r>
          </w:p>
        </w:tc>
        <w:tc>
          <w:tcPr>
            <w:tcW w:w="1410" w:type="dxa"/>
            <w:tcBorders/>
            <w:vAlign w:val="bottom"/>
          </w:tcPr>
          <w:p>
            <w:pPr>
              <w:pStyle w:val="Normal"/>
              <w:widowControl w:val="false"/>
              <w:tabs>
                <w:tab w:val="clear" w:pos="720"/>
              </w:tabs>
              <w:spacing w:before="0" w:after="120"/>
              <w:jc w:val="center"/>
              <w:rPr>
                <w:rFonts w:ascii="Calibri" w:hAnsi="Calibri"/>
              </w:rPr>
            </w:pPr>
            <w:r>
              <w:rPr/>
              <w:t>3</w:t>
            </w:r>
          </w:p>
        </w:tc>
        <w:tc>
          <w:tcPr>
            <w:tcW w:w="2220" w:type="dxa"/>
            <w:tcBorders/>
            <w:vAlign w:val="bottom"/>
          </w:tcPr>
          <w:p>
            <w:pPr>
              <w:pStyle w:val="Normal"/>
              <w:widowControl w:val="false"/>
              <w:tabs>
                <w:tab w:val="clear" w:pos="720"/>
              </w:tabs>
              <w:spacing w:before="0" w:after="120"/>
              <w:jc w:val="right"/>
              <w:rPr>
                <w:rFonts w:ascii="Calibri" w:hAnsi="Calibri"/>
              </w:rPr>
            </w:pPr>
            <w:r>
              <w:rPr/>
              <w:t>3,50</w:t>
            </w:r>
          </w:p>
        </w:tc>
        <w:tc>
          <w:tcPr>
            <w:tcW w:w="2259" w:type="dxa"/>
            <w:tcBorders/>
            <w:vAlign w:val="bottom"/>
          </w:tcPr>
          <w:p>
            <w:pPr>
              <w:pStyle w:val="Normal"/>
              <w:widowControl w:val="false"/>
              <w:tabs>
                <w:tab w:val="clear" w:pos="720"/>
              </w:tabs>
              <w:spacing w:before="0" w:after="120"/>
              <w:jc w:val="right"/>
              <w:rPr>
                <w:rFonts w:ascii="Calibri" w:hAnsi="Calibri"/>
              </w:rPr>
            </w:pPr>
            <w:r>
              <w:rPr/>
              <w:t>10,50</w:t>
            </w:r>
          </w:p>
        </w:tc>
      </w:tr>
      <w:tr>
        <w:trPr>
          <w:trHeight w:val="300" w:hRule="atLeast"/>
        </w:trPr>
        <w:tc>
          <w:tcPr>
            <w:tcW w:w="855" w:type="dxa"/>
            <w:tcBorders/>
            <w:vAlign w:val="bottom"/>
          </w:tcPr>
          <w:p>
            <w:pPr>
              <w:pStyle w:val="Normal"/>
              <w:widowControl w:val="false"/>
              <w:tabs>
                <w:tab w:val="clear" w:pos="720"/>
              </w:tabs>
              <w:spacing w:before="0" w:after="120"/>
              <w:jc w:val="center"/>
              <w:rPr>
                <w:rFonts w:ascii="Calibri" w:hAnsi="Calibri"/>
              </w:rPr>
            </w:pPr>
            <w:r>
              <w:rPr/>
              <w:t>52</w:t>
            </w:r>
          </w:p>
        </w:tc>
        <w:tc>
          <w:tcPr>
            <w:tcW w:w="3585" w:type="dxa"/>
            <w:tcBorders/>
            <w:vAlign w:val="bottom"/>
          </w:tcPr>
          <w:p>
            <w:pPr>
              <w:pStyle w:val="Normal"/>
              <w:widowControl w:val="false"/>
              <w:tabs>
                <w:tab w:val="clear" w:pos="720"/>
              </w:tabs>
              <w:spacing w:before="0" w:after="120"/>
              <w:jc w:val="left"/>
              <w:rPr>
                <w:rFonts w:ascii="Calibri" w:hAnsi="Calibri"/>
              </w:rPr>
            </w:pPr>
            <w:r>
              <w:rPr/>
              <w:t>Σιδερώστρα</w:t>
            </w:r>
          </w:p>
        </w:tc>
        <w:tc>
          <w:tcPr>
            <w:tcW w:w="1410" w:type="dxa"/>
            <w:tcBorders/>
            <w:vAlign w:val="bottom"/>
          </w:tcPr>
          <w:p>
            <w:pPr>
              <w:pStyle w:val="Normal"/>
              <w:widowControl w:val="false"/>
              <w:tabs>
                <w:tab w:val="clear" w:pos="720"/>
              </w:tabs>
              <w:spacing w:before="0" w:after="120"/>
              <w:jc w:val="center"/>
              <w:rPr>
                <w:rFonts w:ascii="Calibri" w:hAnsi="Calibri"/>
              </w:rPr>
            </w:pPr>
            <w:r>
              <w:rPr/>
              <w:t>3</w:t>
            </w:r>
          </w:p>
        </w:tc>
        <w:tc>
          <w:tcPr>
            <w:tcW w:w="2220" w:type="dxa"/>
            <w:tcBorders/>
            <w:vAlign w:val="bottom"/>
          </w:tcPr>
          <w:p>
            <w:pPr>
              <w:pStyle w:val="Normal"/>
              <w:widowControl w:val="false"/>
              <w:tabs>
                <w:tab w:val="clear" w:pos="720"/>
              </w:tabs>
              <w:spacing w:before="0" w:after="120"/>
              <w:jc w:val="right"/>
              <w:rPr>
                <w:rFonts w:ascii="Calibri" w:hAnsi="Calibri"/>
              </w:rPr>
            </w:pPr>
            <w:r>
              <w:rPr/>
              <w:t>48,90</w:t>
            </w:r>
          </w:p>
        </w:tc>
        <w:tc>
          <w:tcPr>
            <w:tcW w:w="2259" w:type="dxa"/>
            <w:tcBorders/>
            <w:vAlign w:val="bottom"/>
          </w:tcPr>
          <w:p>
            <w:pPr>
              <w:pStyle w:val="Normal"/>
              <w:widowControl w:val="false"/>
              <w:tabs>
                <w:tab w:val="clear" w:pos="720"/>
              </w:tabs>
              <w:spacing w:before="0" w:after="120"/>
              <w:jc w:val="right"/>
              <w:rPr>
                <w:rFonts w:ascii="Calibri" w:hAnsi="Calibri"/>
              </w:rPr>
            </w:pPr>
            <w:r>
              <w:rPr/>
              <w:t>146,70</w:t>
            </w:r>
          </w:p>
        </w:tc>
      </w:tr>
      <w:tr>
        <w:trPr>
          <w:trHeight w:val="300" w:hRule="atLeast"/>
        </w:trPr>
        <w:tc>
          <w:tcPr>
            <w:tcW w:w="855" w:type="dxa"/>
            <w:tcBorders/>
            <w:vAlign w:val="bottom"/>
          </w:tcPr>
          <w:p>
            <w:pPr>
              <w:pStyle w:val="Normal"/>
              <w:widowControl w:val="false"/>
              <w:tabs>
                <w:tab w:val="clear" w:pos="720"/>
              </w:tabs>
              <w:spacing w:before="0" w:after="120"/>
              <w:jc w:val="center"/>
              <w:rPr>
                <w:rFonts w:ascii="Calibri" w:hAnsi="Calibri"/>
              </w:rPr>
            </w:pPr>
            <w:r>
              <w:rPr/>
              <w:t>53</w:t>
            </w:r>
          </w:p>
        </w:tc>
        <w:tc>
          <w:tcPr>
            <w:tcW w:w="3585" w:type="dxa"/>
            <w:tcBorders/>
            <w:vAlign w:val="bottom"/>
          </w:tcPr>
          <w:p>
            <w:pPr>
              <w:pStyle w:val="Normal"/>
              <w:widowControl w:val="false"/>
              <w:tabs>
                <w:tab w:val="clear" w:pos="720"/>
              </w:tabs>
              <w:spacing w:before="0" w:after="120"/>
              <w:jc w:val="left"/>
              <w:rPr>
                <w:rFonts w:ascii="Calibri" w:hAnsi="Calibri"/>
              </w:rPr>
            </w:pPr>
            <w:r>
              <w:rPr/>
              <w:t>Φαράσι πλαστικό</w:t>
            </w:r>
          </w:p>
        </w:tc>
        <w:tc>
          <w:tcPr>
            <w:tcW w:w="1410" w:type="dxa"/>
            <w:tcBorders/>
            <w:vAlign w:val="bottom"/>
          </w:tcPr>
          <w:p>
            <w:pPr>
              <w:pStyle w:val="Normal"/>
              <w:widowControl w:val="false"/>
              <w:tabs>
                <w:tab w:val="clear" w:pos="720"/>
              </w:tabs>
              <w:spacing w:before="0" w:after="120"/>
              <w:jc w:val="center"/>
              <w:rPr>
                <w:rFonts w:ascii="Calibri" w:hAnsi="Calibri"/>
              </w:rPr>
            </w:pPr>
            <w:r>
              <w:rPr/>
              <w:t>3</w:t>
            </w:r>
          </w:p>
        </w:tc>
        <w:tc>
          <w:tcPr>
            <w:tcW w:w="2220" w:type="dxa"/>
            <w:tcBorders/>
            <w:vAlign w:val="bottom"/>
          </w:tcPr>
          <w:p>
            <w:pPr>
              <w:pStyle w:val="Normal"/>
              <w:widowControl w:val="false"/>
              <w:tabs>
                <w:tab w:val="clear" w:pos="720"/>
              </w:tabs>
              <w:spacing w:before="0" w:after="120"/>
              <w:jc w:val="right"/>
              <w:rPr>
                <w:rFonts w:ascii="Calibri" w:hAnsi="Calibri"/>
              </w:rPr>
            </w:pPr>
            <w:r>
              <w:rPr/>
              <w:t>1,60</w:t>
            </w:r>
          </w:p>
        </w:tc>
        <w:tc>
          <w:tcPr>
            <w:tcW w:w="2259" w:type="dxa"/>
            <w:tcBorders/>
            <w:vAlign w:val="bottom"/>
          </w:tcPr>
          <w:p>
            <w:pPr>
              <w:pStyle w:val="Normal"/>
              <w:widowControl w:val="false"/>
              <w:tabs>
                <w:tab w:val="clear" w:pos="720"/>
              </w:tabs>
              <w:spacing w:before="0" w:after="120"/>
              <w:jc w:val="right"/>
              <w:rPr>
                <w:rFonts w:ascii="Calibri" w:hAnsi="Calibri"/>
              </w:rPr>
            </w:pPr>
            <w:r>
              <w:rPr/>
              <w:t>4,80</w:t>
            </w:r>
          </w:p>
        </w:tc>
      </w:tr>
      <w:tr>
        <w:trPr>
          <w:trHeight w:val="300" w:hRule="atLeast"/>
        </w:trPr>
        <w:tc>
          <w:tcPr>
            <w:tcW w:w="855" w:type="dxa"/>
            <w:tcBorders/>
            <w:vAlign w:val="bottom"/>
          </w:tcPr>
          <w:p>
            <w:pPr>
              <w:pStyle w:val="Normal"/>
              <w:widowControl w:val="false"/>
              <w:tabs>
                <w:tab w:val="clear" w:pos="720"/>
              </w:tabs>
              <w:spacing w:before="0" w:after="120"/>
              <w:jc w:val="center"/>
              <w:rPr>
                <w:rFonts w:ascii="Calibri" w:hAnsi="Calibri"/>
              </w:rPr>
            </w:pPr>
            <w:r>
              <w:rPr/>
              <w:t>54</w:t>
            </w:r>
          </w:p>
        </w:tc>
        <w:tc>
          <w:tcPr>
            <w:tcW w:w="3585" w:type="dxa"/>
            <w:tcBorders/>
            <w:vAlign w:val="bottom"/>
          </w:tcPr>
          <w:p>
            <w:pPr>
              <w:pStyle w:val="Normal"/>
              <w:widowControl w:val="false"/>
              <w:tabs>
                <w:tab w:val="clear" w:pos="720"/>
              </w:tabs>
              <w:spacing w:before="0" w:after="120"/>
              <w:jc w:val="left"/>
              <w:rPr>
                <w:rFonts w:ascii="Calibri" w:hAnsi="Calibri"/>
              </w:rPr>
            </w:pPr>
            <w:r>
              <w:rPr/>
              <w:t>Σφουγγαρίστρα</w:t>
            </w:r>
          </w:p>
        </w:tc>
        <w:tc>
          <w:tcPr>
            <w:tcW w:w="1410" w:type="dxa"/>
            <w:tcBorders/>
            <w:vAlign w:val="bottom"/>
          </w:tcPr>
          <w:p>
            <w:pPr>
              <w:pStyle w:val="Normal"/>
              <w:widowControl w:val="false"/>
              <w:tabs>
                <w:tab w:val="clear" w:pos="720"/>
              </w:tabs>
              <w:spacing w:before="0" w:after="120"/>
              <w:jc w:val="center"/>
              <w:rPr>
                <w:rFonts w:ascii="Calibri" w:hAnsi="Calibri"/>
              </w:rPr>
            </w:pPr>
            <w:r>
              <w:rPr/>
              <w:t>3</w:t>
            </w:r>
          </w:p>
        </w:tc>
        <w:tc>
          <w:tcPr>
            <w:tcW w:w="2220" w:type="dxa"/>
            <w:tcBorders/>
            <w:vAlign w:val="bottom"/>
          </w:tcPr>
          <w:p>
            <w:pPr>
              <w:pStyle w:val="Normal"/>
              <w:widowControl w:val="false"/>
              <w:tabs>
                <w:tab w:val="clear" w:pos="720"/>
              </w:tabs>
              <w:spacing w:before="0" w:after="120"/>
              <w:jc w:val="right"/>
              <w:rPr>
                <w:rFonts w:ascii="Calibri" w:hAnsi="Calibri"/>
              </w:rPr>
            </w:pPr>
            <w:r>
              <w:rPr/>
              <w:t>2,70</w:t>
            </w:r>
          </w:p>
        </w:tc>
        <w:tc>
          <w:tcPr>
            <w:tcW w:w="2259" w:type="dxa"/>
            <w:tcBorders/>
            <w:vAlign w:val="bottom"/>
          </w:tcPr>
          <w:p>
            <w:pPr>
              <w:pStyle w:val="Normal"/>
              <w:widowControl w:val="false"/>
              <w:tabs>
                <w:tab w:val="clear" w:pos="720"/>
              </w:tabs>
              <w:spacing w:before="0" w:after="120"/>
              <w:jc w:val="right"/>
              <w:rPr>
                <w:rFonts w:ascii="Calibri" w:hAnsi="Calibri"/>
              </w:rPr>
            </w:pPr>
            <w:r>
              <w:rPr/>
              <w:t>8,10</w:t>
            </w:r>
          </w:p>
        </w:tc>
      </w:tr>
      <w:tr>
        <w:trPr>
          <w:trHeight w:val="300" w:hRule="atLeast"/>
        </w:trPr>
        <w:tc>
          <w:tcPr>
            <w:tcW w:w="855" w:type="dxa"/>
            <w:tcBorders/>
            <w:vAlign w:val="bottom"/>
          </w:tcPr>
          <w:p>
            <w:pPr>
              <w:pStyle w:val="Normal"/>
              <w:widowControl w:val="false"/>
              <w:tabs>
                <w:tab w:val="clear" w:pos="720"/>
              </w:tabs>
              <w:spacing w:before="0" w:after="120"/>
              <w:jc w:val="center"/>
              <w:rPr>
                <w:rFonts w:ascii="Calibri" w:hAnsi="Calibri"/>
              </w:rPr>
            </w:pPr>
            <w:r>
              <w:rPr/>
              <w:t>55</w:t>
            </w:r>
          </w:p>
        </w:tc>
        <w:tc>
          <w:tcPr>
            <w:tcW w:w="3585" w:type="dxa"/>
            <w:tcBorders/>
            <w:vAlign w:val="bottom"/>
          </w:tcPr>
          <w:p>
            <w:pPr>
              <w:pStyle w:val="Normal"/>
              <w:widowControl w:val="false"/>
              <w:tabs>
                <w:tab w:val="clear" w:pos="720"/>
              </w:tabs>
              <w:spacing w:before="0" w:after="120"/>
              <w:jc w:val="left"/>
              <w:rPr>
                <w:rFonts w:ascii="Calibri" w:hAnsi="Calibri"/>
              </w:rPr>
            </w:pPr>
            <w:r>
              <w:rPr/>
              <w:t>Κοντάρι σφουγγαρίστρας - σκούπας</w:t>
            </w:r>
          </w:p>
        </w:tc>
        <w:tc>
          <w:tcPr>
            <w:tcW w:w="1410" w:type="dxa"/>
            <w:tcBorders/>
            <w:vAlign w:val="bottom"/>
          </w:tcPr>
          <w:p>
            <w:pPr>
              <w:pStyle w:val="Normal"/>
              <w:widowControl w:val="false"/>
              <w:tabs>
                <w:tab w:val="clear" w:pos="720"/>
              </w:tabs>
              <w:spacing w:before="0" w:after="120"/>
              <w:jc w:val="center"/>
              <w:rPr>
                <w:rFonts w:ascii="Calibri" w:hAnsi="Calibri"/>
              </w:rPr>
            </w:pPr>
            <w:r>
              <w:rPr/>
              <w:t>6</w:t>
            </w:r>
          </w:p>
        </w:tc>
        <w:tc>
          <w:tcPr>
            <w:tcW w:w="2220" w:type="dxa"/>
            <w:tcBorders/>
            <w:vAlign w:val="bottom"/>
          </w:tcPr>
          <w:p>
            <w:pPr>
              <w:pStyle w:val="Normal"/>
              <w:widowControl w:val="false"/>
              <w:tabs>
                <w:tab w:val="clear" w:pos="720"/>
              </w:tabs>
              <w:spacing w:before="0" w:after="120"/>
              <w:jc w:val="right"/>
              <w:rPr>
                <w:rFonts w:ascii="Calibri" w:hAnsi="Calibri"/>
              </w:rPr>
            </w:pPr>
            <w:r>
              <w:rPr/>
              <w:t>2,00</w:t>
            </w:r>
          </w:p>
        </w:tc>
        <w:tc>
          <w:tcPr>
            <w:tcW w:w="2259" w:type="dxa"/>
            <w:tcBorders/>
            <w:vAlign w:val="bottom"/>
          </w:tcPr>
          <w:p>
            <w:pPr>
              <w:pStyle w:val="Normal"/>
              <w:widowControl w:val="false"/>
              <w:tabs>
                <w:tab w:val="clear" w:pos="720"/>
              </w:tabs>
              <w:spacing w:before="0" w:after="120"/>
              <w:jc w:val="right"/>
              <w:rPr>
                <w:rFonts w:ascii="Calibri" w:hAnsi="Calibri"/>
              </w:rPr>
            </w:pPr>
            <w:r>
              <w:rPr/>
              <w:t>12,00</w:t>
            </w:r>
          </w:p>
        </w:tc>
      </w:tr>
      <w:tr>
        <w:trPr>
          <w:trHeight w:val="300" w:hRule="atLeast"/>
        </w:trPr>
        <w:tc>
          <w:tcPr>
            <w:tcW w:w="855" w:type="dxa"/>
            <w:tcBorders/>
            <w:vAlign w:val="bottom"/>
          </w:tcPr>
          <w:p>
            <w:pPr>
              <w:pStyle w:val="Normal"/>
              <w:widowControl w:val="false"/>
              <w:tabs>
                <w:tab w:val="clear" w:pos="720"/>
              </w:tabs>
              <w:spacing w:before="0" w:after="120"/>
              <w:jc w:val="center"/>
              <w:rPr>
                <w:rFonts w:ascii="Calibri" w:hAnsi="Calibri"/>
              </w:rPr>
            </w:pPr>
            <w:r>
              <w:rPr/>
              <w:t>56</w:t>
            </w:r>
          </w:p>
        </w:tc>
        <w:tc>
          <w:tcPr>
            <w:tcW w:w="3585" w:type="dxa"/>
            <w:tcBorders/>
            <w:vAlign w:val="bottom"/>
          </w:tcPr>
          <w:p>
            <w:pPr>
              <w:pStyle w:val="Normal"/>
              <w:widowControl w:val="false"/>
              <w:tabs>
                <w:tab w:val="clear" w:pos="720"/>
              </w:tabs>
              <w:spacing w:before="0" w:after="120"/>
              <w:jc w:val="left"/>
              <w:rPr>
                <w:rFonts w:ascii="Calibri" w:hAnsi="Calibri"/>
              </w:rPr>
            </w:pPr>
            <w:r>
              <w:rPr/>
              <w:t>Κουβάς</w:t>
            </w:r>
          </w:p>
        </w:tc>
        <w:tc>
          <w:tcPr>
            <w:tcW w:w="1410" w:type="dxa"/>
            <w:tcBorders/>
            <w:vAlign w:val="bottom"/>
          </w:tcPr>
          <w:p>
            <w:pPr>
              <w:pStyle w:val="Normal"/>
              <w:widowControl w:val="false"/>
              <w:tabs>
                <w:tab w:val="clear" w:pos="720"/>
              </w:tabs>
              <w:spacing w:before="0" w:after="120"/>
              <w:jc w:val="center"/>
              <w:rPr>
                <w:rFonts w:ascii="Calibri" w:hAnsi="Calibri"/>
              </w:rPr>
            </w:pPr>
            <w:r>
              <w:rPr/>
              <w:t>3</w:t>
            </w:r>
          </w:p>
        </w:tc>
        <w:tc>
          <w:tcPr>
            <w:tcW w:w="2220" w:type="dxa"/>
            <w:tcBorders/>
            <w:vAlign w:val="bottom"/>
          </w:tcPr>
          <w:p>
            <w:pPr>
              <w:pStyle w:val="Normal"/>
              <w:widowControl w:val="false"/>
              <w:tabs>
                <w:tab w:val="clear" w:pos="720"/>
              </w:tabs>
              <w:spacing w:before="0" w:after="120"/>
              <w:jc w:val="right"/>
              <w:rPr>
                <w:rFonts w:ascii="Calibri" w:hAnsi="Calibri"/>
              </w:rPr>
            </w:pPr>
            <w:r>
              <w:rPr/>
              <w:t>6,00</w:t>
            </w:r>
          </w:p>
        </w:tc>
        <w:tc>
          <w:tcPr>
            <w:tcW w:w="2259" w:type="dxa"/>
            <w:tcBorders/>
            <w:vAlign w:val="bottom"/>
          </w:tcPr>
          <w:p>
            <w:pPr>
              <w:pStyle w:val="Normal"/>
              <w:widowControl w:val="false"/>
              <w:tabs>
                <w:tab w:val="clear" w:pos="720"/>
              </w:tabs>
              <w:spacing w:before="0" w:after="120"/>
              <w:jc w:val="right"/>
              <w:rPr>
                <w:rFonts w:ascii="Calibri" w:hAnsi="Calibri"/>
              </w:rPr>
            </w:pPr>
            <w:r>
              <w:rPr/>
              <w:t>18,00</w:t>
            </w:r>
          </w:p>
        </w:tc>
      </w:tr>
      <w:tr>
        <w:trPr>
          <w:trHeight w:val="583" w:hRule="atLeast"/>
        </w:trPr>
        <w:tc>
          <w:tcPr>
            <w:tcW w:w="855" w:type="dxa"/>
            <w:tcBorders/>
            <w:vAlign w:val="bottom"/>
          </w:tcPr>
          <w:p>
            <w:pPr>
              <w:pStyle w:val="Normal"/>
              <w:widowControl w:val="false"/>
              <w:tabs>
                <w:tab w:val="clear" w:pos="720"/>
              </w:tabs>
              <w:spacing w:before="0" w:after="120"/>
              <w:jc w:val="center"/>
              <w:rPr>
                <w:rFonts w:ascii="Calibri" w:hAnsi="Calibri"/>
              </w:rPr>
            </w:pPr>
            <w:r>
              <w:rPr/>
              <w:t>57</w:t>
            </w:r>
          </w:p>
        </w:tc>
        <w:tc>
          <w:tcPr>
            <w:tcW w:w="3585" w:type="dxa"/>
            <w:tcBorders/>
            <w:vAlign w:val="bottom"/>
          </w:tcPr>
          <w:p>
            <w:pPr>
              <w:pStyle w:val="Normal"/>
              <w:widowControl w:val="false"/>
              <w:tabs>
                <w:tab w:val="clear" w:pos="720"/>
              </w:tabs>
              <w:spacing w:before="0" w:after="120"/>
              <w:jc w:val="left"/>
              <w:rPr>
                <w:rFonts w:ascii="Calibri" w:hAnsi="Calibri"/>
              </w:rPr>
            </w:pPr>
            <w:r>
              <w:rPr/>
              <w:t>Απλώστρα  εσωτερικού χώρου µε φτερά στο πλάι, ανοξείδωτη</w:t>
            </w:r>
          </w:p>
        </w:tc>
        <w:tc>
          <w:tcPr>
            <w:tcW w:w="1410" w:type="dxa"/>
            <w:tcBorders/>
            <w:vAlign w:val="bottom"/>
          </w:tcPr>
          <w:p>
            <w:pPr>
              <w:pStyle w:val="Normal"/>
              <w:widowControl w:val="false"/>
              <w:tabs>
                <w:tab w:val="clear" w:pos="720"/>
              </w:tabs>
              <w:spacing w:before="0" w:after="120"/>
              <w:jc w:val="center"/>
              <w:rPr>
                <w:rFonts w:ascii="Calibri" w:hAnsi="Calibri"/>
              </w:rPr>
            </w:pPr>
            <w:r>
              <w:rPr/>
              <w:t>3</w:t>
            </w:r>
          </w:p>
        </w:tc>
        <w:tc>
          <w:tcPr>
            <w:tcW w:w="2220" w:type="dxa"/>
            <w:tcBorders/>
            <w:vAlign w:val="bottom"/>
          </w:tcPr>
          <w:p>
            <w:pPr>
              <w:pStyle w:val="Normal"/>
              <w:widowControl w:val="false"/>
              <w:tabs>
                <w:tab w:val="clear" w:pos="720"/>
              </w:tabs>
              <w:spacing w:before="0" w:after="120"/>
              <w:jc w:val="right"/>
              <w:rPr>
                <w:rFonts w:ascii="Calibri" w:hAnsi="Calibri"/>
              </w:rPr>
            </w:pPr>
            <w:r>
              <w:rPr/>
              <w:t>31,00</w:t>
            </w:r>
          </w:p>
        </w:tc>
        <w:tc>
          <w:tcPr>
            <w:tcW w:w="2259" w:type="dxa"/>
            <w:tcBorders/>
            <w:vAlign w:val="bottom"/>
          </w:tcPr>
          <w:p>
            <w:pPr>
              <w:pStyle w:val="Normal"/>
              <w:widowControl w:val="false"/>
              <w:tabs>
                <w:tab w:val="clear" w:pos="720"/>
              </w:tabs>
              <w:spacing w:before="0" w:after="120"/>
              <w:jc w:val="right"/>
              <w:rPr>
                <w:rFonts w:ascii="Calibri" w:hAnsi="Calibri"/>
              </w:rPr>
            </w:pPr>
            <w:r>
              <w:rPr/>
              <w:t>93,00</w:t>
            </w:r>
          </w:p>
        </w:tc>
      </w:tr>
      <w:tr>
        <w:trPr>
          <w:trHeight w:val="569" w:hRule="atLeast"/>
        </w:trPr>
        <w:tc>
          <w:tcPr>
            <w:tcW w:w="855" w:type="dxa"/>
            <w:tcBorders/>
            <w:vAlign w:val="bottom"/>
          </w:tcPr>
          <w:p>
            <w:pPr>
              <w:pStyle w:val="Normal"/>
              <w:widowControl w:val="false"/>
              <w:tabs>
                <w:tab w:val="clear" w:pos="720"/>
              </w:tabs>
              <w:spacing w:before="0" w:after="120"/>
              <w:jc w:val="center"/>
              <w:rPr>
                <w:rFonts w:ascii="Calibri" w:hAnsi="Calibri"/>
              </w:rPr>
            </w:pPr>
            <w:r>
              <w:rPr/>
              <w:t>58</w:t>
            </w:r>
          </w:p>
        </w:tc>
        <w:tc>
          <w:tcPr>
            <w:tcW w:w="3585" w:type="dxa"/>
            <w:tcBorders/>
            <w:vAlign w:val="bottom"/>
          </w:tcPr>
          <w:p>
            <w:pPr>
              <w:pStyle w:val="Normal"/>
              <w:widowControl w:val="false"/>
              <w:tabs>
                <w:tab w:val="clear" w:pos="720"/>
              </w:tabs>
              <w:spacing w:before="0" w:after="120"/>
              <w:jc w:val="left"/>
              <w:rPr>
                <w:rFonts w:ascii="Calibri" w:hAnsi="Calibri"/>
              </w:rPr>
            </w:pPr>
            <w:r>
              <w:rPr/>
              <w:t>Μανταλάκια πλαστικά, ανθεκτικά σε συσκευασία 24 τµχ</w:t>
            </w:r>
          </w:p>
        </w:tc>
        <w:tc>
          <w:tcPr>
            <w:tcW w:w="1410" w:type="dxa"/>
            <w:tcBorders/>
            <w:vAlign w:val="bottom"/>
          </w:tcPr>
          <w:p>
            <w:pPr>
              <w:pStyle w:val="Normal"/>
              <w:widowControl w:val="false"/>
              <w:tabs>
                <w:tab w:val="clear" w:pos="720"/>
              </w:tabs>
              <w:spacing w:before="0" w:after="120"/>
              <w:jc w:val="center"/>
              <w:rPr>
                <w:rFonts w:ascii="Calibri" w:hAnsi="Calibri"/>
              </w:rPr>
            </w:pPr>
            <w:r>
              <w:rPr/>
              <w:t>12</w:t>
            </w:r>
          </w:p>
        </w:tc>
        <w:tc>
          <w:tcPr>
            <w:tcW w:w="2220" w:type="dxa"/>
            <w:tcBorders/>
            <w:vAlign w:val="bottom"/>
          </w:tcPr>
          <w:p>
            <w:pPr>
              <w:pStyle w:val="Normal"/>
              <w:widowControl w:val="false"/>
              <w:tabs>
                <w:tab w:val="clear" w:pos="720"/>
              </w:tabs>
              <w:spacing w:before="0" w:after="120"/>
              <w:jc w:val="right"/>
              <w:rPr>
                <w:rFonts w:ascii="Calibri" w:hAnsi="Calibri"/>
              </w:rPr>
            </w:pPr>
            <w:r>
              <w:rPr/>
              <w:t>1,75</w:t>
            </w:r>
          </w:p>
        </w:tc>
        <w:tc>
          <w:tcPr>
            <w:tcW w:w="2259" w:type="dxa"/>
            <w:tcBorders/>
            <w:vAlign w:val="bottom"/>
          </w:tcPr>
          <w:p>
            <w:pPr>
              <w:pStyle w:val="Normal"/>
              <w:widowControl w:val="false"/>
              <w:tabs>
                <w:tab w:val="clear" w:pos="720"/>
              </w:tabs>
              <w:spacing w:before="0" w:after="120"/>
              <w:jc w:val="right"/>
              <w:rPr>
                <w:rFonts w:ascii="Calibri" w:hAnsi="Calibri"/>
              </w:rPr>
            </w:pPr>
            <w:r>
              <w:rPr/>
              <w:t>21,00</w:t>
            </w:r>
          </w:p>
        </w:tc>
      </w:tr>
      <w:tr>
        <w:trPr>
          <w:trHeight w:val="300" w:hRule="atLeast"/>
        </w:trPr>
        <w:tc>
          <w:tcPr>
            <w:tcW w:w="855" w:type="dxa"/>
            <w:tcBorders/>
            <w:vAlign w:val="bottom"/>
          </w:tcPr>
          <w:p>
            <w:pPr>
              <w:pStyle w:val="Normal"/>
              <w:widowControl w:val="false"/>
              <w:tabs>
                <w:tab w:val="clear" w:pos="720"/>
              </w:tabs>
              <w:spacing w:before="0" w:after="120"/>
              <w:jc w:val="center"/>
              <w:rPr>
                <w:rFonts w:ascii="Calibri" w:hAnsi="Calibri"/>
              </w:rPr>
            </w:pPr>
            <w:r>
              <w:rPr/>
              <w:t>59</w:t>
            </w:r>
          </w:p>
        </w:tc>
        <w:tc>
          <w:tcPr>
            <w:tcW w:w="3585" w:type="dxa"/>
            <w:tcBorders/>
            <w:vAlign w:val="bottom"/>
          </w:tcPr>
          <w:p>
            <w:pPr>
              <w:pStyle w:val="Normal"/>
              <w:widowControl w:val="false"/>
              <w:tabs>
                <w:tab w:val="clear" w:pos="720"/>
              </w:tabs>
              <w:spacing w:before="0" w:after="120"/>
              <w:jc w:val="left"/>
              <w:rPr>
                <w:rFonts w:ascii="Calibri" w:hAnsi="Calibri"/>
              </w:rPr>
            </w:pPr>
            <w:r>
              <w:rPr/>
              <w:t>Κουρτίνα μπάνιου</w:t>
            </w:r>
          </w:p>
        </w:tc>
        <w:tc>
          <w:tcPr>
            <w:tcW w:w="1410" w:type="dxa"/>
            <w:tcBorders/>
            <w:vAlign w:val="bottom"/>
          </w:tcPr>
          <w:p>
            <w:pPr>
              <w:pStyle w:val="Normal"/>
              <w:widowControl w:val="false"/>
              <w:tabs>
                <w:tab w:val="clear" w:pos="720"/>
              </w:tabs>
              <w:spacing w:before="0" w:after="120"/>
              <w:jc w:val="center"/>
              <w:rPr>
                <w:rFonts w:ascii="Calibri" w:hAnsi="Calibri"/>
              </w:rPr>
            </w:pPr>
            <w:r>
              <w:rPr/>
              <w:t>3</w:t>
            </w:r>
          </w:p>
        </w:tc>
        <w:tc>
          <w:tcPr>
            <w:tcW w:w="2220" w:type="dxa"/>
            <w:tcBorders/>
            <w:vAlign w:val="bottom"/>
          </w:tcPr>
          <w:p>
            <w:pPr>
              <w:pStyle w:val="Normal"/>
              <w:widowControl w:val="false"/>
              <w:tabs>
                <w:tab w:val="clear" w:pos="720"/>
              </w:tabs>
              <w:spacing w:before="0" w:after="120"/>
              <w:jc w:val="right"/>
              <w:rPr>
                <w:rFonts w:ascii="Calibri" w:hAnsi="Calibri"/>
              </w:rPr>
            </w:pPr>
            <w:r>
              <w:rPr/>
              <w:t>5,90</w:t>
            </w:r>
          </w:p>
        </w:tc>
        <w:tc>
          <w:tcPr>
            <w:tcW w:w="2259" w:type="dxa"/>
            <w:tcBorders/>
            <w:vAlign w:val="bottom"/>
          </w:tcPr>
          <w:p>
            <w:pPr>
              <w:pStyle w:val="Normal"/>
              <w:widowControl w:val="false"/>
              <w:tabs>
                <w:tab w:val="clear" w:pos="720"/>
              </w:tabs>
              <w:spacing w:before="0" w:after="120"/>
              <w:jc w:val="right"/>
              <w:rPr>
                <w:rFonts w:ascii="Calibri" w:hAnsi="Calibri"/>
              </w:rPr>
            </w:pPr>
            <w:r>
              <w:rPr/>
              <w:t>17,70</w:t>
            </w:r>
          </w:p>
        </w:tc>
      </w:tr>
      <w:tr>
        <w:trPr>
          <w:trHeight w:val="300" w:hRule="atLeast"/>
        </w:trPr>
        <w:tc>
          <w:tcPr>
            <w:tcW w:w="855" w:type="dxa"/>
            <w:tcBorders/>
            <w:vAlign w:val="bottom"/>
          </w:tcPr>
          <w:p>
            <w:pPr>
              <w:pStyle w:val="Normal"/>
              <w:widowControl w:val="false"/>
              <w:tabs>
                <w:tab w:val="clear" w:pos="720"/>
              </w:tabs>
              <w:spacing w:before="0" w:after="120"/>
              <w:jc w:val="center"/>
              <w:rPr>
                <w:rFonts w:ascii="Calibri" w:hAnsi="Calibri"/>
              </w:rPr>
            </w:pPr>
            <w:r>
              <w:rPr/>
            </w:r>
          </w:p>
          <w:p>
            <w:pPr>
              <w:pStyle w:val="Normal"/>
              <w:widowControl w:val="false"/>
              <w:tabs>
                <w:tab w:val="clear" w:pos="720"/>
              </w:tabs>
              <w:spacing w:before="0" w:after="120"/>
              <w:jc w:val="center"/>
              <w:rPr>
                <w:rFonts w:ascii="Calibri" w:hAnsi="Calibri"/>
              </w:rPr>
            </w:pPr>
            <w:r>
              <w:rPr/>
              <w:t>60</w:t>
            </w:r>
          </w:p>
        </w:tc>
        <w:tc>
          <w:tcPr>
            <w:tcW w:w="3585" w:type="dxa"/>
            <w:tcBorders/>
            <w:vAlign w:val="bottom"/>
          </w:tcPr>
          <w:p>
            <w:pPr>
              <w:pStyle w:val="Normal"/>
              <w:widowControl w:val="false"/>
              <w:tabs>
                <w:tab w:val="clear" w:pos="720"/>
              </w:tabs>
              <w:spacing w:before="0" w:after="120"/>
              <w:jc w:val="left"/>
              <w:rPr>
                <w:rFonts w:ascii="Calibri" w:hAnsi="Calibri"/>
              </w:rPr>
            </w:pPr>
            <w:r>
              <w:rPr/>
              <w:t>Κουρτινόξυλο μπάνιου</w:t>
            </w:r>
          </w:p>
        </w:tc>
        <w:tc>
          <w:tcPr>
            <w:tcW w:w="1410" w:type="dxa"/>
            <w:tcBorders/>
            <w:vAlign w:val="bottom"/>
          </w:tcPr>
          <w:p>
            <w:pPr>
              <w:pStyle w:val="Normal"/>
              <w:widowControl w:val="false"/>
              <w:tabs>
                <w:tab w:val="clear" w:pos="720"/>
              </w:tabs>
              <w:spacing w:before="0" w:after="120"/>
              <w:jc w:val="center"/>
              <w:rPr>
                <w:rFonts w:ascii="Calibri" w:hAnsi="Calibri"/>
              </w:rPr>
            </w:pPr>
            <w:r>
              <w:rPr/>
              <w:t>3</w:t>
            </w:r>
          </w:p>
        </w:tc>
        <w:tc>
          <w:tcPr>
            <w:tcW w:w="2220" w:type="dxa"/>
            <w:tcBorders/>
            <w:vAlign w:val="bottom"/>
          </w:tcPr>
          <w:p>
            <w:pPr>
              <w:pStyle w:val="Normal"/>
              <w:widowControl w:val="false"/>
              <w:tabs>
                <w:tab w:val="clear" w:pos="720"/>
              </w:tabs>
              <w:spacing w:before="0" w:after="120"/>
              <w:jc w:val="right"/>
              <w:rPr>
                <w:rFonts w:ascii="Calibri" w:hAnsi="Calibri"/>
              </w:rPr>
            </w:pPr>
            <w:r>
              <w:rPr/>
              <w:t>17,00</w:t>
            </w:r>
          </w:p>
        </w:tc>
        <w:tc>
          <w:tcPr>
            <w:tcW w:w="2259" w:type="dxa"/>
            <w:tcBorders/>
            <w:vAlign w:val="bottom"/>
          </w:tcPr>
          <w:p>
            <w:pPr>
              <w:pStyle w:val="Normal"/>
              <w:widowControl w:val="false"/>
              <w:tabs>
                <w:tab w:val="clear" w:pos="720"/>
              </w:tabs>
              <w:spacing w:before="0" w:after="120"/>
              <w:jc w:val="right"/>
              <w:rPr>
                <w:rFonts w:ascii="Calibri" w:hAnsi="Calibri"/>
              </w:rPr>
            </w:pPr>
            <w:r>
              <w:rPr/>
              <w:t>51,00</w:t>
            </w:r>
          </w:p>
        </w:tc>
      </w:tr>
      <w:tr>
        <w:trPr>
          <w:trHeight w:val="300" w:hRule="atLeast"/>
        </w:trPr>
        <w:tc>
          <w:tcPr>
            <w:tcW w:w="855" w:type="dxa"/>
            <w:tcBorders/>
            <w:vAlign w:val="bottom"/>
          </w:tcPr>
          <w:p>
            <w:pPr>
              <w:pStyle w:val="Normal"/>
              <w:widowControl w:val="false"/>
              <w:tabs>
                <w:tab w:val="clear" w:pos="720"/>
              </w:tabs>
              <w:spacing w:before="0" w:after="120"/>
              <w:jc w:val="center"/>
              <w:rPr>
                <w:rFonts w:ascii="Calibri" w:hAnsi="Calibri"/>
              </w:rPr>
            </w:pPr>
            <w:r>
              <w:rPr/>
              <w:t>61</w:t>
            </w:r>
          </w:p>
        </w:tc>
        <w:tc>
          <w:tcPr>
            <w:tcW w:w="3585" w:type="dxa"/>
            <w:tcBorders/>
            <w:vAlign w:val="bottom"/>
          </w:tcPr>
          <w:p>
            <w:pPr>
              <w:pStyle w:val="Normal"/>
              <w:widowControl w:val="false"/>
              <w:tabs>
                <w:tab w:val="clear" w:pos="720"/>
              </w:tabs>
              <w:spacing w:before="0" w:after="120"/>
              <w:jc w:val="left"/>
              <w:rPr>
                <w:rFonts w:ascii="Calibri" w:hAnsi="Calibri"/>
              </w:rPr>
            </w:pPr>
            <w:r>
              <w:rPr/>
              <w:t>Σετ μπάνιου (καλάθι κ πιγκάλ)</w:t>
            </w:r>
          </w:p>
        </w:tc>
        <w:tc>
          <w:tcPr>
            <w:tcW w:w="1410" w:type="dxa"/>
            <w:tcBorders/>
            <w:vAlign w:val="bottom"/>
          </w:tcPr>
          <w:p>
            <w:pPr>
              <w:pStyle w:val="Normal"/>
              <w:widowControl w:val="false"/>
              <w:tabs>
                <w:tab w:val="clear" w:pos="720"/>
              </w:tabs>
              <w:spacing w:before="0" w:after="120"/>
              <w:jc w:val="center"/>
              <w:rPr>
                <w:rFonts w:ascii="Calibri" w:hAnsi="Calibri"/>
              </w:rPr>
            </w:pPr>
            <w:r>
              <w:rPr/>
              <w:t>3</w:t>
            </w:r>
          </w:p>
        </w:tc>
        <w:tc>
          <w:tcPr>
            <w:tcW w:w="2220" w:type="dxa"/>
            <w:tcBorders/>
            <w:vAlign w:val="bottom"/>
          </w:tcPr>
          <w:p>
            <w:pPr>
              <w:pStyle w:val="Normal"/>
              <w:widowControl w:val="false"/>
              <w:tabs>
                <w:tab w:val="clear" w:pos="720"/>
              </w:tabs>
              <w:spacing w:before="0" w:after="120"/>
              <w:jc w:val="right"/>
              <w:rPr>
                <w:rFonts w:ascii="Calibri" w:hAnsi="Calibri"/>
              </w:rPr>
            </w:pPr>
            <w:r>
              <w:rPr/>
              <w:t>17,00</w:t>
            </w:r>
          </w:p>
        </w:tc>
        <w:tc>
          <w:tcPr>
            <w:tcW w:w="2259" w:type="dxa"/>
            <w:tcBorders/>
            <w:vAlign w:val="bottom"/>
          </w:tcPr>
          <w:p>
            <w:pPr>
              <w:pStyle w:val="Normal"/>
              <w:widowControl w:val="false"/>
              <w:tabs>
                <w:tab w:val="clear" w:pos="720"/>
              </w:tabs>
              <w:spacing w:before="0" w:after="120"/>
              <w:jc w:val="right"/>
              <w:rPr>
                <w:rFonts w:ascii="Calibri" w:hAnsi="Calibri"/>
              </w:rPr>
            </w:pPr>
            <w:r>
              <w:rPr/>
              <w:t>51,00</w:t>
            </w:r>
          </w:p>
        </w:tc>
      </w:tr>
      <w:tr>
        <w:trPr>
          <w:trHeight w:val="300" w:hRule="atLeast"/>
        </w:trPr>
        <w:tc>
          <w:tcPr>
            <w:tcW w:w="855" w:type="dxa"/>
            <w:tcBorders/>
            <w:vAlign w:val="bottom"/>
          </w:tcPr>
          <w:p>
            <w:pPr>
              <w:pStyle w:val="Normal"/>
              <w:widowControl w:val="false"/>
              <w:tabs>
                <w:tab w:val="clear" w:pos="720"/>
              </w:tabs>
              <w:spacing w:before="0" w:after="120"/>
              <w:jc w:val="center"/>
              <w:rPr>
                <w:rFonts w:ascii="Calibri" w:hAnsi="Calibri"/>
              </w:rPr>
            </w:pPr>
            <w:r>
              <w:rPr/>
              <w:t>62</w:t>
            </w:r>
          </w:p>
        </w:tc>
        <w:tc>
          <w:tcPr>
            <w:tcW w:w="3585" w:type="dxa"/>
            <w:tcBorders/>
            <w:vAlign w:val="bottom"/>
          </w:tcPr>
          <w:p>
            <w:pPr>
              <w:pStyle w:val="Normal"/>
              <w:widowControl w:val="false"/>
              <w:tabs>
                <w:tab w:val="clear" w:pos="720"/>
              </w:tabs>
              <w:spacing w:before="0" w:after="120"/>
              <w:jc w:val="left"/>
              <w:rPr>
                <w:rFonts w:ascii="Calibri" w:hAnsi="Calibri"/>
              </w:rPr>
            </w:pPr>
            <w:r>
              <w:rPr/>
              <w:t>Σετ μπάνιου (4 τεμάχια)</w:t>
            </w:r>
          </w:p>
        </w:tc>
        <w:tc>
          <w:tcPr>
            <w:tcW w:w="1410" w:type="dxa"/>
            <w:tcBorders/>
            <w:vAlign w:val="bottom"/>
          </w:tcPr>
          <w:p>
            <w:pPr>
              <w:pStyle w:val="Normal"/>
              <w:widowControl w:val="false"/>
              <w:tabs>
                <w:tab w:val="clear" w:pos="720"/>
              </w:tabs>
              <w:spacing w:before="0" w:after="120"/>
              <w:jc w:val="center"/>
              <w:rPr>
                <w:rFonts w:ascii="Calibri" w:hAnsi="Calibri"/>
              </w:rPr>
            </w:pPr>
            <w:r>
              <w:rPr/>
              <w:t>3</w:t>
            </w:r>
          </w:p>
        </w:tc>
        <w:tc>
          <w:tcPr>
            <w:tcW w:w="2220" w:type="dxa"/>
            <w:tcBorders/>
            <w:vAlign w:val="bottom"/>
          </w:tcPr>
          <w:p>
            <w:pPr>
              <w:pStyle w:val="Normal"/>
              <w:widowControl w:val="false"/>
              <w:tabs>
                <w:tab w:val="clear" w:pos="720"/>
              </w:tabs>
              <w:spacing w:before="0" w:after="120"/>
              <w:jc w:val="right"/>
              <w:rPr>
                <w:rFonts w:ascii="Calibri" w:hAnsi="Calibri"/>
              </w:rPr>
            </w:pPr>
            <w:r>
              <w:rPr/>
              <w:t>9,80</w:t>
            </w:r>
          </w:p>
        </w:tc>
        <w:tc>
          <w:tcPr>
            <w:tcW w:w="2259" w:type="dxa"/>
            <w:tcBorders/>
            <w:vAlign w:val="bottom"/>
          </w:tcPr>
          <w:p>
            <w:pPr>
              <w:pStyle w:val="Normal"/>
              <w:widowControl w:val="false"/>
              <w:tabs>
                <w:tab w:val="clear" w:pos="720"/>
              </w:tabs>
              <w:spacing w:before="0" w:after="120"/>
              <w:jc w:val="right"/>
              <w:rPr>
                <w:rFonts w:ascii="Calibri" w:hAnsi="Calibri"/>
              </w:rPr>
            </w:pPr>
            <w:r>
              <w:rPr/>
              <w:t>29,40</w:t>
            </w:r>
          </w:p>
        </w:tc>
      </w:tr>
      <w:tr>
        <w:trPr>
          <w:trHeight w:val="300" w:hRule="atLeast"/>
        </w:trPr>
        <w:tc>
          <w:tcPr>
            <w:tcW w:w="855" w:type="dxa"/>
            <w:tcBorders/>
            <w:vAlign w:val="bottom"/>
          </w:tcPr>
          <w:p>
            <w:pPr>
              <w:pStyle w:val="Normal"/>
              <w:widowControl w:val="false"/>
              <w:tabs>
                <w:tab w:val="clear" w:pos="720"/>
              </w:tabs>
              <w:spacing w:before="0" w:after="120"/>
              <w:jc w:val="center"/>
              <w:rPr>
                <w:rFonts w:ascii="Calibri" w:hAnsi="Calibri"/>
              </w:rPr>
            </w:pPr>
            <w:r>
              <w:rPr/>
            </w:r>
          </w:p>
        </w:tc>
        <w:tc>
          <w:tcPr>
            <w:tcW w:w="3585" w:type="dxa"/>
            <w:tcBorders/>
            <w:vAlign w:val="bottom"/>
          </w:tcPr>
          <w:p>
            <w:pPr>
              <w:pStyle w:val="Normal"/>
              <w:widowControl w:val="false"/>
              <w:tabs>
                <w:tab w:val="clear" w:pos="720"/>
              </w:tabs>
              <w:spacing w:before="0" w:after="120"/>
              <w:jc w:val="left"/>
              <w:rPr>
                <w:rFonts w:ascii="Calibri" w:hAnsi="Calibri"/>
              </w:rPr>
            </w:pPr>
            <w:r>
              <w:rPr/>
            </w:r>
          </w:p>
        </w:tc>
        <w:tc>
          <w:tcPr>
            <w:tcW w:w="1410" w:type="dxa"/>
            <w:tcBorders/>
            <w:vAlign w:val="bottom"/>
          </w:tcPr>
          <w:p>
            <w:pPr>
              <w:pStyle w:val="Normal"/>
              <w:widowControl w:val="false"/>
              <w:tabs>
                <w:tab w:val="clear" w:pos="720"/>
              </w:tabs>
              <w:spacing w:before="0" w:after="120"/>
              <w:jc w:val="center"/>
              <w:rPr>
                <w:rFonts w:ascii="Calibri" w:hAnsi="Calibri"/>
              </w:rPr>
            </w:pPr>
            <w:r>
              <w:rPr/>
            </w:r>
          </w:p>
        </w:tc>
        <w:tc>
          <w:tcPr>
            <w:tcW w:w="2220" w:type="dxa"/>
            <w:tcBorders/>
            <w:vAlign w:val="bottom"/>
          </w:tcPr>
          <w:p>
            <w:pPr>
              <w:pStyle w:val="Normal"/>
              <w:widowControl w:val="false"/>
              <w:tabs>
                <w:tab w:val="clear" w:pos="720"/>
              </w:tabs>
              <w:spacing w:before="0" w:after="120"/>
              <w:jc w:val="left"/>
              <w:rPr>
                <w:rFonts w:ascii="Calibri" w:hAnsi="Calibri"/>
              </w:rPr>
            </w:pPr>
            <w:r>
              <w:rPr/>
            </w:r>
          </w:p>
        </w:tc>
        <w:tc>
          <w:tcPr>
            <w:tcW w:w="2259" w:type="dxa"/>
            <w:tcBorders/>
            <w:vAlign w:val="bottom"/>
          </w:tcPr>
          <w:p>
            <w:pPr>
              <w:pStyle w:val="Normal"/>
              <w:widowControl w:val="false"/>
              <w:tabs>
                <w:tab w:val="clear" w:pos="720"/>
              </w:tabs>
              <w:spacing w:before="0" w:after="120"/>
              <w:jc w:val="left"/>
              <w:rPr>
                <w:rFonts w:ascii="Calibri" w:hAnsi="Calibri"/>
              </w:rPr>
            </w:pPr>
            <w:r>
              <w:rPr/>
            </w:r>
          </w:p>
        </w:tc>
      </w:tr>
      <w:tr>
        <w:trPr>
          <w:trHeight w:val="300" w:hRule="atLeast"/>
        </w:trPr>
        <w:tc>
          <w:tcPr>
            <w:tcW w:w="855" w:type="dxa"/>
            <w:tcBorders/>
            <w:vAlign w:val="bottom"/>
          </w:tcPr>
          <w:p>
            <w:pPr>
              <w:pStyle w:val="Normal"/>
              <w:widowControl w:val="false"/>
              <w:tabs>
                <w:tab w:val="clear" w:pos="720"/>
              </w:tabs>
              <w:spacing w:before="0" w:after="120"/>
              <w:jc w:val="center"/>
              <w:rPr>
                <w:rFonts w:ascii="Calibri" w:hAnsi="Calibri"/>
              </w:rPr>
            </w:pPr>
            <w:r>
              <w:rPr/>
            </w:r>
          </w:p>
        </w:tc>
        <w:tc>
          <w:tcPr>
            <w:tcW w:w="3585" w:type="dxa"/>
            <w:tcBorders/>
            <w:vAlign w:val="bottom"/>
          </w:tcPr>
          <w:p>
            <w:pPr>
              <w:pStyle w:val="Normal"/>
              <w:widowControl w:val="false"/>
              <w:tabs>
                <w:tab w:val="clear" w:pos="720"/>
              </w:tabs>
              <w:spacing w:before="0" w:after="120"/>
              <w:jc w:val="left"/>
              <w:rPr>
                <w:rFonts w:ascii="Calibri" w:hAnsi="Calibri"/>
              </w:rPr>
            </w:pPr>
            <w:r>
              <w:rPr>
                <w:b/>
              </w:rPr>
              <w:t>Υπολογιστές - περιφερειακά</w:t>
            </w:r>
          </w:p>
        </w:tc>
        <w:tc>
          <w:tcPr>
            <w:tcW w:w="1410" w:type="dxa"/>
            <w:tcBorders/>
            <w:vAlign w:val="bottom"/>
          </w:tcPr>
          <w:p>
            <w:pPr>
              <w:pStyle w:val="Normal"/>
              <w:widowControl w:val="false"/>
              <w:tabs>
                <w:tab w:val="clear" w:pos="720"/>
              </w:tabs>
              <w:spacing w:before="0" w:after="120"/>
              <w:jc w:val="center"/>
              <w:rPr>
                <w:rFonts w:ascii="Calibri" w:hAnsi="Calibri"/>
              </w:rPr>
            </w:pPr>
            <w:r>
              <w:rPr/>
            </w:r>
          </w:p>
        </w:tc>
        <w:tc>
          <w:tcPr>
            <w:tcW w:w="2220" w:type="dxa"/>
            <w:tcBorders/>
            <w:vAlign w:val="bottom"/>
          </w:tcPr>
          <w:p>
            <w:pPr>
              <w:pStyle w:val="Normal"/>
              <w:widowControl w:val="false"/>
              <w:tabs>
                <w:tab w:val="clear" w:pos="720"/>
              </w:tabs>
              <w:spacing w:before="0" w:after="120"/>
              <w:jc w:val="left"/>
              <w:rPr>
                <w:rFonts w:ascii="Calibri" w:hAnsi="Calibri"/>
              </w:rPr>
            </w:pPr>
            <w:r>
              <w:rPr/>
            </w:r>
          </w:p>
        </w:tc>
        <w:tc>
          <w:tcPr>
            <w:tcW w:w="2259" w:type="dxa"/>
            <w:tcBorders/>
            <w:vAlign w:val="bottom"/>
          </w:tcPr>
          <w:p>
            <w:pPr>
              <w:pStyle w:val="Normal"/>
              <w:widowControl w:val="false"/>
              <w:tabs>
                <w:tab w:val="clear" w:pos="720"/>
              </w:tabs>
              <w:spacing w:before="0" w:after="120"/>
              <w:jc w:val="left"/>
              <w:rPr>
                <w:rFonts w:ascii="Calibri" w:hAnsi="Calibri"/>
              </w:rPr>
            </w:pPr>
            <w:r>
              <w:rPr/>
            </w:r>
          </w:p>
        </w:tc>
      </w:tr>
      <w:tr>
        <w:trPr>
          <w:trHeight w:val="300" w:hRule="atLeast"/>
        </w:trPr>
        <w:tc>
          <w:tcPr>
            <w:tcW w:w="855" w:type="dxa"/>
            <w:tcBorders/>
            <w:vAlign w:val="bottom"/>
          </w:tcPr>
          <w:p>
            <w:pPr>
              <w:pStyle w:val="Normal"/>
              <w:widowControl w:val="false"/>
              <w:tabs>
                <w:tab w:val="clear" w:pos="720"/>
              </w:tabs>
              <w:spacing w:before="0" w:after="120"/>
              <w:jc w:val="center"/>
              <w:rPr>
                <w:rFonts w:ascii="Calibri" w:hAnsi="Calibri"/>
              </w:rPr>
            </w:pPr>
            <w:r>
              <w:rPr/>
              <w:t>63</w:t>
            </w:r>
          </w:p>
        </w:tc>
        <w:tc>
          <w:tcPr>
            <w:tcW w:w="3585" w:type="dxa"/>
            <w:tcBorders/>
            <w:vAlign w:val="bottom"/>
          </w:tcPr>
          <w:p>
            <w:pPr>
              <w:pStyle w:val="Normal"/>
              <w:widowControl w:val="false"/>
              <w:tabs>
                <w:tab w:val="clear" w:pos="720"/>
              </w:tabs>
              <w:spacing w:before="0" w:after="120"/>
              <w:jc w:val="left"/>
              <w:rPr>
                <w:rFonts w:ascii="Calibri" w:hAnsi="Calibri"/>
              </w:rPr>
            </w:pPr>
            <w:r>
              <w:rPr/>
              <w:t>Φορητός Ηλεκτρονικός Υπολογιστής</w:t>
            </w:r>
          </w:p>
        </w:tc>
        <w:tc>
          <w:tcPr>
            <w:tcW w:w="1410" w:type="dxa"/>
            <w:tcBorders/>
            <w:vAlign w:val="bottom"/>
          </w:tcPr>
          <w:p>
            <w:pPr>
              <w:pStyle w:val="Normal"/>
              <w:widowControl w:val="false"/>
              <w:tabs>
                <w:tab w:val="clear" w:pos="720"/>
              </w:tabs>
              <w:spacing w:before="0" w:after="120"/>
              <w:jc w:val="center"/>
              <w:rPr>
                <w:rFonts w:ascii="Calibri" w:hAnsi="Calibri"/>
              </w:rPr>
            </w:pPr>
            <w:r>
              <w:rPr/>
              <w:t>3</w:t>
            </w:r>
          </w:p>
        </w:tc>
        <w:tc>
          <w:tcPr>
            <w:tcW w:w="2220" w:type="dxa"/>
            <w:tcBorders/>
            <w:vAlign w:val="bottom"/>
          </w:tcPr>
          <w:p>
            <w:pPr>
              <w:pStyle w:val="Normal"/>
              <w:widowControl w:val="false"/>
              <w:tabs>
                <w:tab w:val="clear" w:pos="720"/>
              </w:tabs>
              <w:spacing w:before="0" w:after="120"/>
              <w:jc w:val="right"/>
              <w:rPr>
                <w:rFonts w:ascii="Calibri" w:hAnsi="Calibri"/>
              </w:rPr>
            </w:pPr>
            <w:r>
              <w:rPr/>
              <w:t>569,00</w:t>
            </w:r>
          </w:p>
        </w:tc>
        <w:tc>
          <w:tcPr>
            <w:tcW w:w="2259" w:type="dxa"/>
            <w:tcBorders/>
            <w:vAlign w:val="bottom"/>
          </w:tcPr>
          <w:p>
            <w:pPr>
              <w:pStyle w:val="Normal"/>
              <w:widowControl w:val="false"/>
              <w:tabs>
                <w:tab w:val="clear" w:pos="720"/>
              </w:tabs>
              <w:spacing w:before="0" w:after="120"/>
              <w:jc w:val="right"/>
              <w:rPr>
                <w:rFonts w:ascii="Calibri" w:hAnsi="Calibri"/>
              </w:rPr>
            </w:pPr>
            <w:r>
              <w:rPr/>
              <w:t>1.707,00</w:t>
            </w:r>
          </w:p>
        </w:tc>
      </w:tr>
      <w:tr>
        <w:trPr>
          <w:trHeight w:val="300" w:hRule="atLeast"/>
        </w:trPr>
        <w:tc>
          <w:tcPr>
            <w:tcW w:w="855" w:type="dxa"/>
            <w:tcBorders/>
            <w:vAlign w:val="bottom"/>
          </w:tcPr>
          <w:p>
            <w:pPr>
              <w:pStyle w:val="Normal"/>
              <w:widowControl w:val="false"/>
              <w:tabs>
                <w:tab w:val="clear" w:pos="720"/>
              </w:tabs>
              <w:spacing w:before="0" w:after="120"/>
              <w:jc w:val="center"/>
              <w:rPr>
                <w:rFonts w:ascii="Calibri" w:hAnsi="Calibri"/>
              </w:rPr>
            </w:pPr>
            <w:r>
              <w:rPr/>
              <w:t>64</w:t>
            </w:r>
          </w:p>
        </w:tc>
        <w:tc>
          <w:tcPr>
            <w:tcW w:w="3585" w:type="dxa"/>
            <w:tcBorders/>
            <w:vAlign w:val="bottom"/>
          </w:tcPr>
          <w:p>
            <w:pPr>
              <w:pStyle w:val="Normal"/>
              <w:widowControl w:val="false"/>
              <w:tabs>
                <w:tab w:val="clear" w:pos="720"/>
              </w:tabs>
              <w:spacing w:before="0" w:after="120"/>
              <w:jc w:val="left"/>
              <w:rPr>
                <w:rFonts w:ascii="Calibri" w:hAnsi="Calibri"/>
              </w:rPr>
            </w:pPr>
            <w:r>
              <w:rPr/>
              <w:t>Ποντίκι ασύρματο</w:t>
            </w:r>
          </w:p>
        </w:tc>
        <w:tc>
          <w:tcPr>
            <w:tcW w:w="1410" w:type="dxa"/>
            <w:tcBorders/>
            <w:vAlign w:val="bottom"/>
          </w:tcPr>
          <w:p>
            <w:pPr>
              <w:pStyle w:val="Normal"/>
              <w:widowControl w:val="false"/>
              <w:tabs>
                <w:tab w:val="clear" w:pos="720"/>
              </w:tabs>
              <w:spacing w:before="0" w:after="120"/>
              <w:jc w:val="center"/>
              <w:rPr>
                <w:rFonts w:ascii="Calibri" w:hAnsi="Calibri"/>
              </w:rPr>
            </w:pPr>
            <w:r>
              <w:rPr/>
              <w:t>3</w:t>
            </w:r>
          </w:p>
        </w:tc>
        <w:tc>
          <w:tcPr>
            <w:tcW w:w="2220" w:type="dxa"/>
            <w:tcBorders/>
            <w:vAlign w:val="bottom"/>
          </w:tcPr>
          <w:p>
            <w:pPr>
              <w:pStyle w:val="Normal"/>
              <w:widowControl w:val="false"/>
              <w:tabs>
                <w:tab w:val="clear" w:pos="720"/>
              </w:tabs>
              <w:spacing w:before="0" w:after="120"/>
              <w:jc w:val="right"/>
              <w:rPr>
                <w:rFonts w:ascii="Calibri" w:hAnsi="Calibri"/>
              </w:rPr>
            </w:pPr>
            <w:r>
              <w:rPr/>
              <w:t>20,90</w:t>
            </w:r>
          </w:p>
        </w:tc>
        <w:tc>
          <w:tcPr>
            <w:tcW w:w="2259" w:type="dxa"/>
            <w:tcBorders/>
            <w:vAlign w:val="bottom"/>
          </w:tcPr>
          <w:p>
            <w:pPr>
              <w:pStyle w:val="Normal"/>
              <w:widowControl w:val="false"/>
              <w:tabs>
                <w:tab w:val="clear" w:pos="720"/>
              </w:tabs>
              <w:spacing w:before="0" w:after="120"/>
              <w:jc w:val="right"/>
              <w:rPr>
                <w:rFonts w:ascii="Calibri" w:hAnsi="Calibri"/>
              </w:rPr>
            </w:pPr>
            <w:r>
              <w:rPr/>
              <w:t>62,70</w:t>
            </w:r>
          </w:p>
        </w:tc>
      </w:tr>
      <w:tr>
        <w:trPr>
          <w:trHeight w:val="276" w:hRule="atLeast"/>
        </w:trPr>
        <w:tc>
          <w:tcPr>
            <w:tcW w:w="855" w:type="dxa"/>
            <w:tcBorders/>
            <w:vAlign w:val="bottom"/>
          </w:tcPr>
          <w:p>
            <w:pPr>
              <w:pStyle w:val="Normal"/>
              <w:widowControl w:val="false"/>
              <w:tabs>
                <w:tab w:val="clear" w:pos="720"/>
              </w:tabs>
              <w:spacing w:before="0" w:after="120"/>
              <w:jc w:val="center"/>
              <w:rPr>
                <w:rFonts w:ascii="Calibri" w:hAnsi="Calibri"/>
              </w:rPr>
            </w:pPr>
            <w:r>
              <w:rPr/>
            </w:r>
          </w:p>
        </w:tc>
        <w:tc>
          <w:tcPr>
            <w:tcW w:w="3585" w:type="dxa"/>
            <w:tcBorders/>
            <w:vAlign w:val="bottom"/>
          </w:tcPr>
          <w:p>
            <w:pPr>
              <w:pStyle w:val="Normal"/>
              <w:widowControl w:val="false"/>
              <w:tabs>
                <w:tab w:val="clear" w:pos="720"/>
              </w:tabs>
              <w:spacing w:before="0" w:after="120"/>
              <w:jc w:val="left"/>
              <w:rPr>
                <w:rFonts w:ascii="Calibri" w:hAnsi="Calibri"/>
              </w:rPr>
            </w:pPr>
            <w:r>
              <w:rPr/>
            </w:r>
          </w:p>
        </w:tc>
        <w:tc>
          <w:tcPr>
            <w:tcW w:w="1410" w:type="dxa"/>
            <w:tcBorders/>
            <w:vAlign w:val="bottom"/>
          </w:tcPr>
          <w:p>
            <w:pPr>
              <w:pStyle w:val="Normal"/>
              <w:widowControl w:val="false"/>
              <w:tabs>
                <w:tab w:val="clear" w:pos="720"/>
              </w:tabs>
              <w:spacing w:before="0" w:after="120"/>
              <w:jc w:val="center"/>
              <w:rPr>
                <w:rFonts w:ascii="Calibri" w:hAnsi="Calibri"/>
              </w:rPr>
            </w:pPr>
            <w:r>
              <w:rPr/>
            </w:r>
          </w:p>
        </w:tc>
        <w:tc>
          <w:tcPr>
            <w:tcW w:w="2220" w:type="dxa"/>
            <w:tcBorders/>
            <w:vAlign w:val="bottom"/>
          </w:tcPr>
          <w:p>
            <w:pPr>
              <w:pStyle w:val="Normal"/>
              <w:widowControl w:val="false"/>
              <w:tabs>
                <w:tab w:val="clear" w:pos="720"/>
              </w:tabs>
              <w:spacing w:before="0" w:after="120"/>
              <w:jc w:val="left"/>
              <w:rPr>
                <w:rFonts w:ascii="Calibri" w:hAnsi="Calibri"/>
              </w:rPr>
            </w:pPr>
            <w:r>
              <w:rPr/>
            </w:r>
          </w:p>
        </w:tc>
        <w:tc>
          <w:tcPr>
            <w:tcW w:w="2259" w:type="dxa"/>
            <w:tcBorders/>
            <w:vAlign w:val="bottom"/>
          </w:tcPr>
          <w:p>
            <w:pPr>
              <w:pStyle w:val="Normal"/>
              <w:widowControl w:val="false"/>
              <w:tabs>
                <w:tab w:val="clear" w:pos="720"/>
              </w:tabs>
              <w:spacing w:before="0" w:after="120"/>
              <w:jc w:val="left"/>
              <w:rPr>
                <w:rFonts w:ascii="Calibri" w:hAnsi="Calibri"/>
              </w:rPr>
            </w:pPr>
            <w:r>
              <w:rPr/>
            </w:r>
          </w:p>
        </w:tc>
      </w:tr>
      <w:tr>
        <w:trPr>
          <w:trHeight w:val="300" w:hRule="atLeast"/>
        </w:trPr>
        <w:tc>
          <w:tcPr>
            <w:tcW w:w="855" w:type="dxa"/>
            <w:tcBorders/>
            <w:vAlign w:val="bottom"/>
          </w:tcPr>
          <w:p>
            <w:pPr>
              <w:pStyle w:val="Normal"/>
              <w:widowControl w:val="false"/>
              <w:tabs>
                <w:tab w:val="clear" w:pos="720"/>
              </w:tabs>
              <w:spacing w:before="0" w:after="120"/>
              <w:jc w:val="center"/>
              <w:rPr>
                <w:rFonts w:ascii="Calibri" w:hAnsi="Calibri"/>
              </w:rPr>
            </w:pPr>
            <w:r>
              <w:rPr/>
            </w:r>
          </w:p>
        </w:tc>
        <w:tc>
          <w:tcPr>
            <w:tcW w:w="3585" w:type="dxa"/>
            <w:tcBorders/>
            <w:vAlign w:val="bottom"/>
          </w:tcPr>
          <w:p>
            <w:pPr>
              <w:pStyle w:val="Normal"/>
              <w:widowControl w:val="false"/>
              <w:tabs>
                <w:tab w:val="clear" w:pos="720"/>
              </w:tabs>
              <w:spacing w:before="0" w:after="120"/>
              <w:jc w:val="left"/>
              <w:rPr>
                <w:rFonts w:ascii="Calibri" w:hAnsi="Calibri"/>
              </w:rPr>
            </w:pPr>
            <w:r>
              <w:rPr>
                <w:b/>
              </w:rPr>
              <w:t>Άθροισμα</w:t>
            </w:r>
          </w:p>
        </w:tc>
        <w:tc>
          <w:tcPr>
            <w:tcW w:w="1410" w:type="dxa"/>
            <w:tcBorders/>
            <w:vAlign w:val="bottom"/>
          </w:tcPr>
          <w:p>
            <w:pPr>
              <w:pStyle w:val="Normal"/>
              <w:widowControl w:val="false"/>
              <w:tabs>
                <w:tab w:val="clear" w:pos="720"/>
              </w:tabs>
              <w:spacing w:before="0" w:after="120"/>
              <w:jc w:val="center"/>
              <w:rPr>
                <w:rFonts w:ascii="Calibri" w:hAnsi="Calibri"/>
              </w:rPr>
            </w:pPr>
            <w:r>
              <w:rPr/>
            </w:r>
          </w:p>
        </w:tc>
        <w:tc>
          <w:tcPr>
            <w:tcW w:w="2220" w:type="dxa"/>
            <w:tcBorders/>
            <w:vAlign w:val="bottom"/>
          </w:tcPr>
          <w:p>
            <w:pPr>
              <w:pStyle w:val="Normal"/>
              <w:widowControl w:val="false"/>
              <w:tabs>
                <w:tab w:val="clear" w:pos="720"/>
              </w:tabs>
              <w:spacing w:before="0" w:after="120"/>
              <w:jc w:val="left"/>
              <w:rPr>
                <w:rFonts w:ascii="Calibri" w:hAnsi="Calibri"/>
              </w:rPr>
            </w:pPr>
            <w:r>
              <w:rPr/>
            </w:r>
          </w:p>
        </w:tc>
        <w:tc>
          <w:tcPr>
            <w:tcW w:w="2259" w:type="dxa"/>
            <w:tcBorders/>
            <w:vAlign w:val="bottom"/>
          </w:tcPr>
          <w:p>
            <w:pPr>
              <w:pStyle w:val="Normal"/>
              <w:widowControl w:val="false"/>
              <w:tabs>
                <w:tab w:val="clear" w:pos="720"/>
              </w:tabs>
              <w:spacing w:before="0" w:after="120"/>
              <w:jc w:val="right"/>
              <w:rPr>
                <w:rFonts w:ascii="Calibri" w:hAnsi="Calibri"/>
              </w:rPr>
            </w:pPr>
            <w:r>
              <w:rPr>
                <w:b/>
              </w:rPr>
              <w:t>17.479,55</w:t>
            </w:r>
          </w:p>
        </w:tc>
      </w:tr>
      <w:tr>
        <w:trPr>
          <w:trHeight w:val="300" w:hRule="atLeast"/>
        </w:trPr>
        <w:tc>
          <w:tcPr>
            <w:tcW w:w="855" w:type="dxa"/>
            <w:tcBorders/>
            <w:vAlign w:val="bottom"/>
          </w:tcPr>
          <w:p>
            <w:pPr>
              <w:pStyle w:val="Normal"/>
              <w:widowControl w:val="false"/>
              <w:tabs>
                <w:tab w:val="clear" w:pos="720"/>
              </w:tabs>
              <w:spacing w:before="0" w:after="120"/>
              <w:jc w:val="center"/>
              <w:rPr>
                <w:rFonts w:ascii="Calibri" w:hAnsi="Calibri"/>
              </w:rPr>
            </w:pPr>
            <w:r>
              <w:rPr/>
            </w:r>
          </w:p>
        </w:tc>
        <w:tc>
          <w:tcPr>
            <w:tcW w:w="3585" w:type="dxa"/>
            <w:tcBorders/>
            <w:vAlign w:val="bottom"/>
          </w:tcPr>
          <w:p>
            <w:pPr>
              <w:pStyle w:val="Normal"/>
              <w:widowControl w:val="false"/>
              <w:tabs>
                <w:tab w:val="clear" w:pos="720"/>
              </w:tabs>
              <w:spacing w:before="0" w:after="120"/>
              <w:jc w:val="left"/>
              <w:rPr>
                <w:rFonts w:ascii="Calibri" w:hAnsi="Calibri"/>
              </w:rPr>
            </w:pPr>
            <w:r>
              <w:rPr>
                <w:b/>
              </w:rPr>
              <w:t>Προστίθεται ΦΠΑ 24%</w:t>
            </w:r>
          </w:p>
        </w:tc>
        <w:tc>
          <w:tcPr>
            <w:tcW w:w="1410" w:type="dxa"/>
            <w:tcBorders/>
            <w:vAlign w:val="bottom"/>
          </w:tcPr>
          <w:p>
            <w:pPr>
              <w:pStyle w:val="Normal"/>
              <w:widowControl w:val="false"/>
              <w:tabs>
                <w:tab w:val="clear" w:pos="720"/>
              </w:tabs>
              <w:spacing w:before="0" w:after="120"/>
              <w:jc w:val="center"/>
              <w:rPr>
                <w:rFonts w:ascii="Calibri" w:hAnsi="Calibri"/>
              </w:rPr>
            </w:pPr>
            <w:r>
              <w:rPr/>
            </w:r>
          </w:p>
        </w:tc>
        <w:tc>
          <w:tcPr>
            <w:tcW w:w="2220" w:type="dxa"/>
            <w:tcBorders/>
            <w:vAlign w:val="bottom"/>
          </w:tcPr>
          <w:p>
            <w:pPr>
              <w:pStyle w:val="Normal"/>
              <w:widowControl w:val="false"/>
              <w:tabs>
                <w:tab w:val="clear" w:pos="720"/>
              </w:tabs>
              <w:spacing w:before="0" w:after="120"/>
              <w:jc w:val="left"/>
              <w:rPr>
                <w:rFonts w:ascii="Calibri" w:hAnsi="Calibri"/>
              </w:rPr>
            </w:pPr>
            <w:r>
              <w:rPr/>
            </w:r>
          </w:p>
        </w:tc>
        <w:tc>
          <w:tcPr>
            <w:tcW w:w="2259" w:type="dxa"/>
            <w:tcBorders/>
            <w:vAlign w:val="bottom"/>
          </w:tcPr>
          <w:p>
            <w:pPr>
              <w:pStyle w:val="Normal"/>
              <w:widowControl w:val="false"/>
              <w:tabs>
                <w:tab w:val="clear" w:pos="720"/>
              </w:tabs>
              <w:spacing w:before="0" w:after="120"/>
              <w:jc w:val="right"/>
              <w:rPr>
                <w:rFonts w:ascii="Calibri" w:hAnsi="Calibri"/>
              </w:rPr>
            </w:pPr>
            <w:r>
              <w:rPr>
                <w:b/>
              </w:rPr>
              <w:t>4.195,09</w:t>
            </w:r>
          </w:p>
        </w:tc>
      </w:tr>
      <w:tr>
        <w:trPr>
          <w:trHeight w:val="347" w:hRule="atLeast"/>
        </w:trPr>
        <w:tc>
          <w:tcPr>
            <w:tcW w:w="855" w:type="dxa"/>
            <w:tcBorders/>
            <w:vAlign w:val="bottom"/>
          </w:tcPr>
          <w:p>
            <w:pPr>
              <w:pStyle w:val="Normal"/>
              <w:widowControl w:val="false"/>
              <w:tabs>
                <w:tab w:val="clear" w:pos="720"/>
              </w:tabs>
              <w:spacing w:before="0" w:after="120"/>
              <w:jc w:val="center"/>
              <w:rPr>
                <w:rFonts w:ascii="Calibri" w:hAnsi="Calibri"/>
              </w:rPr>
            </w:pPr>
            <w:r>
              <w:rPr/>
            </w:r>
          </w:p>
        </w:tc>
        <w:tc>
          <w:tcPr>
            <w:tcW w:w="3585" w:type="dxa"/>
            <w:tcBorders/>
            <w:vAlign w:val="bottom"/>
          </w:tcPr>
          <w:p>
            <w:pPr>
              <w:pStyle w:val="Normal"/>
              <w:widowControl w:val="false"/>
              <w:tabs>
                <w:tab w:val="clear" w:pos="720"/>
              </w:tabs>
              <w:spacing w:before="0" w:after="120"/>
              <w:jc w:val="left"/>
              <w:rPr>
                <w:rFonts w:ascii="Calibri" w:hAnsi="Calibri"/>
              </w:rPr>
            </w:pPr>
            <w:r>
              <w:rPr>
                <w:b/>
              </w:rPr>
              <w:t>ΣΥΝΟΛΟ ΔΑΠΑΝΗΣ</w:t>
            </w:r>
          </w:p>
        </w:tc>
        <w:tc>
          <w:tcPr>
            <w:tcW w:w="1410" w:type="dxa"/>
            <w:tcBorders/>
            <w:vAlign w:val="bottom"/>
          </w:tcPr>
          <w:p>
            <w:pPr>
              <w:pStyle w:val="Normal"/>
              <w:widowControl w:val="false"/>
              <w:tabs>
                <w:tab w:val="clear" w:pos="720"/>
              </w:tabs>
              <w:spacing w:before="0" w:after="120"/>
              <w:jc w:val="center"/>
              <w:rPr>
                <w:rFonts w:ascii="Calibri" w:hAnsi="Calibri"/>
              </w:rPr>
            </w:pPr>
            <w:r>
              <w:rPr/>
            </w:r>
          </w:p>
        </w:tc>
        <w:tc>
          <w:tcPr>
            <w:tcW w:w="2220" w:type="dxa"/>
            <w:tcBorders/>
            <w:vAlign w:val="bottom"/>
          </w:tcPr>
          <w:p>
            <w:pPr>
              <w:pStyle w:val="Normal"/>
              <w:widowControl w:val="false"/>
              <w:tabs>
                <w:tab w:val="clear" w:pos="720"/>
              </w:tabs>
              <w:spacing w:before="0" w:after="120"/>
              <w:jc w:val="left"/>
              <w:rPr>
                <w:rFonts w:ascii="Calibri" w:hAnsi="Calibri"/>
              </w:rPr>
            </w:pPr>
            <w:r>
              <w:rPr/>
            </w:r>
          </w:p>
        </w:tc>
        <w:tc>
          <w:tcPr>
            <w:tcW w:w="2259" w:type="dxa"/>
            <w:tcBorders/>
            <w:vAlign w:val="bottom"/>
          </w:tcPr>
          <w:p>
            <w:pPr>
              <w:pStyle w:val="Normal"/>
              <w:widowControl w:val="false"/>
              <w:tabs>
                <w:tab w:val="clear" w:pos="720"/>
              </w:tabs>
              <w:spacing w:before="0" w:after="120"/>
              <w:jc w:val="right"/>
              <w:rPr>
                <w:rFonts w:ascii="Calibri" w:hAnsi="Calibri"/>
              </w:rPr>
            </w:pPr>
            <w:r>
              <w:rPr>
                <w:b/>
              </w:rPr>
              <w:t>21.674,64</w:t>
            </w:r>
          </w:p>
        </w:tc>
      </w:tr>
      <w:tr>
        <w:trPr>
          <w:trHeight w:val="276" w:hRule="atLeast"/>
        </w:trPr>
        <w:tc>
          <w:tcPr>
            <w:tcW w:w="855" w:type="dxa"/>
            <w:tcBorders/>
            <w:vAlign w:val="bottom"/>
          </w:tcPr>
          <w:p>
            <w:pPr>
              <w:pStyle w:val="Normal"/>
              <w:widowControl w:val="false"/>
              <w:tabs>
                <w:tab w:val="clear" w:pos="720"/>
              </w:tabs>
              <w:spacing w:before="0" w:after="120"/>
              <w:jc w:val="center"/>
              <w:rPr>
                <w:rFonts w:ascii="Calibri" w:hAnsi="Calibri"/>
              </w:rPr>
            </w:pPr>
            <w:r>
              <w:rPr/>
            </w:r>
          </w:p>
        </w:tc>
        <w:tc>
          <w:tcPr>
            <w:tcW w:w="3585" w:type="dxa"/>
            <w:tcBorders/>
            <w:vAlign w:val="bottom"/>
          </w:tcPr>
          <w:p>
            <w:pPr>
              <w:pStyle w:val="Normal"/>
              <w:widowControl w:val="false"/>
              <w:tabs>
                <w:tab w:val="clear" w:pos="720"/>
              </w:tabs>
              <w:spacing w:before="0" w:after="120"/>
              <w:jc w:val="left"/>
              <w:rPr>
                <w:rFonts w:ascii="Calibri" w:hAnsi="Calibri"/>
              </w:rPr>
            </w:pPr>
            <w:r>
              <w:rPr/>
            </w:r>
          </w:p>
        </w:tc>
        <w:tc>
          <w:tcPr>
            <w:tcW w:w="1410" w:type="dxa"/>
            <w:tcBorders/>
            <w:vAlign w:val="bottom"/>
          </w:tcPr>
          <w:p>
            <w:pPr>
              <w:pStyle w:val="Normal"/>
              <w:widowControl w:val="false"/>
              <w:tabs>
                <w:tab w:val="clear" w:pos="720"/>
              </w:tabs>
              <w:spacing w:before="0" w:after="120"/>
              <w:jc w:val="center"/>
              <w:rPr>
                <w:rFonts w:ascii="Calibri" w:hAnsi="Calibri"/>
              </w:rPr>
            </w:pPr>
            <w:r>
              <w:rPr/>
            </w:r>
          </w:p>
        </w:tc>
        <w:tc>
          <w:tcPr>
            <w:tcW w:w="2220" w:type="dxa"/>
            <w:tcBorders/>
            <w:vAlign w:val="bottom"/>
          </w:tcPr>
          <w:p>
            <w:pPr>
              <w:pStyle w:val="Normal"/>
              <w:widowControl w:val="false"/>
              <w:tabs>
                <w:tab w:val="clear" w:pos="720"/>
              </w:tabs>
              <w:spacing w:before="0" w:after="120"/>
              <w:jc w:val="left"/>
              <w:rPr>
                <w:rFonts w:ascii="Calibri" w:hAnsi="Calibri"/>
              </w:rPr>
            </w:pPr>
            <w:r>
              <w:rPr/>
            </w:r>
          </w:p>
        </w:tc>
        <w:tc>
          <w:tcPr>
            <w:tcW w:w="2259" w:type="dxa"/>
            <w:tcBorders/>
            <w:vAlign w:val="bottom"/>
          </w:tcPr>
          <w:p>
            <w:pPr>
              <w:pStyle w:val="Normal"/>
              <w:widowControl w:val="false"/>
              <w:tabs>
                <w:tab w:val="clear" w:pos="720"/>
              </w:tabs>
              <w:spacing w:before="0" w:after="120"/>
              <w:jc w:val="left"/>
              <w:rPr>
                <w:rFonts w:ascii="Calibri" w:hAnsi="Calibri"/>
              </w:rPr>
            </w:pPr>
            <w:r>
              <w:rPr/>
            </w:r>
          </w:p>
        </w:tc>
      </w:tr>
      <w:tr>
        <w:trPr>
          <w:trHeight w:val="276" w:hRule="atLeast"/>
        </w:trPr>
        <w:tc>
          <w:tcPr>
            <w:tcW w:w="855" w:type="dxa"/>
            <w:tcBorders/>
            <w:vAlign w:val="bottom"/>
          </w:tcPr>
          <w:p>
            <w:pPr>
              <w:pStyle w:val="Normal"/>
              <w:widowControl w:val="false"/>
              <w:tabs>
                <w:tab w:val="clear" w:pos="720"/>
              </w:tabs>
              <w:spacing w:before="0" w:after="120"/>
              <w:jc w:val="center"/>
              <w:rPr>
                <w:rFonts w:ascii="Calibri" w:hAnsi="Calibri"/>
              </w:rPr>
            </w:pPr>
            <w:r>
              <w:rPr/>
            </w:r>
          </w:p>
        </w:tc>
        <w:tc>
          <w:tcPr>
            <w:tcW w:w="3585" w:type="dxa"/>
            <w:tcBorders/>
            <w:vAlign w:val="bottom"/>
          </w:tcPr>
          <w:p>
            <w:pPr>
              <w:pStyle w:val="Normal"/>
              <w:widowControl w:val="false"/>
              <w:tabs>
                <w:tab w:val="clear" w:pos="720"/>
              </w:tabs>
              <w:spacing w:before="0" w:after="120"/>
              <w:jc w:val="left"/>
              <w:rPr>
                <w:rFonts w:ascii="Calibri" w:hAnsi="Calibri"/>
              </w:rPr>
            </w:pPr>
            <w:r>
              <w:rPr/>
            </w:r>
          </w:p>
        </w:tc>
        <w:tc>
          <w:tcPr>
            <w:tcW w:w="1410" w:type="dxa"/>
            <w:tcBorders/>
            <w:vAlign w:val="bottom"/>
          </w:tcPr>
          <w:p>
            <w:pPr>
              <w:pStyle w:val="Normal"/>
              <w:widowControl w:val="false"/>
              <w:tabs>
                <w:tab w:val="clear" w:pos="720"/>
              </w:tabs>
              <w:spacing w:before="0" w:after="120"/>
              <w:jc w:val="center"/>
              <w:rPr>
                <w:rFonts w:ascii="Calibri" w:hAnsi="Calibri"/>
              </w:rPr>
            </w:pPr>
            <w:r>
              <w:rPr/>
            </w:r>
          </w:p>
        </w:tc>
        <w:tc>
          <w:tcPr>
            <w:tcW w:w="2220" w:type="dxa"/>
            <w:tcBorders/>
            <w:vAlign w:val="bottom"/>
          </w:tcPr>
          <w:p>
            <w:pPr>
              <w:pStyle w:val="Normal"/>
              <w:widowControl w:val="false"/>
              <w:tabs>
                <w:tab w:val="clear" w:pos="720"/>
              </w:tabs>
              <w:spacing w:before="0" w:after="120"/>
              <w:jc w:val="left"/>
              <w:rPr>
                <w:rFonts w:ascii="Calibri" w:hAnsi="Calibri"/>
              </w:rPr>
            </w:pPr>
            <w:r>
              <w:rPr/>
            </w:r>
          </w:p>
        </w:tc>
        <w:tc>
          <w:tcPr>
            <w:tcW w:w="2259" w:type="dxa"/>
            <w:tcBorders/>
            <w:vAlign w:val="bottom"/>
          </w:tcPr>
          <w:p>
            <w:pPr>
              <w:pStyle w:val="Normal"/>
              <w:widowControl w:val="false"/>
              <w:tabs>
                <w:tab w:val="clear" w:pos="720"/>
              </w:tabs>
              <w:spacing w:before="0" w:after="120"/>
              <w:jc w:val="left"/>
              <w:rPr>
                <w:rFonts w:ascii="Calibri" w:hAnsi="Calibri"/>
              </w:rPr>
            </w:pPr>
            <w:r>
              <w:rPr/>
            </w:r>
          </w:p>
        </w:tc>
      </w:tr>
      <w:tr>
        <w:trPr>
          <w:trHeight w:val="300" w:hRule="atLeast"/>
        </w:trPr>
        <w:tc>
          <w:tcPr>
            <w:tcW w:w="855" w:type="dxa"/>
            <w:tcBorders/>
            <w:vAlign w:val="bottom"/>
          </w:tcPr>
          <w:p>
            <w:pPr>
              <w:pStyle w:val="Normal"/>
              <w:widowControl w:val="false"/>
              <w:tabs>
                <w:tab w:val="clear" w:pos="720"/>
              </w:tabs>
              <w:spacing w:before="0" w:after="120"/>
              <w:jc w:val="center"/>
              <w:rPr>
                <w:rFonts w:ascii="Calibri" w:hAnsi="Calibri"/>
              </w:rPr>
            </w:pPr>
            <w:r>
              <w:rPr/>
            </w:r>
          </w:p>
        </w:tc>
        <w:tc>
          <w:tcPr>
            <w:tcW w:w="3585" w:type="dxa"/>
            <w:tcBorders/>
            <w:vAlign w:val="bottom"/>
          </w:tcPr>
          <w:p>
            <w:pPr>
              <w:pStyle w:val="Normal"/>
              <w:widowControl w:val="false"/>
              <w:tabs>
                <w:tab w:val="clear" w:pos="720"/>
              </w:tabs>
              <w:spacing w:before="0" w:after="120"/>
              <w:jc w:val="center"/>
              <w:rPr>
                <w:rFonts w:ascii="Calibri" w:hAnsi="Calibri"/>
              </w:rPr>
            </w:pPr>
            <w:r>
              <w:rPr>
                <w:b/>
              </w:rPr>
              <w:t>ΘΕΩΡΗΘΗΚΕ</w:t>
            </w:r>
          </w:p>
        </w:tc>
        <w:tc>
          <w:tcPr>
            <w:tcW w:w="1410" w:type="dxa"/>
            <w:tcBorders/>
            <w:vAlign w:val="bottom"/>
          </w:tcPr>
          <w:p>
            <w:pPr>
              <w:pStyle w:val="Normal"/>
              <w:widowControl w:val="false"/>
              <w:tabs>
                <w:tab w:val="clear" w:pos="720"/>
              </w:tabs>
              <w:spacing w:before="0" w:after="120"/>
              <w:jc w:val="left"/>
              <w:rPr>
                <w:rFonts w:ascii="Calibri" w:hAnsi="Calibri"/>
              </w:rPr>
            </w:pPr>
            <w:r>
              <w:rPr/>
            </w:r>
          </w:p>
        </w:tc>
        <w:tc>
          <w:tcPr>
            <w:tcW w:w="4479" w:type="dxa"/>
            <w:gridSpan w:val="2"/>
            <w:tcBorders/>
            <w:vAlign w:val="bottom"/>
          </w:tcPr>
          <w:p>
            <w:pPr>
              <w:pStyle w:val="Normal"/>
              <w:widowControl w:val="false"/>
              <w:tabs>
                <w:tab w:val="clear" w:pos="720"/>
              </w:tabs>
              <w:spacing w:before="0" w:after="120"/>
              <w:jc w:val="center"/>
              <w:rPr>
                <w:rFonts w:ascii="Calibri" w:hAnsi="Calibri"/>
              </w:rPr>
            </w:pPr>
            <w:r>
              <w:rPr>
                <w:b/>
              </w:rPr>
              <w:t>Η ΣΥΝΤΑΞΑΣΑ</w:t>
            </w:r>
          </w:p>
        </w:tc>
      </w:tr>
      <w:tr>
        <w:trPr>
          <w:trHeight w:val="300" w:hRule="atLeast"/>
        </w:trPr>
        <w:tc>
          <w:tcPr>
            <w:tcW w:w="855" w:type="dxa"/>
            <w:tcBorders/>
            <w:vAlign w:val="bottom"/>
          </w:tcPr>
          <w:p>
            <w:pPr>
              <w:pStyle w:val="Normal"/>
              <w:widowControl w:val="false"/>
              <w:tabs>
                <w:tab w:val="clear" w:pos="720"/>
              </w:tabs>
              <w:spacing w:before="0" w:after="120"/>
              <w:jc w:val="center"/>
              <w:rPr>
                <w:rFonts w:ascii="Calibri" w:hAnsi="Calibri"/>
              </w:rPr>
            </w:pPr>
            <w:r>
              <w:rPr/>
            </w:r>
          </w:p>
        </w:tc>
        <w:tc>
          <w:tcPr>
            <w:tcW w:w="3585" w:type="dxa"/>
            <w:tcBorders/>
            <w:vAlign w:val="bottom"/>
          </w:tcPr>
          <w:p>
            <w:pPr>
              <w:pStyle w:val="Normal"/>
              <w:widowControl w:val="false"/>
              <w:tabs>
                <w:tab w:val="clear" w:pos="720"/>
              </w:tabs>
              <w:spacing w:before="0" w:after="120"/>
              <w:jc w:val="center"/>
              <w:rPr>
                <w:rFonts w:ascii="Calibri" w:hAnsi="Calibri"/>
              </w:rPr>
            </w:pPr>
            <w:r>
              <w:rPr>
                <w:b/>
              </w:rPr>
              <w:t>Ο ΠΡΟΙΣΤΑΜΕΝΟΣ ΔΙΕΥΘΥΝΣΗΣ</w:t>
            </w:r>
          </w:p>
        </w:tc>
        <w:tc>
          <w:tcPr>
            <w:tcW w:w="1410" w:type="dxa"/>
            <w:tcBorders/>
            <w:vAlign w:val="bottom"/>
          </w:tcPr>
          <w:p>
            <w:pPr>
              <w:pStyle w:val="Normal"/>
              <w:widowControl w:val="false"/>
              <w:tabs>
                <w:tab w:val="clear" w:pos="720"/>
              </w:tabs>
              <w:spacing w:before="0" w:after="120"/>
              <w:jc w:val="left"/>
              <w:rPr>
                <w:rFonts w:ascii="Calibri" w:hAnsi="Calibri"/>
              </w:rPr>
            </w:pPr>
            <w:r>
              <w:rPr/>
            </w:r>
          </w:p>
        </w:tc>
        <w:tc>
          <w:tcPr>
            <w:tcW w:w="4479" w:type="dxa"/>
            <w:gridSpan w:val="2"/>
            <w:tcBorders/>
            <w:vAlign w:val="bottom"/>
          </w:tcPr>
          <w:p>
            <w:pPr>
              <w:pStyle w:val="Normal"/>
              <w:widowControl w:val="false"/>
              <w:tabs>
                <w:tab w:val="clear" w:pos="720"/>
              </w:tabs>
              <w:spacing w:before="0" w:after="120"/>
              <w:jc w:val="center"/>
              <w:rPr>
                <w:rFonts w:ascii="Calibri" w:hAnsi="Calibri"/>
              </w:rPr>
            </w:pPr>
            <w:r>
              <w:rPr/>
            </w:r>
          </w:p>
        </w:tc>
      </w:tr>
      <w:tr>
        <w:trPr>
          <w:trHeight w:val="300" w:hRule="atLeast"/>
        </w:trPr>
        <w:tc>
          <w:tcPr>
            <w:tcW w:w="855" w:type="dxa"/>
            <w:tcBorders/>
            <w:vAlign w:val="bottom"/>
          </w:tcPr>
          <w:p>
            <w:pPr>
              <w:pStyle w:val="Normal"/>
              <w:widowControl w:val="false"/>
              <w:tabs>
                <w:tab w:val="clear" w:pos="720"/>
              </w:tabs>
              <w:spacing w:before="0" w:after="120"/>
              <w:jc w:val="center"/>
              <w:rPr>
                <w:rFonts w:ascii="Calibri" w:hAnsi="Calibri"/>
              </w:rPr>
            </w:pPr>
            <w:r>
              <w:rPr/>
            </w:r>
          </w:p>
        </w:tc>
        <w:tc>
          <w:tcPr>
            <w:tcW w:w="3585" w:type="dxa"/>
            <w:tcBorders/>
            <w:vAlign w:val="bottom"/>
          </w:tcPr>
          <w:p>
            <w:pPr>
              <w:pStyle w:val="Normal"/>
              <w:widowControl w:val="false"/>
              <w:tabs>
                <w:tab w:val="clear" w:pos="720"/>
              </w:tabs>
              <w:spacing w:before="0" w:after="120"/>
              <w:jc w:val="center"/>
              <w:rPr>
                <w:rFonts w:ascii="Calibri" w:hAnsi="Calibri"/>
              </w:rPr>
            </w:pPr>
            <w:r>
              <w:rPr/>
            </w:r>
          </w:p>
        </w:tc>
        <w:tc>
          <w:tcPr>
            <w:tcW w:w="1410" w:type="dxa"/>
            <w:tcBorders/>
            <w:vAlign w:val="bottom"/>
          </w:tcPr>
          <w:p>
            <w:pPr>
              <w:pStyle w:val="Normal"/>
              <w:widowControl w:val="false"/>
              <w:tabs>
                <w:tab w:val="clear" w:pos="720"/>
              </w:tabs>
              <w:spacing w:before="0" w:after="120"/>
              <w:jc w:val="left"/>
              <w:rPr>
                <w:rFonts w:ascii="Calibri" w:hAnsi="Calibri"/>
              </w:rPr>
            </w:pPr>
            <w:r>
              <w:rPr/>
            </w:r>
          </w:p>
        </w:tc>
        <w:tc>
          <w:tcPr>
            <w:tcW w:w="2220" w:type="dxa"/>
            <w:tcBorders/>
            <w:vAlign w:val="bottom"/>
          </w:tcPr>
          <w:p>
            <w:pPr>
              <w:pStyle w:val="Normal"/>
              <w:widowControl w:val="false"/>
              <w:tabs>
                <w:tab w:val="clear" w:pos="720"/>
              </w:tabs>
              <w:spacing w:before="0" w:after="120"/>
              <w:jc w:val="left"/>
              <w:rPr>
                <w:rFonts w:ascii="Calibri" w:hAnsi="Calibri"/>
              </w:rPr>
            </w:pPr>
            <w:r>
              <w:rPr/>
            </w:r>
          </w:p>
        </w:tc>
        <w:tc>
          <w:tcPr>
            <w:tcW w:w="2259" w:type="dxa"/>
            <w:tcBorders/>
            <w:vAlign w:val="bottom"/>
          </w:tcPr>
          <w:p>
            <w:pPr>
              <w:pStyle w:val="Normal"/>
              <w:widowControl w:val="false"/>
              <w:tabs>
                <w:tab w:val="clear" w:pos="720"/>
              </w:tabs>
              <w:spacing w:before="0" w:after="120"/>
              <w:jc w:val="left"/>
              <w:rPr>
                <w:rFonts w:ascii="Calibri" w:hAnsi="Calibri"/>
              </w:rPr>
            </w:pPr>
            <w:r>
              <w:rPr/>
            </w:r>
          </w:p>
        </w:tc>
      </w:tr>
      <w:tr>
        <w:trPr>
          <w:trHeight w:val="300" w:hRule="atLeast"/>
        </w:trPr>
        <w:tc>
          <w:tcPr>
            <w:tcW w:w="855" w:type="dxa"/>
            <w:tcBorders/>
            <w:vAlign w:val="bottom"/>
          </w:tcPr>
          <w:p>
            <w:pPr>
              <w:pStyle w:val="Normal"/>
              <w:widowControl w:val="false"/>
              <w:tabs>
                <w:tab w:val="clear" w:pos="720"/>
              </w:tabs>
              <w:spacing w:before="0" w:after="120"/>
              <w:jc w:val="center"/>
              <w:rPr>
                <w:rFonts w:ascii="Calibri" w:hAnsi="Calibri"/>
              </w:rPr>
            </w:pPr>
            <w:r>
              <w:rPr/>
            </w:r>
          </w:p>
        </w:tc>
        <w:tc>
          <w:tcPr>
            <w:tcW w:w="3585" w:type="dxa"/>
            <w:tcBorders/>
            <w:vAlign w:val="bottom"/>
          </w:tcPr>
          <w:p>
            <w:pPr>
              <w:pStyle w:val="Normal"/>
              <w:widowControl w:val="false"/>
              <w:tabs>
                <w:tab w:val="clear" w:pos="720"/>
              </w:tabs>
              <w:spacing w:before="0" w:after="120"/>
              <w:jc w:val="center"/>
              <w:rPr>
                <w:rFonts w:ascii="Calibri" w:hAnsi="Calibri"/>
              </w:rPr>
            </w:pPr>
            <w:r>
              <w:rPr/>
            </w:r>
          </w:p>
        </w:tc>
        <w:tc>
          <w:tcPr>
            <w:tcW w:w="1410" w:type="dxa"/>
            <w:tcBorders/>
            <w:vAlign w:val="bottom"/>
          </w:tcPr>
          <w:p>
            <w:pPr>
              <w:pStyle w:val="Normal"/>
              <w:widowControl w:val="false"/>
              <w:tabs>
                <w:tab w:val="clear" w:pos="720"/>
              </w:tabs>
              <w:spacing w:before="0" w:after="120"/>
              <w:jc w:val="left"/>
              <w:rPr>
                <w:rFonts w:ascii="Calibri" w:hAnsi="Calibri"/>
              </w:rPr>
            </w:pPr>
            <w:r>
              <w:rPr/>
            </w:r>
          </w:p>
        </w:tc>
        <w:tc>
          <w:tcPr>
            <w:tcW w:w="2220" w:type="dxa"/>
            <w:tcBorders/>
            <w:vAlign w:val="bottom"/>
          </w:tcPr>
          <w:p>
            <w:pPr>
              <w:pStyle w:val="Normal"/>
              <w:widowControl w:val="false"/>
              <w:tabs>
                <w:tab w:val="clear" w:pos="720"/>
              </w:tabs>
              <w:spacing w:before="0" w:after="120"/>
              <w:jc w:val="left"/>
              <w:rPr>
                <w:rFonts w:ascii="Calibri" w:hAnsi="Calibri"/>
              </w:rPr>
            </w:pPr>
            <w:r>
              <w:rPr/>
            </w:r>
          </w:p>
        </w:tc>
        <w:tc>
          <w:tcPr>
            <w:tcW w:w="2259" w:type="dxa"/>
            <w:tcBorders/>
            <w:vAlign w:val="bottom"/>
          </w:tcPr>
          <w:p>
            <w:pPr>
              <w:pStyle w:val="Normal"/>
              <w:widowControl w:val="false"/>
              <w:tabs>
                <w:tab w:val="clear" w:pos="720"/>
              </w:tabs>
              <w:spacing w:before="0" w:after="120"/>
              <w:jc w:val="left"/>
              <w:rPr>
                <w:rFonts w:ascii="Calibri" w:hAnsi="Calibri"/>
              </w:rPr>
            </w:pPr>
            <w:r>
              <w:rPr/>
            </w:r>
          </w:p>
        </w:tc>
      </w:tr>
      <w:tr>
        <w:trPr>
          <w:trHeight w:val="300" w:hRule="atLeast"/>
        </w:trPr>
        <w:tc>
          <w:tcPr>
            <w:tcW w:w="855" w:type="dxa"/>
            <w:tcBorders/>
            <w:vAlign w:val="bottom"/>
          </w:tcPr>
          <w:p>
            <w:pPr>
              <w:pStyle w:val="Normal"/>
              <w:widowControl w:val="false"/>
              <w:tabs>
                <w:tab w:val="clear" w:pos="720"/>
              </w:tabs>
              <w:spacing w:before="0" w:after="120"/>
              <w:jc w:val="center"/>
              <w:rPr>
                <w:rFonts w:ascii="Calibri" w:hAnsi="Calibri"/>
              </w:rPr>
            </w:pPr>
            <w:r>
              <w:rPr/>
            </w:r>
          </w:p>
        </w:tc>
        <w:tc>
          <w:tcPr>
            <w:tcW w:w="3585" w:type="dxa"/>
            <w:tcBorders/>
            <w:vAlign w:val="bottom"/>
          </w:tcPr>
          <w:p>
            <w:pPr>
              <w:pStyle w:val="Normal"/>
              <w:widowControl w:val="false"/>
              <w:tabs>
                <w:tab w:val="clear" w:pos="720"/>
              </w:tabs>
              <w:spacing w:before="0" w:after="120"/>
              <w:jc w:val="center"/>
              <w:rPr>
                <w:rFonts w:ascii="Calibri" w:hAnsi="Calibri"/>
              </w:rPr>
            </w:pPr>
            <w:r>
              <w:rPr>
                <w:b/>
              </w:rPr>
              <w:t>ΒΑΙΟΣ ΑΝΥΦΑΝΤΗΣ</w:t>
            </w:r>
          </w:p>
        </w:tc>
        <w:tc>
          <w:tcPr>
            <w:tcW w:w="1410" w:type="dxa"/>
            <w:tcBorders/>
            <w:vAlign w:val="bottom"/>
          </w:tcPr>
          <w:p>
            <w:pPr>
              <w:pStyle w:val="Normal"/>
              <w:widowControl w:val="false"/>
              <w:tabs>
                <w:tab w:val="clear" w:pos="720"/>
              </w:tabs>
              <w:spacing w:before="0" w:after="120"/>
              <w:jc w:val="left"/>
              <w:rPr>
                <w:rFonts w:ascii="Calibri" w:hAnsi="Calibri"/>
              </w:rPr>
            </w:pPr>
            <w:r>
              <w:rPr/>
            </w:r>
          </w:p>
        </w:tc>
        <w:tc>
          <w:tcPr>
            <w:tcW w:w="4479" w:type="dxa"/>
            <w:gridSpan w:val="2"/>
            <w:tcBorders/>
            <w:vAlign w:val="bottom"/>
          </w:tcPr>
          <w:p>
            <w:pPr>
              <w:pStyle w:val="Normal"/>
              <w:widowControl w:val="false"/>
              <w:tabs>
                <w:tab w:val="clear" w:pos="720"/>
              </w:tabs>
              <w:spacing w:before="0" w:after="120"/>
              <w:jc w:val="center"/>
              <w:rPr>
                <w:rFonts w:ascii="Calibri" w:hAnsi="Calibri"/>
              </w:rPr>
            </w:pPr>
            <w:r>
              <w:rPr>
                <w:b/>
              </w:rPr>
              <w:t>ΝΑΤΑΛΙΑ ΤΖΕΛΛΟΥ</w:t>
            </w:r>
          </w:p>
        </w:tc>
      </w:tr>
    </w:tbl>
    <w:p>
      <w:pPr>
        <w:pStyle w:val="Normal"/>
        <w:tabs>
          <w:tab w:val="clear" w:pos="720"/>
          <w:tab w:val="left" w:pos="3828" w:leader="none"/>
        </w:tabs>
        <w:spacing w:lineRule="auto" w:line="360"/>
        <w:jc w:val="center"/>
        <w:rPr>
          <w:rFonts w:ascii="Verdana" w:hAnsi="Verdana" w:cs="Verdana"/>
          <w:b/>
          <w:b/>
          <w:sz w:val="28"/>
          <w:szCs w:val="28"/>
          <w:u w:val="single"/>
        </w:rPr>
      </w:pPr>
      <w:r>
        <w:rPr>
          <w:rFonts w:cs="Verdana" w:ascii="Verdana" w:hAnsi="Verdana"/>
          <w:b/>
          <w:sz w:val="28"/>
          <w:szCs w:val="28"/>
          <w:u w:val="single"/>
        </w:rPr>
      </w:r>
    </w:p>
    <w:p>
      <w:pPr>
        <w:pStyle w:val="Normal"/>
        <w:tabs>
          <w:tab w:val="clear" w:pos="720"/>
          <w:tab w:val="left" w:pos="3828" w:leader="none"/>
        </w:tabs>
        <w:spacing w:lineRule="auto" w:line="360"/>
        <w:jc w:val="center"/>
        <w:rPr>
          <w:rFonts w:ascii="Calibri" w:hAnsi="Calibri"/>
        </w:rPr>
      </w:pPr>
      <w:r>
        <w:rPr/>
      </w:r>
    </w:p>
    <w:p>
      <w:pPr>
        <w:pStyle w:val="Normal"/>
        <w:suppressAutoHyphens w:val="false"/>
        <w:spacing w:before="57" w:after="57"/>
        <w:rPr>
          <w:rFonts w:eastAsia="SimSun"/>
          <w:szCs w:val="22"/>
          <w:lang w:val="el-GR"/>
        </w:rPr>
      </w:pPr>
      <w:r>
        <w:rPr>
          <w:rFonts w:eastAsia="SimSun"/>
          <w:szCs w:val="22"/>
          <w:lang w:val="el-GR"/>
        </w:rPr>
      </w:r>
    </w:p>
    <w:p>
      <w:pPr>
        <w:pStyle w:val="2"/>
        <w:tabs>
          <w:tab w:val="clear" w:pos="567"/>
          <w:tab w:val="left" w:pos="0" w:leader="none"/>
        </w:tabs>
        <w:spacing w:before="57" w:after="57"/>
        <w:ind w:left="0" w:hanging="0"/>
        <w:rPr>
          <w:rFonts w:eastAsia="SimSun"/>
          <w:i/>
          <w:i/>
          <w:iCs/>
          <w:color w:val="5B9BD5"/>
          <w:lang w:val="el-GR"/>
        </w:rPr>
      </w:pPr>
      <w:r>
        <w:rPr>
          <w:rFonts w:eastAsia="SimSun"/>
          <w:i/>
          <w:iCs/>
          <w:color w:val="5B9BD5"/>
          <w:lang w:val="el-GR"/>
        </w:rPr>
      </w:r>
    </w:p>
    <w:p>
      <w:pPr>
        <w:pStyle w:val="2"/>
        <w:tabs>
          <w:tab w:val="clear" w:pos="567"/>
          <w:tab w:val="left" w:pos="0" w:leader="none"/>
        </w:tabs>
        <w:spacing w:before="57" w:after="57"/>
        <w:ind w:left="0" w:hanging="0"/>
        <w:rPr>
          <w:rFonts w:eastAsia="SimSun"/>
          <w:i/>
          <w:i/>
          <w:iCs/>
          <w:color w:val="5B9BD5"/>
          <w:lang w:val="el-GR"/>
        </w:rPr>
      </w:pPr>
      <w:r>
        <w:rPr>
          <w:rFonts w:eastAsia="SimSun"/>
          <w:i/>
          <w:iCs/>
          <w:color w:val="5B9BD5"/>
          <w:lang w:val="el-GR"/>
        </w:rPr>
      </w:r>
    </w:p>
    <w:p>
      <w:pPr>
        <w:pStyle w:val="2"/>
        <w:tabs>
          <w:tab w:val="clear" w:pos="567"/>
          <w:tab w:val="left" w:pos="0" w:leader="none"/>
        </w:tabs>
        <w:spacing w:before="57" w:after="57"/>
        <w:ind w:left="0" w:hanging="0"/>
        <w:rPr>
          <w:rFonts w:eastAsia="SimSun"/>
          <w:i/>
          <w:i/>
          <w:iCs/>
          <w:color w:val="5B9BD5"/>
          <w:lang w:val="el-GR"/>
        </w:rPr>
      </w:pPr>
      <w:r>
        <w:rPr>
          <w:rFonts w:eastAsia="SimSun"/>
          <w:i/>
          <w:iCs/>
          <w:color w:val="5B9BD5"/>
          <w:lang w:val="el-GR"/>
        </w:rPr>
      </w:r>
    </w:p>
    <w:p>
      <w:pPr>
        <w:pStyle w:val="2"/>
        <w:tabs>
          <w:tab w:val="clear" w:pos="567"/>
          <w:tab w:val="left" w:pos="0" w:leader="none"/>
        </w:tabs>
        <w:spacing w:before="57" w:after="57"/>
        <w:ind w:left="0" w:hanging="0"/>
        <w:rPr>
          <w:rFonts w:eastAsia="SimSun"/>
          <w:i/>
          <w:i/>
          <w:iCs/>
          <w:color w:val="5B9BD5"/>
          <w:lang w:val="el-GR"/>
        </w:rPr>
      </w:pPr>
      <w:r>
        <w:rPr>
          <w:rFonts w:eastAsia="SimSun"/>
          <w:i/>
          <w:iCs/>
          <w:color w:val="5B9BD5"/>
          <w:lang w:val="el-GR"/>
        </w:rPr>
      </w:r>
    </w:p>
    <w:p>
      <w:pPr>
        <w:pStyle w:val="2"/>
        <w:tabs>
          <w:tab w:val="clear" w:pos="567"/>
          <w:tab w:val="left" w:pos="0" w:leader="none"/>
        </w:tabs>
        <w:spacing w:before="57" w:after="57"/>
        <w:ind w:left="0" w:hanging="0"/>
        <w:rPr>
          <w:rFonts w:eastAsia="SimSun"/>
          <w:i/>
          <w:i/>
          <w:iCs/>
          <w:color w:val="5B9BD5"/>
          <w:lang w:val="el-GR"/>
        </w:rPr>
      </w:pPr>
      <w:r>
        <w:rPr>
          <w:rFonts w:eastAsia="SimSun"/>
          <w:i/>
          <w:iCs/>
          <w:color w:val="5B9BD5"/>
          <w:lang w:val="el-GR"/>
        </w:rPr>
      </w:r>
    </w:p>
    <w:p>
      <w:pPr>
        <w:pStyle w:val="2"/>
        <w:tabs>
          <w:tab w:val="clear" w:pos="567"/>
          <w:tab w:val="left" w:pos="0" w:leader="none"/>
        </w:tabs>
        <w:spacing w:before="57" w:after="57"/>
        <w:ind w:left="0" w:hanging="0"/>
        <w:rPr>
          <w:rFonts w:eastAsia="SimSun"/>
          <w:i/>
          <w:i/>
          <w:iCs/>
          <w:color w:val="5B9BD5"/>
          <w:lang w:val="el-GR"/>
        </w:rPr>
      </w:pPr>
      <w:r>
        <w:rPr>
          <w:rFonts w:eastAsia="SimSun"/>
          <w:i/>
          <w:iCs/>
          <w:color w:val="5B9BD5"/>
          <w:lang w:val="el-GR"/>
        </w:rPr>
      </w:r>
    </w:p>
    <w:p>
      <w:pPr>
        <w:pStyle w:val="2"/>
        <w:tabs>
          <w:tab w:val="clear" w:pos="567"/>
          <w:tab w:val="left" w:pos="0" w:leader="none"/>
        </w:tabs>
        <w:spacing w:before="57" w:after="57"/>
        <w:ind w:left="0" w:hanging="0"/>
        <w:rPr>
          <w:rFonts w:eastAsia="SimSun"/>
          <w:i/>
          <w:i/>
          <w:iCs/>
          <w:color w:val="5B9BD5"/>
          <w:lang w:val="el-GR"/>
        </w:rPr>
      </w:pPr>
      <w:r>
        <w:rPr>
          <w:rFonts w:eastAsia="SimSun"/>
          <w:i/>
          <w:iCs/>
          <w:color w:val="5B9BD5"/>
          <w:lang w:val="el-GR"/>
        </w:rPr>
      </w:r>
    </w:p>
    <w:p>
      <w:pPr>
        <w:pStyle w:val="2"/>
        <w:tabs>
          <w:tab w:val="clear" w:pos="567"/>
          <w:tab w:val="left" w:pos="0" w:leader="none"/>
        </w:tabs>
        <w:spacing w:before="57" w:after="57"/>
        <w:ind w:left="0" w:hanging="0"/>
        <w:rPr>
          <w:rFonts w:eastAsia="SimSun"/>
          <w:i/>
          <w:i/>
          <w:iCs/>
          <w:color w:val="5B9BD5"/>
          <w:lang w:val="el-GR"/>
        </w:rPr>
      </w:pPr>
      <w:r>
        <w:rPr>
          <w:rFonts w:eastAsia="SimSun"/>
          <w:i/>
          <w:iCs/>
          <w:color w:val="5B9BD5"/>
          <w:lang w:val="el-GR"/>
        </w:rPr>
      </w:r>
    </w:p>
    <w:p>
      <w:pPr>
        <w:pStyle w:val="2"/>
        <w:tabs>
          <w:tab w:val="clear" w:pos="567"/>
          <w:tab w:val="left" w:pos="0" w:leader="none"/>
        </w:tabs>
        <w:spacing w:before="57" w:after="57"/>
        <w:ind w:left="0" w:hanging="0"/>
        <w:rPr>
          <w:rFonts w:eastAsia="SimSun"/>
          <w:i/>
          <w:i/>
          <w:iCs/>
          <w:color w:val="5B9BD5"/>
          <w:lang w:val="el-GR"/>
        </w:rPr>
      </w:pPr>
      <w:r>
        <w:rPr>
          <w:rFonts w:eastAsia="SimSun"/>
          <w:i/>
          <w:iCs/>
          <w:color w:val="5B9BD5"/>
          <w:lang w:val="el-GR"/>
        </w:rPr>
      </w:r>
    </w:p>
    <w:p>
      <w:pPr>
        <w:pStyle w:val="2"/>
        <w:tabs>
          <w:tab w:val="clear" w:pos="567"/>
          <w:tab w:val="left" w:pos="0" w:leader="none"/>
        </w:tabs>
        <w:spacing w:before="57" w:after="57"/>
        <w:ind w:left="0" w:hanging="0"/>
        <w:rPr>
          <w:rFonts w:eastAsia="SimSun"/>
          <w:i/>
          <w:i/>
          <w:iCs/>
          <w:color w:val="5B9BD5"/>
          <w:lang w:val="el-GR"/>
        </w:rPr>
      </w:pPr>
      <w:r>
        <w:rPr>
          <w:rFonts w:eastAsia="SimSun"/>
          <w:i/>
          <w:iCs/>
          <w:color w:val="5B9BD5"/>
          <w:lang w:val="el-GR"/>
        </w:rPr>
      </w:r>
    </w:p>
    <w:p>
      <w:pPr>
        <w:pStyle w:val="2"/>
        <w:tabs>
          <w:tab w:val="clear" w:pos="567"/>
          <w:tab w:val="left" w:pos="0" w:leader="none"/>
        </w:tabs>
        <w:spacing w:before="57" w:after="57"/>
        <w:ind w:left="0" w:hanging="0"/>
        <w:rPr>
          <w:rFonts w:eastAsia="SimSun"/>
          <w:i/>
          <w:i/>
          <w:iCs/>
          <w:color w:val="5B9BD5"/>
          <w:lang w:val="el-GR"/>
        </w:rPr>
      </w:pPr>
      <w:bookmarkStart w:id="77" w:name="_Toc129004465"/>
      <w:r>
        <w:rPr>
          <w:lang w:val="el-GR"/>
        </w:rPr>
        <w:t>ΠΑΡΑΡΤΗΜΑ ΙΙ –  Ειδική Συγγραφή Υποχρεώσεων (προσαρμοσμένο από την Αναθέτουσα Αρχή)</w:t>
      </w:r>
      <w:bookmarkEnd w:id="77"/>
    </w:p>
    <w:p>
      <w:pPr>
        <w:pStyle w:val="Normal"/>
        <w:suppressAutoHyphens w:val="false"/>
        <w:spacing w:before="57" w:after="57"/>
        <w:rPr>
          <w:b/>
          <w:b/>
          <w:bCs/>
          <w:color w:val="auto"/>
        </w:rPr>
      </w:pPr>
      <w:r>
        <w:rPr>
          <w:rFonts w:eastAsia="SimSun"/>
          <w:b/>
          <w:bCs/>
          <w:i/>
          <w:iCs/>
          <w:color w:val="auto"/>
          <w:szCs w:val="22"/>
          <w:lang w:val="el-GR"/>
        </w:rPr>
        <w:t>ΌΠΩΣ ΑΥΤΕΣ ΠΕΡΙΓΡΑΦΟΝΤΑΙ ΣΤΟ ΠΑΡΑΡΤΗΜΑ Ι</w:t>
      </w:r>
    </w:p>
    <w:p>
      <w:pPr>
        <w:pStyle w:val="2"/>
        <w:tabs>
          <w:tab w:val="clear" w:pos="567"/>
          <w:tab w:val="left" w:pos="0" w:leader="none"/>
        </w:tabs>
        <w:spacing w:before="57" w:after="57"/>
        <w:ind w:left="0" w:hanging="0"/>
        <w:rPr>
          <w:i/>
          <w:i/>
          <w:color w:val="5B9BD5"/>
          <w:lang w:val="el-GR"/>
        </w:rPr>
      </w:pPr>
      <w:r>
        <w:rPr>
          <w:i/>
          <w:color w:val="5B9BD5"/>
          <w:lang w:val="el-GR"/>
        </w:rPr>
      </w:r>
    </w:p>
    <w:p>
      <w:pPr>
        <w:pStyle w:val="2"/>
        <w:tabs>
          <w:tab w:val="clear" w:pos="567"/>
          <w:tab w:val="left" w:pos="0" w:leader="none"/>
        </w:tabs>
        <w:spacing w:before="57" w:after="57"/>
        <w:ind w:left="0" w:hanging="0"/>
        <w:rPr>
          <w:rFonts w:eastAsia="SimSun"/>
          <w:i/>
          <w:i/>
          <w:iCs/>
          <w:color w:val="5B9BD5"/>
          <w:lang w:val="el-GR"/>
        </w:rPr>
      </w:pPr>
      <w:r>
        <w:rPr>
          <w:rFonts w:eastAsia="SimSun"/>
          <w:i/>
          <w:iCs/>
          <w:color w:val="5B9BD5"/>
          <w:lang w:val="el-GR"/>
        </w:rPr>
      </w:r>
    </w:p>
    <w:p>
      <w:pPr>
        <w:pStyle w:val="2"/>
        <w:tabs>
          <w:tab w:val="clear" w:pos="567"/>
          <w:tab w:val="left" w:pos="0" w:leader="none"/>
        </w:tabs>
        <w:spacing w:before="57" w:after="57"/>
        <w:ind w:left="0" w:hanging="0"/>
        <w:rPr>
          <w:rFonts w:eastAsia="SimSun"/>
          <w:i/>
          <w:i/>
          <w:iCs/>
          <w:color w:val="5B9BD5"/>
          <w:lang w:val="el-GR"/>
        </w:rPr>
      </w:pPr>
      <w:bookmarkStart w:id="78" w:name="_Toc129004474"/>
      <w:bookmarkStart w:id="79" w:name="_Toc129004473"/>
      <w:bookmarkStart w:id="80" w:name="_Toc129004472"/>
      <w:bookmarkStart w:id="81" w:name="_Toc129004471"/>
      <w:bookmarkStart w:id="82" w:name="_Toc129004470"/>
      <w:bookmarkStart w:id="83" w:name="_Toc129004469"/>
      <w:bookmarkStart w:id="84" w:name="_Toc129004468"/>
      <w:bookmarkStart w:id="85" w:name="_Toc129004467"/>
      <w:bookmarkStart w:id="86" w:name="_Toc1290044651"/>
      <w:r>
        <w:rPr>
          <w:lang w:val="el-GR"/>
        </w:rPr>
        <w:t>ΠΑΡΑΡΤΗΜΑ ΙΙ</w:t>
      </w:r>
      <w:r>
        <w:rPr>
          <w:lang w:val="el-GR"/>
        </w:rPr>
        <w:t>Ι</w:t>
      </w:r>
      <w:r>
        <w:rPr>
          <w:lang w:val="el-GR"/>
        </w:rPr>
        <w:t xml:space="preserve"> –  </w:t>
      </w:r>
      <w:bookmarkEnd w:id="78"/>
      <w:bookmarkEnd w:id="79"/>
      <w:bookmarkEnd w:id="80"/>
      <w:bookmarkEnd w:id="81"/>
      <w:bookmarkEnd w:id="82"/>
      <w:bookmarkEnd w:id="83"/>
      <w:bookmarkEnd w:id="84"/>
      <w:bookmarkEnd w:id="85"/>
      <w:bookmarkEnd w:id="86"/>
      <w:r>
        <w:rPr>
          <w:lang w:val="el-GR"/>
        </w:rPr>
        <w:t>Υπόδειγμα Οικονομικής Προσφοράς</w:t>
      </w:r>
    </w:p>
    <w:p>
      <w:pPr>
        <w:pStyle w:val="Normal"/>
        <w:spacing w:before="0" w:after="0"/>
        <w:jc w:val="left"/>
        <w:rPr>
          <w:rStyle w:val="Style23"/>
          <w:rFonts w:eastAsia="MS Mincho;ＭＳ 明朝"/>
          <w:b/>
          <w:b/>
          <w:bCs/>
          <w:sz w:val="22"/>
          <w:szCs w:val="22"/>
          <w:lang w:val="el-GR" w:eastAsia="ja-JP"/>
        </w:rPr>
      </w:pPr>
      <w:r>
        <w:rPr>
          <w:rFonts w:eastAsia="MS Mincho;ＭＳ 明朝"/>
          <w:b/>
          <w:bCs/>
          <w:sz w:val="22"/>
          <w:szCs w:val="22"/>
          <w:lang w:val="el-GR" w:eastAsia="ja-JP"/>
        </w:rPr>
      </w:r>
    </w:p>
    <w:p>
      <w:pPr>
        <w:pStyle w:val="Normal"/>
        <w:spacing w:before="0" w:after="0"/>
        <w:jc w:val="left"/>
        <w:rPr/>
      </w:pPr>
      <w:r>
        <w:rPr>
          <w:rStyle w:val="Style23"/>
          <w:rFonts w:eastAsia="MS Mincho;ＭＳ 明朝"/>
          <w:b/>
          <w:bCs/>
          <w:sz w:val="22"/>
          <w:szCs w:val="22"/>
          <w:lang w:val="el-GR" w:eastAsia="ja-JP"/>
        </w:rPr>
        <w:t>Προς: ΔΗΜΟ ΚΑΡΔΙΤΣΑΣ</w:t>
      </w:r>
    </w:p>
    <w:p>
      <w:pPr>
        <w:pStyle w:val="Normal"/>
        <w:spacing w:before="0" w:after="0"/>
        <w:jc w:val="left"/>
        <w:rPr/>
      </w:pPr>
      <w:r>
        <w:rPr>
          <w:rStyle w:val="Style23"/>
          <w:rFonts w:eastAsia="MS Mincho;ＭＳ 明朝"/>
          <w:sz w:val="20"/>
          <w:szCs w:val="20"/>
          <w:lang w:val="el-GR" w:eastAsia="ja-JP"/>
        </w:rPr>
        <w:tab/>
        <w:tab/>
        <w:tab/>
        <w:tab/>
        <w:t xml:space="preserve">                 </w:t>
      </w:r>
    </w:p>
    <w:p>
      <w:pPr>
        <w:pStyle w:val="Normal"/>
        <w:ind w:left="-180" w:right="0" w:hanging="0"/>
        <w:jc w:val="center"/>
        <w:rPr>
          <w:b/>
          <w:b/>
          <w:sz w:val="22"/>
          <w:szCs w:val="22"/>
          <w:lang w:val="el-GR"/>
        </w:rPr>
      </w:pPr>
      <w:r>
        <w:rPr>
          <w:b/>
          <w:sz w:val="22"/>
          <w:szCs w:val="22"/>
          <w:lang w:val="el-GR"/>
        </w:rPr>
        <w:t>ΟΙΚΟΝΟΜΙΚΗ ΠΡΟΣΦΟΡΑ</w:t>
      </w:r>
    </w:p>
    <w:p>
      <w:pPr>
        <w:pStyle w:val="Normal"/>
        <w:ind w:left="-180" w:right="0" w:hanging="0"/>
        <w:rPr/>
      </w:pPr>
      <w:r>
        <w:rPr>
          <w:b/>
          <w:bCs/>
          <w:u w:val="single"/>
          <w:lang w:val="el-GR"/>
        </w:rPr>
        <w:t xml:space="preserve">Για την </w:t>
      </w:r>
      <w:r>
        <w:rPr>
          <w:b/>
          <w:bCs/>
          <w:szCs w:val="22"/>
          <w:u w:val="single"/>
          <w:lang w:val="en-US"/>
        </w:rPr>
        <w:t xml:space="preserve"> </w:t>
      </w:r>
      <w:r>
        <w:rPr>
          <w:b/>
          <w:bCs/>
          <w:szCs w:val="22"/>
          <w:u w:val="single"/>
          <w:lang w:val="el-GR"/>
        </w:rPr>
        <w:t>προμήθεια με τίτλο:</w:t>
      </w:r>
      <w:r>
        <w:rPr>
          <w:rFonts w:cs="Times New Roman" w:ascii="Times New Roman" w:hAnsi="Times New Roman"/>
          <w:b/>
          <w:bCs/>
          <w:sz w:val="24"/>
          <w:szCs w:val="24"/>
          <w:u w:val="single"/>
          <w:lang w:val="el-GR"/>
        </w:rPr>
        <w:t>«Υποέργο 2 -</w:t>
      </w:r>
      <w:r>
        <w:rPr>
          <w:rFonts w:eastAsia="Times New Roman" w:cs="Times New Roman" w:ascii="Times New Roman" w:hAnsi="Times New Roman"/>
          <w:b/>
          <w:bCs/>
          <w:color w:val="000000"/>
          <w:kern w:val="0"/>
          <w:sz w:val="24"/>
          <w:szCs w:val="24"/>
          <w:u w:val="single"/>
          <w:lang w:val="el-GR" w:eastAsia="ar-SA" w:bidi="ar-SA"/>
        </w:rPr>
        <w:t>Κατασκευή κτιρίου και προμήθεια εξοπλισμού για πολυχώρο κοινωνικής αλληλεγγύης (κοινωνικό παντοπωλείο &amp; δομή υποστηριζόμενων διαμερισμάτων) - Προμήθεια</w:t>
      </w:r>
      <w:r>
        <w:rPr>
          <w:rFonts w:cs="Times New Roman" w:ascii="Times New Roman" w:hAnsi="Times New Roman"/>
          <w:b/>
          <w:bCs/>
          <w:sz w:val="24"/>
          <w:szCs w:val="24"/>
          <w:u w:val="single"/>
          <w:lang w:val="el-GR"/>
        </w:rPr>
        <w:t>»</w:t>
      </w:r>
    </w:p>
    <w:p>
      <w:pPr>
        <w:pStyle w:val="Normal"/>
        <w:ind w:left="-180" w:right="0" w:hanging="0"/>
        <w:rPr>
          <w:b/>
          <w:b/>
          <w:bCs/>
          <w:sz w:val="20"/>
          <w:szCs w:val="22"/>
          <w:u w:val="single"/>
          <w:lang w:val="en-US"/>
        </w:rPr>
      </w:pPr>
      <w:r>
        <w:rPr>
          <w:b/>
          <w:bCs/>
          <w:sz w:val="20"/>
          <w:szCs w:val="22"/>
          <w:u w:val="single"/>
          <w:lang w:val="en-US"/>
        </w:rPr>
        <w:t xml:space="preserve">ΠΙΝΑΚΑΣ A </w:t>
        <w:tab/>
        <w:tab/>
      </w:r>
    </w:p>
    <w:tbl>
      <w:tblPr>
        <w:tblW w:w="9111" w:type="dxa"/>
        <w:jc w:val="center"/>
        <w:tblInd w:w="0" w:type="dxa"/>
        <w:tblLayout w:type="fixed"/>
        <w:tblCellMar>
          <w:top w:w="0" w:type="dxa"/>
          <w:left w:w="108" w:type="dxa"/>
          <w:bottom w:w="0" w:type="dxa"/>
          <w:right w:w="108" w:type="dxa"/>
        </w:tblCellMar>
      </w:tblPr>
      <w:tblGrid>
        <w:gridCol w:w="4416"/>
        <w:gridCol w:w="4694"/>
      </w:tblGrid>
      <w:tr>
        <w:trPr>
          <w:trHeight w:val="384" w:hRule="atLeast"/>
        </w:trPr>
        <w:tc>
          <w:tcPr>
            <w:tcW w:w="9110"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jc w:val="center"/>
              <w:rPr>
                <w:b/>
                <w:b/>
                <w:sz w:val="20"/>
                <w:szCs w:val="20"/>
                <w:lang w:val="el-GR"/>
              </w:rPr>
            </w:pPr>
            <w:r>
              <w:rPr>
                <w:b/>
                <w:sz w:val="20"/>
                <w:szCs w:val="20"/>
                <w:lang w:val="el-GR"/>
              </w:rPr>
              <w:t>ΣΤΟΙΧΕΙΑ ΠΡΟΣΦΕΡΟΝΤΟΣ</w:t>
            </w:r>
          </w:p>
        </w:tc>
      </w:tr>
      <w:tr>
        <w:trPr>
          <w:trHeight w:val="170" w:hRule="atLeast"/>
        </w:trPr>
        <w:tc>
          <w:tcPr>
            <w:tcW w:w="441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jc w:val="left"/>
              <w:rPr>
                <w:b/>
                <w:b/>
                <w:sz w:val="20"/>
                <w:szCs w:val="20"/>
                <w:lang w:val="el-GR"/>
              </w:rPr>
            </w:pPr>
            <w:r>
              <w:rPr>
                <w:b/>
                <w:sz w:val="20"/>
                <w:szCs w:val="20"/>
                <w:lang w:val="el-GR"/>
              </w:rPr>
              <w:t>ΕΠΩΝΥΜΙΑ  ΠΡΟΣΦΕΡΟΝΤΟΣ</w:t>
            </w:r>
          </w:p>
        </w:tc>
        <w:tc>
          <w:tcPr>
            <w:tcW w:w="469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spacing w:before="0" w:after="0"/>
              <w:jc w:val="center"/>
              <w:rPr>
                <w:b/>
                <w:b/>
                <w:sz w:val="20"/>
                <w:szCs w:val="20"/>
                <w:lang w:val="el-GR"/>
              </w:rPr>
            </w:pPr>
            <w:r>
              <w:rPr>
                <w:b/>
                <w:sz w:val="20"/>
                <w:szCs w:val="20"/>
                <w:lang w:val="el-GR"/>
              </w:rPr>
            </w:r>
          </w:p>
        </w:tc>
      </w:tr>
      <w:tr>
        <w:trPr>
          <w:trHeight w:val="170" w:hRule="atLeast"/>
        </w:trPr>
        <w:tc>
          <w:tcPr>
            <w:tcW w:w="441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jc w:val="left"/>
              <w:rPr>
                <w:b/>
                <w:b/>
                <w:sz w:val="20"/>
                <w:szCs w:val="20"/>
                <w:lang w:val="el-GR"/>
              </w:rPr>
            </w:pPr>
            <w:r>
              <w:rPr>
                <w:b/>
                <w:sz w:val="20"/>
                <w:szCs w:val="20"/>
                <w:lang w:val="el-GR"/>
              </w:rPr>
              <w:t>ΔΙΕΥΘΥΝΣΗ, Τ.Κ,  ΠΟΛΗ ΕΔΡΑΣ:</w:t>
            </w:r>
          </w:p>
        </w:tc>
        <w:tc>
          <w:tcPr>
            <w:tcW w:w="469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spacing w:before="0" w:after="0"/>
              <w:jc w:val="center"/>
              <w:rPr>
                <w:b/>
                <w:b/>
                <w:sz w:val="20"/>
                <w:szCs w:val="20"/>
                <w:lang w:val="el-GR"/>
              </w:rPr>
            </w:pPr>
            <w:r>
              <w:rPr>
                <w:b/>
                <w:sz w:val="20"/>
                <w:szCs w:val="20"/>
                <w:lang w:val="el-GR"/>
              </w:rPr>
            </w:r>
          </w:p>
        </w:tc>
      </w:tr>
      <w:tr>
        <w:trPr>
          <w:trHeight w:val="170" w:hRule="atLeast"/>
        </w:trPr>
        <w:tc>
          <w:tcPr>
            <w:tcW w:w="441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jc w:val="left"/>
              <w:rPr/>
            </w:pPr>
            <w:r>
              <w:rPr>
                <w:b/>
                <w:sz w:val="20"/>
                <w:szCs w:val="20"/>
                <w:lang w:val="el-GR"/>
              </w:rPr>
              <w:t xml:space="preserve">ΤΗΛΕΦΩΝΑ/ ΦΑΞ / </w:t>
            </w:r>
            <w:r>
              <w:rPr>
                <w:b/>
                <w:sz w:val="20"/>
                <w:szCs w:val="20"/>
                <w:lang w:val="en-US"/>
              </w:rPr>
              <w:t xml:space="preserve"> E-MAIL</w:t>
            </w:r>
            <w:r>
              <w:rPr>
                <w:b/>
                <w:sz w:val="20"/>
                <w:szCs w:val="20"/>
                <w:lang w:val="el-GR"/>
              </w:rPr>
              <w:t>:</w:t>
            </w:r>
          </w:p>
        </w:tc>
        <w:tc>
          <w:tcPr>
            <w:tcW w:w="469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spacing w:before="0" w:after="0"/>
              <w:jc w:val="center"/>
              <w:rPr>
                <w:b/>
                <w:b/>
                <w:sz w:val="20"/>
                <w:szCs w:val="20"/>
                <w:lang w:val="el-GR"/>
              </w:rPr>
            </w:pPr>
            <w:r>
              <w:rPr>
                <w:b/>
                <w:sz w:val="20"/>
                <w:szCs w:val="20"/>
                <w:lang w:val="el-GR"/>
              </w:rPr>
            </w:r>
          </w:p>
        </w:tc>
      </w:tr>
      <w:tr>
        <w:trPr>
          <w:trHeight w:val="170" w:hRule="atLeast"/>
        </w:trPr>
        <w:tc>
          <w:tcPr>
            <w:tcW w:w="441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jc w:val="left"/>
              <w:rPr>
                <w:b/>
                <w:b/>
                <w:sz w:val="20"/>
                <w:szCs w:val="20"/>
                <w:lang w:val="el-GR"/>
              </w:rPr>
            </w:pPr>
            <w:r>
              <w:rPr>
                <w:b/>
                <w:sz w:val="20"/>
                <w:szCs w:val="20"/>
                <w:lang w:val="el-GR"/>
              </w:rPr>
              <w:t>ΑΦΜ-ΔΟΥ</w:t>
            </w:r>
          </w:p>
        </w:tc>
        <w:tc>
          <w:tcPr>
            <w:tcW w:w="469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spacing w:before="0" w:after="0"/>
              <w:jc w:val="center"/>
              <w:rPr>
                <w:b/>
                <w:b/>
                <w:sz w:val="20"/>
                <w:szCs w:val="20"/>
                <w:lang w:val="el-GR"/>
              </w:rPr>
            </w:pPr>
            <w:r>
              <w:rPr>
                <w:b/>
                <w:sz w:val="20"/>
                <w:szCs w:val="20"/>
                <w:lang w:val="el-GR"/>
              </w:rPr>
            </w:r>
          </w:p>
        </w:tc>
      </w:tr>
      <w:tr>
        <w:trPr>
          <w:trHeight w:val="170" w:hRule="atLeast"/>
        </w:trPr>
        <w:tc>
          <w:tcPr>
            <w:tcW w:w="441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jc w:val="left"/>
              <w:rPr>
                <w:b/>
                <w:b/>
                <w:sz w:val="20"/>
                <w:szCs w:val="20"/>
                <w:lang w:val="el-GR"/>
              </w:rPr>
            </w:pPr>
            <w:r>
              <w:rPr>
                <w:b/>
                <w:sz w:val="20"/>
                <w:szCs w:val="20"/>
                <w:lang w:val="el-GR"/>
              </w:rPr>
              <w:t>ΝΟΜΙΜΟΣ ΕΚΠΡΟΣΩΠΟΣ:</w:t>
            </w:r>
          </w:p>
        </w:tc>
        <w:tc>
          <w:tcPr>
            <w:tcW w:w="469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spacing w:before="0" w:after="0"/>
              <w:jc w:val="center"/>
              <w:rPr>
                <w:b/>
                <w:b/>
                <w:sz w:val="20"/>
                <w:szCs w:val="20"/>
                <w:lang w:val="el-GR"/>
              </w:rPr>
            </w:pPr>
            <w:r>
              <w:rPr>
                <w:b/>
                <w:sz w:val="20"/>
                <w:szCs w:val="20"/>
                <w:lang w:val="el-GR"/>
              </w:rPr>
            </w:r>
          </w:p>
        </w:tc>
      </w:tr>
      <w:tr>
        <w:trPr>
          <w:trHeight w:val="170" w:hRule="atLeast"/>
        </w:trPr>
        <w:tc>
          <w:tcPr>
            <w:tcW w:w="441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jc w:val="left"/>
              <w:rPr>
                <w:b/>
                <w:b/>
                <w:sz w:val="20"/>
                <w:szCs w:val="20"/>
                <w:lang w:val="el-GR"/>
              </w:rPr>
            </w:pPr>
            <w:r>
              <w:rPr>
                <w:b/>
                <w:sz w:val="20"/>
                <w:szCs w:val="20"/>
                <w:lang w:val="el-GR"/>
              </w:rPr>
              <w:t>Α.Δ.Τ. ( Νομίμου Εκπροσώπου)</w:t>
            </w:r>
          </w:p>
        </w:tc>
        <w:tc>
          <w:tcPr>
            <w:tcW w:w="469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spacing w:before="0" w:after="0"/>
              <w:jc w:val="center"/>
              <w:rPr>
                <w:b/>
                <w:b/>
                <w:sz w:val="20"/>
                <w:szCs w:val="20"/>
                <w:lang w:val="el-GR"/>
              </w:rPr>
            </w:pPr>
            <w:r>
              <w:rPr>
                <w:b/>
                <w:sz w:val="20"/>
                <w:szCs w:val="20"/>
                <w:lang w:val="el-GR"/>
              </w:rPr>
            </w:r>
          </w:p>
        </w:tc>
      </w:tr>
      <w:tr>
        <w:trPr>
          <w:trHeight w:val="170" w:hRule="atLeast"/>
        </w:trPr>
        <w:tc>
          <w:tcPr>
            <w:tcW w:w="441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jc w:val="left"/>
              <w:rPr>
                <w:b/>
                <w:b/>
                <w:sz w:val="20"/>
                <w:szCs w:val="20"/>
                <w:lang w:val="el-GR"/>
              </w:rPr>
            </w:pPr>
            <w:r>
              <w:rPr>
                <w:b/>
                <w:sz w:val="20"/>
                <w:szCs w:val="20"/>
                <w:lang w:val="el-GR"/>
              </w:rPr>
              <w:t>Υπεύθυνος Επικοινωνίας</w:t>
            </w:r>
          </w:p>
        </w:tc>
        <w:tc>
          <w:tcPr>
            <w:tcW w:w="469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spacing w:before="0" w:after="0"/>
              <w:jc w:val="center"/>
              <w:rPr>
                <w:b/>
                <w:b/>
                <w:sz w:val="20"/>
                <w:szCs w:val="20"/>
                <w:lang w:val="el-GR"/>
              </w:rPr>
            </w:pPr>
            <w:r>
              <w:rPr>
                <w:b/>
                <w:sz w:val="20"/>
                <w:szCs w:val="20"/>
                <w:lang w:val="el-GR"/>
              </w:rPr>
            </w:r>
          </w:p>
        </w:tc>
      </w:tr>
    </w:tbl>
    <w:p>
      <w:pPr>
        <w:pStyle w:val="Normal"/>
        <w:spacing w:before="0" w:after="0"/>
        <w:rPr>
          <w:sz w:val="20"/>
          <w:szCs w:val="20"/>
          <w:lang w:val="en-US"/>
        </w:rPr>
      </w:pPr>
      <w:r>
        <w:rPr>
          <w:sz w:val="20"/>
          <w:szCs w:val="20"/>
          <w:lang w:val="en-US"/>
        </w:rPr>
      </w:r>
    </w:p>
    <w:p>
      <w:pPr>
        <w:pStyle w:val="Normal"/>
        <w:spacing w:before="0" w:after="0"/>
        <w:ind w:left="-180" w:right="0" w:hanging="0"/>
        <w:rPr/>
      </w:pPr>
      <w:r>
        <w:rPr>
          <w:sz w:val="20"/>
          <w:szCs w:val="20"/>
          <w:lang w:val="el-GR" w:eastAsia="el-GR"/>
        </w:rPr>
        <w:t xml:space="preserve">Ο υπογράφων </w:t>
      </w:r>
      <w:r>
        <w:rPr>
          <w:rFonts w:cs="Calibri;Italic"/>
          <w:i/>
          <w:iCs/>
          <w:sz w:val="20"/>
          <w:szCs w:val="20"/>
          <w:lang w:val="el-GR" w:eastAsia="el-GR"/>
        </w:rPr>
        <w:t xml:space="preserve">(Όνομα- Επώνυμο- Πατρώνυμο-Α.Δ.Τ.) </w:t>
      </w:r>
      <w:r>
        <w:rPr>
          <w:sz w:val="20"/>
          <w:szCs w:val="20"/>
          <w:lang w:val="el-GR" w:eastAsia="el-GR"/>
        </w:rPr>
        <w:t>με την ιδιότητα του νομίμου εκπροσώπου του ανωτέρω ……………………. προσώπου για την προμήθεια του ανωτέρω τίτλου όπως αυτή περιγράφεται στην με αρ. πρωτ. ……………………………………………………………….   (ΑΔΑΜ:</w:t>
      </w:r>
    </w:p>
    <w:p>
      <w:pPr>
        <w:pStyle w:val="Normal"/>
        <w:spacing w:before="0" w:after="0"/>
        <w:ind w:left="-180" w:right="0" w:hanging="0"/>
        <w:rPr/>
      </w:pPr>
      <w:r>
        <w:rPr>
          <w:sz w:val="20"/>
          <w:szCs w:val="20"/>
          <w:lang w:val="el-GR" w:eastAsia="el-GR"/>
        </w:rPr>
        <w:t>…………………………</w:t>
      </w:r>
      <w:r>
        <w:rPr>
          <w:sz w:val="20"/>
          <w:szCs w:val="20"/>
          <w:lang w:val="el-GR" w:eastAsia="el-GR"/>
        </w:rPr>
        <w:t>.…………………) διακήρυξη, υποβάλλω την παρακάτω προσφορά:</w:t>
      </w:r>
    </w:p>
    <w:p>
      <w:pPr>
        <w:pStyle w:val="Normal"/>
        <w:suppressAutoHyphens w:val="false"/>
        <w:spacing w:before="0" w:after="0"/>
        <w:rPr>
          <w:sz w:val="18"/>
          <w:szCs w:val="20"/>
          <w:lang w:val="el-GR" w:eastAsia="el-GR"/>
        </w:rPr>
      </w:pPr>
      <w:r>
        <w:rPr>
          <w:sz w:val="18"/>
          <w:szCs w:val="20"/>
          <w:lang w:val="el-GR" w:eastAsia="el-GR"/>
        </w:rPr>
      </w:r>
    </w:p>
    <w:tbl>
      <w:tblPr>
        <w:tblW w:w="9036" w:type="dxa"/>
        <w:jc w:val="left"/>
        <w:tblInd w:w="0" w:type="dxa"/>
        <w:tblLayout w:type="fixed"/>
        <w:tblCellMar>
          <w:top w:w="0" w:type="dxa"/>
          <w:left w:w="108" w:type="dxa"/>
          <w:bottom w:w="0" w:type="dxa"/>
          <w:right w:w="108" w:type="dxa"/>
        </w:tblCellMar>
      </w:tblPr>
      <w:tblGrid>
        <w:gridCol w:w="4290"/>
        <w:gridCol w:w="1830"/>
        <w:gridCol w:w="2916"/>
      </w:tblGrid>
      <w:tr>
        <w:trPr/>
        <w:tc>
          <w:tcPr>
            <w:tcW w:w="9036"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before="0" w:after="0"/>
              <w:jc w:val="center"/>
              <w:rPr>
                <w:rFonts w:cs="Arial"/>
                <w:b/>
                <w:b/>
                <w:sz w:val="20"/>
                <w:szCs w:val="20"/>
                <w:lang w:val="el-GR"/>
              </w:rPr>
            </w:pPr>
            <w:r>
              <w:rPr>
                <w:rFonts w:cs="Arial"/>
                <w:b/>
                <w:sz w:val="20"/>
                <w:szCs w:val="20"/>
                <w:lang w:val="el-GR"/>
              </w:rPr>
              <w:t>ΣΥΝΟΠΤΙΚΟΣ ΠΙΝΑΚΑΣ ΟΙΚΟΝΟΜΙΚΗΣ ΠΡΟΣΦΟΡΑΣ</w:t>
            </w:r>
          </w:p>
        </w:tc>
      </w:tr>
      <w:tr>
        <w:trPr>
          <w:trHeight w:val="1478" w:hRule="atLeast"/>
        </w:trPr>
        <w:tc>
          <w:tcPr>
            <w:tcW w:w="42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jc w:val="left"/>
              <w:rPr>
                <w:rFonts w:eastAsia="Calibri;Bold" w:cs="Arial"/>
                <w:b/>
                <w:b/>
                <w:bCs/>
                <w:sz w:val="20"/>
                <w:szCs w:val="20"/>
                <w:lang w:val="el-GR" w:eastAsia="el-GR"/>
              </w:rPr>
            </w:pPr>
            <w:r>
              <w:rPr>
                <w:rFonts w:eastAsia="Calibri;Bold" w:cs="Arial"/>
                <w:b/>
                <w:bCs/>
                <w:sz w:val="20"/>
                <w:szCs w:val="20"/>
                <w:lang w:val="el-GR" w:eastAsia="el-GR"/>
              </w:rPr>
              <w:t>ΕΙΔΟΣ ΠΡΟΜΗΘΕΙΑΣ:</w:t>
            </w:r>
          </w:p>
          <w:p>
            <w:pPr>
              <w:pStyle w:val="Normal"/>
              <w:widowControl w:val="false"/>
              <w:spacing w:before="0" w:after="120"/>
              <w:rPr>
                <w:rFonts w:cs="Arial"/>
                <w:b/>
                <w:b/>
                <w:sz w:val="20"/>
                <w:szCs w:val="20"/>
                <w:lang w:val="el-GR"/>
              </w:rPr>
            </w:pPr>
            <w:r>
              <w:rPr>
                <w:rFonts w:cs="Arial"/>
                <w:b/>
                <w:sz w:val="20"/>
                <w:szCs w:val="20"/>
                <w:lang w:val="el-GR"/>
              </w:rPr>
            </w:r>
          </w:p>
        </w:tc>
        <w:tc>
          <w:tcPr>
            <w:tcW w:w="4746"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1170" w:leader="none"/>
              </w:tabs>
              <w:snapToGrid w:val="false"/>
              <w:spacing w:before="0" w:after="120"/>
              <w:rPr>
                <w:rFonts w:cs="Arial"/>
                <w:b/>
                <w:b/>
                <w:sz w:val="20"/>
                <w:szCs w:val="20"/>
                <w:lang w:val="el-GR"/>
              </w:rPr>
            </w:pPr>
            <w:r>
              <w:rPr>
                <w:rFonts w:cs="Arial"/>
                <w:b/>
                <w:sz w:val="20"/>
                <w:szCs w:val="20"/>
                <w:lang w:val="el-GR"/>
              </w:rPr>
            </w:r>
          </w:p>
        </w:tc>
      </w:tr>
      <w:tr>
        <w:trPr/>
        <w:tc>
          <w:tcPr>
            <w:tcW w:w="4290"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false"/>
              <w:spacing w:before="0" w:after="0"/>
              <w:jc w:val="left"/>
              <w:rPr>
                <w:rFonts w:eastAsia="Calibri;Bold" w:cs="Arial"/>
                <w:b/>
                <w:b/>
                <w:bCs/>
                <w:sz w:val="20"/>
                <w:szCs w:val="20"/>
                <w:lang w:val="el-GR" w:eastAsia="el-GR"/>
              </w:rPr>
            </w:pPr>
            <w:r>
              <w:rPr>
                <w:rFonts w:eastAsia="Calibri;Bold" w:cs="Arial"/>
                <w:b/>
                <w:bCs/>
                <w:sz w:val="20"/>
                <w:szCs w:val="20"/>
                <w:lang w:val="el-GR" w:eastAsia="el-GR"/>
              </w:rPr>
              <w:t>ΣΥΝΟΛΟ ΧΩΡΙΣ Φ.Π.Α. (ΚΑΘΑΡΗ ΑΞΙΑ):</w:t>
            </w:r>
          </w:p>
        </w:tc>
        <w:tc>
          <w:tcPr>
            <w:tcW w:w="183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before="0" w:after="0"/>
              <w:rPr>
                <w:rFonts w:cs="Arial"/>
                <w:sz w:val="20"/>
                <w:szCs w:val="20"/>
                <w:lang w:val="el-GR" w:eastAsia="el-GR"/>
              </w:rPr>
            </w:pPr>
            <w:r>
              <w:rPr>
                <w:rFonts w:cs="Arial"/>
                <w:sz w:val="20"/>
                <w:szCs w:val="20"/>
                <w:lang w:val="el-GR" w:eastAsia="el-GR"/>
              </w:rPr>
              <w:t>Αριθμητικώς</w:t>
            </w:r>
          </w:p>
        </w:tc>
        <w:tc>
          <w:tcPr>
            <w:tcW w:w="291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napToGrid w:val="false"/>
              <w:spacing w:before="0" w:after="0"/>
              <w:rPr>
                <w:rFonts w:cs="Arial"/>
                <w:sz w:val="20"/>
                <w:szCs w:val="20"/>
                <w:lang w:val="el-GR" w:eastAsia="el-GR"/>
              </w:rPr>
            </w:pPr>
            <w:r>
              <w:rPr>
                <w:rFonts w:cs="Arial"/>
                <w:sz w:val="20"/>
                <w:szCs w:val="20"/>
                <w:lang w:val="el-GR" w:eastAsia="el-GR"/>
              </w:rPr>
            </w:r>
          </w:p>
        </w:tc>
      </w:tr>
      <w:tr>
        <w:trPr/>
        <w:tc>
          <w:tcPr>
            <w:tcW w:w="429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false"/>
              <w:snapToGrid w:val="false"/>
              <w:spacing w:before="0" w:after="0"/>
              <w:jc w:val="left"/>
              <w:rPr>
                <w:rFonts w:ascii="Times New Roman" w:hAnsi="Times New Roman" w:eastAsia="SimSun;宋体" w:cs="Times New Roman"/>
                <w:sz w:val="20"/>
                <w:szCs w:val="20"/>
                <w:lang w:val="el-GR" w:eastAsia="el-GR"/>
              </w:rPr>
            </w:pPr>
            <w:r>
              <w:rPr>
                <w:rFonts w:eastAsia="SimSun;宋体" w:cs="Times New Roman" w:ascii="Times New Roman" w:hAnsi="Times New Roman"/>
                <w:sz w:val="20"/>
                <w:szCs w:val="20"/>
                <w:lang w:val="el-GR" w:eastAsia="el-GR"/>
              </w:rPr>
            </w:r>
          </w:p>
        </w:tc>
        <w:tc>
          <w:tcPr>
            <w:tcW w:w="183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before="0" w:after="0"/>
              <w:rPr>
                <w:rFonts w:cs="Arial"/>
                <w:sz w:val="20"/>
                <w:szCs w:val="20"/>
                <w:lang w:val="el-GR" w:eastAsia="el-GR"/>
              </w:rPr>
            </w:pPr>
            <w:r>
              <w:rPr>
                <w:rFonts w:cs="Arial"/>
                <w:sz w:val="20"/>
                <w:szCs w:val="20"/>
                <w:lang w:val="el-GR" w:eastAsia="el-GR"/>
              </w:rPr>
              <w:t>Ολογράφως</w:t>
            </w:r>
          </w:p>
        </w:tc>
        <w:tc>
          <w:tcPr>
            <w:tcW w:w="291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napToGrid w:val="false"/>
              <w:spacing w:before="0" w:after="0"/>
              <w:rPr>
                <w:rFonts w:cs="Arial"/>
                <w:sz w:val="20"/>
                <w:szCs w:val="20"/>
                <w:lang w:val="el-GR" w:eastAsia="el-GR"/>
              </w:rPr>
            </w:pPr>
            <w:r>
              <w:rPr>
                <w:rFonts w:cs="Arial"/>
                <w:sz w:val="20"/>
                <w:szCs w:val="20"/>
                <w:lang w:val="el-GR" w:eastAsia="el-GR"/>
              </w:rPr>
            </w:r>
          </w:p>
        </w:tc>
      </w:tr>
      <w:tr>
        <w:trPr/>
        <w:tc>
          <w:tcPr>
            <w:tcW w:w="42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false"/>
              <w:spacing w:before="0" w:after="0"/>
              <w:jc w:val="left"/>
              <w:rPr>
                <w:rFonts w:cs="Arial"/>
                <w:b/>
                <w:b/>
                <w:sz w:val="20"/>
                <w:szCs w:val="20"/>
                <w:lang w:val="el-GR" w:eastAsia="el-GR"/>
              </w:rPr>
            </w:pPr>
            <w:r>
              <w:rPr>
                <w:rFonts w:cs="Arial"/>
                <w:b/>
                <w:sz w:val="20"/>
                <w:szCs w:val="20"/>
                <w:lang w:val="el-GR" w:eastAsia="el-GR"/>
              </w:rPr>
              <w:t>ΦΠΑ 24%:</w:t>
            </w:r>
          </w:p>
        </w:tc>
        <w:tc>
          <w:tcPr>
            <w:tcW w:w="474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napToGrid w:val="false"/>
              <w:spacing w:before="0" w:after="0"/>
              <w:rPr>
                <w:rFonts w:cs="Arial"/>
                <w:b/>
                <w:b/>
                <w:sz w:val="20"/>
                <w:szCs w:val="20"/>
                <w:lang w:val="el-GR" w:eastAsia="el-GR"/>
              </w:rPr>
            </w:pPr>
            <w:r>
              <w:rPr>
                <w:rFonts w:cs="Arial"/>
                <w:b/>
                <w:sz w:val="20"/>
                <w:szCs w:val="20"/>
                <w:lang w:val="el-GR" w:eastAsia="el-GR"/>
              </w:rPr>
            </w:r>
          </w:p>
        </w:tc>
      </w:tr>
      <w:tr>
        <w:trPr/>
        <w:tc>
          <w:tcPr>
            <w:tcW w:w="42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false"/>
              <w:spacing w:before="0" w:after="0"/>
              <w:jc w:val="left"/>
              <w:rPr>
                <w:rFonts w:eastAsia="Calibri;Bold" w:cs="Arial"/>
                <w:b/>
                <w:b/>
                <w:bCs/>
                <w:sz w:val="20"/>
                <w:szCs w:val="20"/>
                <w:lang w:val="el-GR" w:eastAsia="el-GR"/>
              </w:rPr>
            </w:pPr>
            <w:r>
              <w:rPr>
                <w:rFonts w:eastAsia="Calibri;Bold" w:cs="Arial"/>
                <w:b/>
                <w:bCs/>
                <w:sz w:val="20"/>
                <w:szCs w:val="20"/>
                <w:lang w:val="el-GR" w:eastAsia="el-GR"/>
              </w:rPr>
              <w:t>ΣΥΝΟΛΟ (ΜΕ Φ.Π.Α.) :</w:t>
            </w:r>
          </w:p>
        </w:tc>
        <w:tc>
          <w:tcPr>
            <w:tcW w:w="474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napToGrid w:val="false"/>
              <w:spacing w:before="0" w:after="0"/>
              <w:rPr>
                <w:rFonts w:cs="Arial"/>
                <w:sz w:val="20"/>
                <w:szCs w:val="20"/>
                <w:lang w:val="el-GR" w:eastAsia="el-GR"/>
              </w:rPr>
            </w:pPr>
            <w:r>
              <w:rPr>
                <w:rFonts w:cs="Arial"/>
                <w:sz w:val="20"/>
                <w:szCs w:val="20"/>
                <w:lang w:val="el-GR" w:eastAsia="el-GR"/>
              </w:rPr>
            </w:r>
          </w:p>
        </w:tc>
      </w:tr>
    </w:tbl>
    <w:p>
      <w:pPr>
        <w:pStyle w:val="Normal"/>
        <w:suppressAutoHyphens w:val="false"/>
        <w:spacing w:before="0" w:after="0"/>
        <w:rPr>
          <w:sz w:val="20"/>
          <w:szCs w:val="20"/>
          <w:lang w:val="en-US" w:eastAsia="el-GR"/>
        </w:rPr>
      </w:pPr>
      <w:r>
        <w:rPr>
          <w:sz w:val="20"/>
          <w:szCs w:val="20"/>
          <w:lang w:val="en-US" w:eastAsia="el-GR"/>
        </w:rPr>
      </w:r>
    </w:p>
    <w:p>
      <w:pPr>
        <w:pStyle w:val="Normal"/>
        <w:suppressAutoHyphens w:val="false"/>
        <w:spacing w:before="0" w:after="0"/>
        <w:rPr>
          <w:sz w:val="20"/>
          <w:szCs w:val="20"/>
          <w:lang w:val="el-GR" w:eastAsia="el-GR"/>
        </w:rPr>
      </w:pPr>
      <w:r>
        <w:rPr>
          <w:sz w:val="20"/>
          <w:szCs w:val="20"/>
          <w:lang w:val="el-GR" w:eastAsia="el-GR"/>
        </w:rPr>
      </w:r>
    </w:p>
    <w:p>
      <w:pPr>
        <w:pStyle w:val="Normal"/>
        <w:spacing w:before="0" w:after="0"/>
        <w:jc w:val="left"/>
        <w:rPr>
          <w:b/>
          <w:b/>
          <w:sz w:val="20"/>
          <w:szCs w:val="20"/>
          <w:lang w:val="el-GR"/>
        </w:rPr>
      </w:pPr>
      <w:r>
        <w:rPr>
          <w:b/>
          <w:sz w:val="20"/>
          <w:szCs w:val="20"/>
          <w:lang w:val="el-GR"/>
        </w:rPr>
        <w:t>Ημερομηνία:...............................</w:t>
        <w:tab/>
        <w:tab/>
        <w:tab/>
        <w:tab/>
        <w:tab/>
        <w:tab/>
      </w:r>
    </w:p>
    <w:p>
      <w:pPr>
        <w:pStyle w:val="Normal"/>
        <w:spacing w:before="0" w:after="0"/>
        <w:jc w:val="center"/>
        <w:rPr>
          <w:b/>
          <w:b/>
          <w:sz w:val="20"/>
          <w:szCs w:val="20"/>
          <w:lang w:val="el-GR"/>
        </w:rPr>
      </w:pPr>
      <w:r>
        <w:rPr>
          <w:b/>
          <w:sz w:val="20"/>
          <w:szCs w:val="20"/>
          <w:lang w:val="el-GR"/>
        </w:rPr>
        <w:tab/>
        <w:tab/>
        <w:tab/>
        <w:tab/>
        <w:tab/>
        <w:tab/>
        <w:tab/>
        <w:tab/>
        <w:tab/>
        <w:tab/>
        <w:tab/>
        <w:tab/>
        <w:tab/>
        <w:tab/>
        <w:t>Για τον προσφέροντα</w:t>
      </w:r>
    </w:p>
    <w:p>
      <w:pPr>
        <w:pStyle w:val="Normal"/>
        <w:spacing w:before="0" w:after="0"/>
        <w:jc w:val="center"/>
        <w:rPr>
          <w:b/>
          <w:b/>
          <w:sz w:val="20"/>
          <w:szCs w:val="20"/>
          <w:lang w:val="el-GR"/>
        </w:rPr>
      </w:pPr>
      <w:r>
        <w:rPr>
          <w:b/>
          <w:sz w:val="20"/>
          <w:szCs w:val="20"/>
          <w:lang w:val="el-GR"/>
        </w:rPr>
      </w:r>
    </w:p>
    <w:p>
      <w:pPr>
        <w:pStyle w:val="Normal"/>
        <w:spacing w:before="0" w:after="0"/>
        <w:jc w:val="center"/>
        <w:rPr>
          <w:b/>
          <w:b/>
          <w:sz w:val="20"/>
          <w:szCs w:val="20"/>
          <w:lang w:val="el-GR"/>
        </w:rPr>
      </w:pPr>
      <w:r>
        <w:rPr>
          <w:b/>
          <w:sz w:val="20"/>
          <w:szCs w:val="20"/>
          <w:lang w:val="el-GR"/>
        </w:rPr>
      </w:r>
    </w:p>
    <w:p>
      <w:pPr>
        <w:pStyle w:val="Normal"/>
        <w:spacing w:before="0" w:after="0"/>
        <w:jc w:val="center"/>
        <w:rPr>
          <w:b/>
          <w:b/>
          <w:sz w:val="20"/>
          <w:szCs w:val="20"/>
          <w:lang w:val="el-GR"/>
        </w:rPr>
      </w:pPr>
      <w:r>
        <w:rPr>
          <w:b/>
          <w:sz w:val="20"/>
          <w:szCs w:val="20"/>
          <w:lang w:val="el-GR"/>
        </w:rPr>
        <w:tab/>
        <w:tab/>
        <w:tab/>
        <w:tab/>
        <w:tab/>
        <w:tab/>
        <w:tab/>
        <w:tab/>
        <w:tab/>
        <w:tab/>
        <w:tab/>
        <w:tab/>
        <w:tab/>
        <w:tab/>
        <w:t>Σφραγίδα/Υπογραφή</w:t>
      </w:r>
    </w:p>
    <w:p>
      <w:pPr>
        <w:pStyle w:val="Normal"/>
        <w:tabs>
          <w:tab w:val="clear" w:pos="720"/>
          <w:tab w:val="left" w:pos="0" w:leader="none"/>
        </w:tabs>
        <w:spacing w:before="0" w:after="0"/>
        <w:ind w:left="0" w:hanging="0"/>
        <w:jc w:val="center"/>
        <w:rPr>
          <w:rFonts w:eastAsia="SimSun"/>
          <w:i/>
          <w:i/>
          <w:iCs/>
          <w:color w:val="5B9BD5"/>
          <w:lang w:val="el-GR"/>
        </w:rPr>
      </w:pPr>
      <w:r>
        <w:rPr>
          <w:sz w:val="20"/>
          <w:szCs w:val="20"/>
          <w:lang w:val="el-GR"/>
        </w:rPr>
        <w:tab/>
        <w:tab/>
        <w:tab/>
        <w:tab/>
        <w:tab/>
        <w:tab/>
        <w:tab/>
        <w:tab/>
        <w:tab/>
        <w:tab/>
        <w:tab/>
        <w:tab/>
        <w:tab/>
        <w:t>(Ονοματεπώνυμο Εκπροσώπου)</w:t>
      </w:r>
    </w:p>
    <w:p>
      <w:pPr>
        <w:pStyle w:val="Normal"/>
        <w:tabs>
          <w:tab w:val="clear" w:pos="720"/>
          <w:tab w:val="left" w:pos="0" w:leader="none"/>
        </w:tabs>
        <w:spacing w:before="57" w:after="57"/>
        <w:ind w:left="0" w:hanging="0"/>
        <w:jc w:val="center"/>
        <w:rPr>
          <w:rFonts w:ascii="Arial" w:hAnsi="Arial" w:eastAsia="Times New Roman" w:cs="Arial"/>
          <w:b/>
          <w:b/>
          <w:bCs w:val="false"/>
          <w:color w:val="002060"/>
          <w:kern w:val="0"/>
          <w:lang w:eastAsia="ar-SA" w:bidi="ar-SA"/>
        </w:rPr>
      </w:pPr>
      <w:r>
        <w:rPr>
          <w:rFonts w:eastAsia="Times New Roman" w:cs="Arial" w:ascii="Arial" w:hAnsi="Arial"/>
          <w:b/>
          <w:bCs w:val="false"/>
          <w:color w:val="002060"/>
          <w:kern w:val="0"/>
          <w:lang w:eastAsia="ar-SA" w:bidi="ar-SA"/>
        </w:rPr>
      </w:r>
    </w:p>
    <w:p>
      <w:pPr>
        <w:pStyle w:val="Normal"/>
        <w:tabs>
          <w:tab w:val="clear" w:pos="720"/>
          <w:tab w:val="left" w:pos="0" w:leader="none"/>
        </w:tabs>
        <w:spacing w:before="57" w:after="57"/>
        <w:ind w:left="0" w:hanging="0"/>
        <w:jc w:val="center"/>
        <w:rPr>
          <w:rFonts w:ascii="Arial" w:hAnsi="Arial" w:eastAsia="Times New Roman" w:cs="Arial"/>
          <w:b/>
          <w:b/>
          <w:bCs w:val="false"/>
          <w:color w:val="002060"/>
          <w:kern w:val="0"/>
          <w:lang w:eastAsia="ar-SA" w:bidi="ar-SA"/>
        </w:rPr>
      </w:pPr>
      <w:r>
        <w:rPr>
          <w:rFonts w:eastAsia="Times New Roman" w:cs="Arial" w:ascii="Arial" w:hAnsi="Arial"/>
          <w:b/>
          <w:bCs w:val="false"/>
          <w:color w:val="002060"/>
          <w:kern w:val="0"/>
          <w:lang w:eastAsia="ar-SA" w:bidi="ar-SA"/>
        </w:rPr>
      </w:r>
    </w:p>
    <w:p>
      <w:pPr>
        <w:pStyle w:val="Normal"/>
        <w:tabs>
          <w:tab w:val="clear" w:pos="720"/>
          <w:tab w:val="left" w:pos="0" w:leader="none"/>
        </w:tabs>
        <w:spacing w:before="57" w:after="57"/>
        <w:ind w:left="0" w:hanging="0"/>
        <w:jc w:val="center"/>
        <w:rPr>
          <w:rFonts w:ascii="Arial" w:hAnsi="Arial" w:eastAsia="Times New Roman" w:cs="Arial"/>
          <w:b/>
          <w:b/>
          <w:bCs w:val="false"/>
          <w:color w:val="002060"/>
          <w:kern w:val="0"/>
          <w:lang w:eastAsia="ar-SA" w:bidi="ar-SA"/>
        </w:rPr>
      </w:pPr>
      <w:r>
        <w:rPr>
          <w:rFonts w:eastAsia="Times New Roman" w:cs="Arial" w:ascii="Arial" w:hAnsi="Arial"/>
          <w:b/>
          <w:bCs w:val="false"/>
          <w:color w:val="002060"/>
          <w:kern w:val="0"/>
          <w:lang w:eastAsia="ar-SA" w:bidi="ar-SA"/>
        </w:rPr>
      </w:r>
    </w:p>
    <w:p>
      <w:pPr>
        <w:pStyle w:val="2"/>
        <w:tabs>
          <w:tab w:val="clear" w:pos="567"/>
          <w:tab w:val="left" w:pos="0" w:leader="none"/>
        </w:tabs>
        <w:spacing w:before="57" w:after="57"/>
        <w:ind w:left="0" w:hanging="0"/>
        <w:jc w:val="left"/>
        <w:rPr>
          <w:sz w:val="24"/>
          <w:szCs w:val="22"/>
          <w:lang w:val="el-GR"/>
        </w:rPr>
      </w:pPr>
      <w:r>
        <w:rPr>
          <w:rFonts w:eastAsia="Times New Roman" w:cs="Arial"/>
          <w:b/>
          <w:bCs w:val="false"/>
          <w:color w:val="002060"/>
          <w:kern w:val="0"/>
          <w:sz w:val="24"/>
          <w:szCs w:val="22"/>
          <w:lang w:val="el-GR" w:eastAsia="ar-SA" w:bidi="ar-SA"/>
        </w:rPr>
        <w:t>ΠΑΡΑΡΤΗΜΑ Ι</w:t>
      </w:r>
      <w:r>
        <w:rPr>
          <w:rFonts w:eastAsia="Times New Roman" w:cs="Arial"/>
          <w:b/>
          <w:bCs w:val="false"/>
          <w:color w:val="002060"/>
          <w:kern w:val="0"/>
          <w:sz w:val="24"/>
          <w:szCs w:val="22"/>
          <w:lang w:val="en-US" w:eastAsia="ar-SA" w:bidi="ar-SA"/>
        </w:rPr>
        <w:t>V</w:t>
      </w:r>
      <w:r>
        <w:rPr>
          <w:rFonts w:eastAsia="Times New Roman" w:cs="Arial"/>
          <w:b/>
          <w:bCs w:val="false"/>
          <w:color w:val="002060"/>
          <w:kern w:val="0"/>
          <w:sz w:val="24"/>
          <w:szCs w:val="22"/>
          <w:lang w:val="el-GR" w:eastAsia="ar-SA" w:bidi="ar-SA"/>
        </w:rPr>
        <w:t xml:space="preserve"> – ΕΕΕΣ (Προσαρμοσμένο από την Αναθέτουσα Αρχή)-</w:t>
      </w:r>
    </w:p>
    <w:p>
      <w:pPr>
        <w:pStyle w:val="Normal"/>
        <w:tabs>
          <w:tab w:val="clear" w:pos="720"/>
          <w:tab w:val="left" w:pos="0" w:leader="none"/>
        </w:tabs>
        <w:spacing w:before="0" w:after="0"/>
        <w:ind w:left="0" w:hanging="0"/>
        <w:jc w:val="left"/>
        <w:rPr>
          <w:rFonts w:ascii="Arial" w:hAnsi="Arial" w:eastAsia="Times New Roman" w:cs="Arial"/>
          <w:b/>
          <w:b/>
          <w:bCs w:val="false"/>
          <w:color w:val="002060"/>
          <w:kern w:val="0"/>
          <w:sz w:val="24"/>
          <w:szCs w:val="22"/>
          <w:lang w:val="el-GR" w:eastAsia="ar-SA" w:bidi="ar-SA"/>
        </w:rPr>
      </w:pPr>
      <w:r>
        <w:rPr>
          <w:rFonts w:eastAsia="Times New Roman" w:cs="Arial" w:ascii="FreeSans" w:hAnsi="FreeSans"/>
          <w:b/>
          <w:bCs w:val="false"/>
          <w:color w:val="002060"/>
          <w:kern w:val="0"/>
          <w:sz w:val="32"/>
          <w:szCs w:val="22"/>
          <w:lang w:val="el-GR" w:eastAsia="ar-SA" w:bidi="ar-SA"/>
        </w:rPr>
        <w:t>Ευρωπαϊκό Ενιαίο Έγγραφο Σύμβασης (ΕΕΕΣ) / Τυποποιημένο</w:t>
      </w:r>
    </w:p>
    <w:p>
      <w:pPr>
        <w:pStyle w:val="Normal"/>
        <w:jc w:val="left"/>
        <w:rPr>
          <w:sz w:val="32"/>
        </w:rPr>
      </w:pPr>
      <w:r>
        <w:rPr>
          <w:sz w:val="32"/>
        </w:rPr>
      </w:r>
    </w:p>
    <w:p>
      <w:pPr>
        <w:pStyle w:val="Normal"/>
        <w:jc w:val="left"/>
        <w:rPr>
          <w:rFonts w:ascii="Times New Roman" w:hAnsi="Times New Roman"/>
        </w:rPr>
      </w:pPr>
      <w:r>
        <w:rPr>
          <w:rFonts w:ascii="Times New Roman" w:hAnsi="Times New Roman"/>
          <w:sz w:val="32"/>
        </w:rPr>
        <w:t>Έντυπο Υπεύθυνης Δήλωσης (ΤΕΥΔ)</w:t>
      </w:r>
    </w:p>
    <w:p>
      <w:pPr>
        <w:pStyle w:val="Normal"/>
        <w:jc w:val="left"/>
        <w:rPr>
          <w:rFonts w:ascii="Times New Roman" w:hAnsi="Times New Roman"/>
          <w:sz w:val="24"/>
          <w:szCs w:val="24"/>
        </w:rPr>
      </w:pPr>
      <w:r>
        <w:rPr>
          <w:rFonts w:ascii="Times New Roman" w:hAnsi="Times New Roman"/>
          <w:sz w:val="24"/>
          <w:szCs w:val="24"/>
        </w:rPr>
        <w:t>Μέρος Ι: Πληροφορίες σχετικά με τη διαδικασία σύναψης σύμβασης και την</w:t>
      </w:r>
    </w:p>
    <w:p>
      <w:pPr>
        <w:pStyle w:val="Normal"/>
        <w:jc w:val="left"/>
        <w:rPr>
          <w:rFonts w:ascii="Times New Roman" w:hAnsi="Times New Roman"/>
          <w:sz w:val="24"/>
          <w:szCs w:val="24"/>
        </w:rPr>
      </w:pPr>
      <w:r>
        <w:rPr>
          <w:rFonts w:ascii="Times New Roman" w:hAnsi="Times New Roman"/>
          <w:sz w:val="24"/>
          <w:szCs w:val="24"/>
        </w:rPr>
        <w:t>αναθέτουσα αρχή ή τον αναθέτοντα φορέα</w:t>
      </w:r>
    </w:p>
    <w:p>
      <w:pPr>
        <w:pStyle w:val="Normal"/>
        <w:jc w:val="left"/>
        <w:rPr>
          <w:rFonts w:ascii="Times New Roman" w:hAnsi="Times New Roman"/>
        </w:rPr>
      </w:pPr>
      <w:r>
        <w:rPr>
          <w:rFonts w:ascii="Times New Roman" w:hAnsi="Times New Roman"/>
          <w:sz w:val="21"/>
        </w:rPr>
        <w:t>Στοιχεία της δημοσίευσης</w:t>
      </w:r>
    </w:p>
    <w:p>
      <w:pPr>
        <w:pStyle w:val="Normal"/>
        <w:jc w:val="left"/>
        <w:rPr>
          <w:rFonts w:ascii="Times New Roman" w:hAnsi="Times New Roman"/>
        </w:rPr>
      </w:pPr>
      <w:r>
        <w:rPr>
          <w:rFonts w:ascii="Times New Roman" w:hAnsi="Times New Roman"/>
          <w:sz w:val="21"/>
        </w:rPr>
        <w:t>Για διαδικασίες σύναψης σύμβασης για τις οποίες έχει δημοσιευτεί προκήρυξη</w:t>
      </w:r>
    </w:p>
    <w:p>
      <w:pPr>
        <w:pStyle w:val="Normal"/>
        <w:jc w:val="left"/>
        <w:rPr>
          <w:rFonts w:ascii="Times New Roman" w:hAnsi="Times New Roman"/>
        </w:rPr>
      </w:pPr>
      <w:r>
        <w:rPr>
          <w:rFonts w:ascii="Times New Roman" w:hAnsi="Times New Roman"/>
          <w:sz w:val="21"/>
        </w:rPr>
        <w:t>διαγωνισμού στην Επίσημη Εφημερίδα της Ευρωπαϊκής Ένωσης, οι πληροφορίες που</w:t>
      </w:r>
    </w:p>
    <w:p>
      <w:pPr>
        <w:pStyle w:val="Normal"/>
        <w:jc w:val="left"/>
        <w:rPr>
          <w:rFonts w:ascii="Times New Roman" w:hAnsi="Times New Roman"/>
        </w:rPr>
      </w:pPr>
      <w:r>
        <w:rPr>
          <w:rFonts w:ascii="Times New Roman" w:hAnsi="Times New Roman"/>
          <w:sz w:val="21"/>
        </w:rPr>
        <w:t>απαιτούνται στο Μέρος Ι ανακτώνται αυτόματα, υπό την προϋπόθεση ότι έχει</w:t>
      </w:r>
    </w:p>
    <w:p>
      <w:pPr>
        <w:pStyle w:val="Normal"/>
        <w:jc w:val="left"/>
        <w:rPr>
          <w:rFonts w:ascii="Times New Roman" w:hAnsi="Times New Roman"/>
        </w:rPr>
      </w:pPr>
      <w:r>
        <w:rPr>
          <w:rFonts w:ascii="Times New Roman" w:hAnsi="Times New Roman"/>
          <w:sz w:val="21"/>
        </w:rPr>
        <w:t>χρησιμοποιηθεί η ηλεκτρονική υπηρεσία ΕΕΕΣ/ΤΕΥΔ για τη συμπλήρωση του ΕΕΕΣ</w:t>
      </w:r>
    </w:p>
    <w:p>
      <w:pPr>
        <w:pStyle w:val="Normal"/>
        <w:jc w:val="left"/>
        <w:rPr>
          <w:rFonts w:ascii="Times New Roman" w:hAnsi="Times New Roman"/>
        </w:rPr>
      </w:pPr>
      <w:r>
        <w:rPr>
          <w:rFonts w:ascii="Times New Roman" w:hAnsi="Times New Roman"/>
          <w:sz w:val="21"/>
        </w:rPr>
        <w:t>/ΤΕΥΔ. Παρατίθεται η σχετική ανακοίνωση που δημοσιεύεται στην Επίσημη Εφημερίδα της Ευρωπαϊκής Ένωσης:</w:t>
      </w:r>
    </w:p>
    <w:p>
      <w:pPr>
        <w:pStyle w:val="Normal"/>
        <w:jc w:val="left"/>
        <w:rPr>
          <w:rFonts w:ascii="Times New Roman" w:hAnsi="Times New Roman"/>
        </w:rPr>
      </w:pPr>
      <w:r>
        <w:rPr>
          <w:rFonts w:ascii="Times New Roman" w:hAnsi="Times New Roman"/>
          <w:sz w:val="21"/>
        </w:rPr>
        <w:t>Προσωρινός αριθμός</w:t>
      </w:r>
    </w:p>
    <w:p>
      <w:pPr>
        <w:pStyle w:val="Normal"/>
        <w:jc w:val="left"/>
        <w:rPr>
          <w:rFonts w:ascii="Times New Roman" w:hAnsi="Times New Roman"/>
        </w:rPr>
      </w:pPr>
      <w:r>
        <w:rPr>
          <w:rFonts w:ascii="Times New Roman" w:hAnsi="Times New Roman"/>
          <w:sz w:val="21"/>
        </w:rPr>
        <w:t>προκήρυξης στην ΕΕ: αριθμός</w:t>
      </w:r>
    </w:p>
    <w:p>
      <w:pPr>
        <w:pStyle w:val="Normal"/>
        <w:jc w:val="left"/>
        <w:rPr>
          <w:rFonts w:ascii="Times New Roman" w:hAnsi="Times New Roman"/>
        </w:rPr>
      </w:pPr>
      <w:r>
        <w:rPr>
          <w:rFonts w:ascii="Times New Roman" w:hAnsi="Times New Roman"/>
          <w:sz w:val="21"/>
        </w:rPr>
        <w:t>[], ημερομηνία [], σελίδα []</w:t>
      </w:r>
    </w:p>
    <w:p>
      <w:pPr>
        <w:pStyle w:val="Normal"/>
        <w:jc w:val="left"/>
        <w:rPr>
          <w:rFonts w:ascii="Times New Roman" w:hAnsi="Times New Roman"/>
        </w:rPr>
      </w:pPr>
      <w:r>
        <w:rPr>
          <w:rFonts w:ascii="Times New Roman" w:hAnsi="Times New Roman"/>
          <w:sz w:val="21"/>
        </w:rPr>
        <w:t>Αριθμός προκήρυξης στην ΕΕ:</w:t>
      </w:r>
    </w:p>
    <w:p>
      <w:pPr>
        <w:pStyle w:val="Normal"/>
        <w:jc w:val="left"/>
        <w:rPr>
          <w:rFonts w:ascii="Times New Roman" w:hAnsi="Times New Roman"/>
        </w:rPr>
      </w:pPr>
      <w:r>
        <w:rPr>
          <w:rFonts w:ascii="Times New Roman" w:hAnsi="Times New Roman"/>
          <w:sz w:val="21"/>
        </w:rPr>
        <w:t>[][][][]/S [][][][][][] 0000/S 000-0000000</w:t>
      </w:r>
    </w:p>
    <w:p>
      <w:pPr>
        <w:pStyle w:val="Normal"/>
        <w:jc w:val="left"/>
        <w:rPr>
          <w:rFonts w:ascii="Times New Roman" w:hAnsi="Times New Roman"/>
        </w:rPr>
      </w:pPr>
      <w:r>
        <w:rPr>
          <w:rFonts w:ascii="Times New Roman" w:hAnsi="Times New Roman"/>
          <w:sz w:val="21"/>
        </w:rPr>
        <w:t>Εάν δεν έχει δημοσιευθεί προκήρυξη διαγωνισμού στην Επίσημη Εφημερίδα της</w:t>
      </w:r>
    </w:p>
    <w:p>
      <w:pPr>
        <w:pStyle w:val="Normal"/>
        <w:jc w:val="left"/>
        <w:rPr>
          <w:rFonts w:ascii="Times New Roman" w:hAnsi="Times New Roman"/>
        </w:rPr>
      </w:pPr>
      <w:r>
        <w:rPr>
          <w:rFonts w:ascii="Times New Roman" w:hAnsi="Times New Roman"/>
          <w:sz w:val="21"/>
        </w:rPr>
        <w:t>Ευρωπαϊκής Ένωσης ή αν δεν υπάρχει υποχρέωση δημοσίευσης εκεί, η αναθέτουσα</w:t>
      </w:r>
    </w:p>
    <w:p>
      <w:pPr>
        <w:pStyle w:val="Normal"/>
        <w:jc w:val="left"/>
        <w:rPr>
          <w:rFonts w:ascii="Times New Roman" w:hAnsi="Times New Roman"/>
        </w:rPr>
      </w:pPr>
      <w:r>
        <w:rPr>
          <w:rFonts w:ascii="Times New Roman" w:hAnsi="Times New Roman"/>
          <w:sz w:val="21"/>
        </w:rPr>
        <w:t>αρχή ή ο αναθέτων φορέας θα πρέπει να συμπληρώσει πληροφορίες με τις οποίες θα</w:t>
      </w:r>
    </w:p>
    <w:p>
      <w:pPr>
        <w:pStyle w:val="Normal"/>
        <w:jc w:val="left"/>
        <w:rPr>
          <w:rFonts w:ascii="Times New Roman" w:hAnsi="Times New Roman"/>
        </w:rPr>
      </w:pPr>
      <w:r>
        <w:rPr>
          <w:rFonts w:ascii="Times New Roman" w:hAnsi="Times New Roman"/>
          <w:sz w:val="21"/>
        </w:rPr>
        <w:t>είναι δυνατή η αδιαμφισβήτητη ταυτοποίηση της διαδικασίας σύναψης σύμβασης (π.χ.</w:t>
      </w:r>
    </w:p>
    <w:p>
      <w:pPr>
        <w:pStyle w:val="Normal"/>
        <w:jc w:val="left"/>
        <w:rPr>
          <w:rFonts w:ascii="Times New Roman" w:hAnsi="Times New Roman"/>
        </w:rPr>
      </w:pPr>
      <w:r>
        <w:rPr>
          <w:rFonts w:ascii="Times New Roman" w:hAnsi="Times New Roman"/>
          <w:sz w:val="21"/>
        </w:rPr>
        <w:t>παραπομπή σε δημοσίευση σε εθνικό επίπεδο)</w:t>
      </w:r>
    </w:p>
    <w:p>
      <w:pPr>
        <w:pStyle w:val="Normal"/>
        <w:jc w:val="left"/>
        <w:rPr>
          <w:rFonts w:ascii="Times New Roman" w:hAnsi="Times New Roman"/>
        </w:rPr>
      </w:pPr>
      <w:r>
        <w:rPr>
          <w:rFonts w:ascii="Times New Roman" w:hAnsi="Times New Roman"/>
          <w:sz w:val="21"/>
        </w:rPr>
        <w:t>Δημοσίευση σε εθνικό</w:t>
      </w:r>
    </w:p>
    <w:p>
      <w:pPr>
        <w:pStyle w:val="Normal"/>
        <w:jc w:val="left"/>
        <w:rPr>
          <w:rFonts w:ascii="Times New Roman" w:hAnsi="Times New Roman"/>
        </w:rPr>
      </w:pPr>
      <w:r>
        <w:rPr>
          <w:rFonts w:ascii="Times New Roman" w:hAnsi="Times New Roman"/>
          <w:sz w:val="21"/>
        </w:rPr>
        <w:t>επίπεδο: (π.χ. www.promitheus.</w:t>
      </w:r>
    </w:p>
    <w:p>
      <w:pPr>
        <w:pStyle w:val="Normal"/>
        <w:jc w:val="left"/>
        <w:rPr>
          <w:rFonts w:ascii="Times New Roman" w:hAnsi="Times New Roman"/>
        </w:rPr>
      </w:pPr>
      <w:r>
        <w:rPr>
          <w:rFonts w:ascii="Times New Roman" w:hAnsi="Times New Roman"/>
          <w:sz w:val="21"/>
        </w:rPr>
        <w:t>gov.gr/[ΑΔΑΜ Προκήρυξης</w:t>
      </w:r>
    </w:p>
    <w:p>
      <w:pPr>
        <w:pStyle w:val="Normal"/>
        <w:jc w:val="left"/>
        <w:rPr>
          <w:rFonts w:ascii="Times New Roman" w:hAnsi="Times New Roman"/>
        </w:rPr>
      </w:pPr>
      <w:r>
        <w:rPr>
          <w:rFonts w:ascii="Times New Roman" w:hAnsi="Times New Roman"/>
          <w:sz w:val="21"/>
        </w:rPr>
        <w:t>στο ΚΗΜΔΗΣ])</w:t>
      </w:r>
    </w:p>
    <w:p>
      <w:pPr>
        <w:pStyle w:val="Normal"/>
        <w:jc w:val="left"/>
        <w:rPr>
          <w:rFonts w:ascii="Times New Roman" w:hAnsi="Times New Roman"/>
        </w:rPr>
      </w:pPr>
      <w:r>
        <w:rPr>
          <w:rFonts w:ascii="Times New Roman" w:hAnsi="Times New Roman"/>
          <w:sz w:val="21"/>
        </w:rPr>
        <w:t>Στην περίπτωση που δεν απαιτείται δημοσίευση γνωστοποίησης στην Επίσημη</w:t>
      </w:r>
    </w:p>
    <w:p>
      <w:pPr>
        <w:pStyle w:val="Normal"/>
        <w:jc w:val="left"/>
        <w:rPr>
          <w:rFonts w:ascii="Times New Roman" w:hAnsi="Times New Roman"/>
        </w:rPr>
      </w:pPr>
      <w:r>
        <w:rPr>
          <w:rFonts w:ascii="Times New Roman" w:hAnsi="Times New Roman"/>
          <w:sz w:val="21"/>
        </w:rPr>
        <w:t>Εφημερίδα της Ευρωπαϊκής Ένωσης παρακαλείστε να παράσχετε άλλες πληροφορίες</w:t>
      </w:r>
    </w:p>
    <w:p>
      <w:pPr>
        <w:pStyle w:val="Normal"/>
        <w:jc w:val="left"/>
        <w:rPr>
          <w:rFonts w:ascii="Times New Roman" w:hAnsi="Times New Roman"/>
        </w:rPr>
      </w:pPr>
      <w:r>
        <w:rPr>
          <w:rFonts w:ascii="Times New Roman" w:hAnsi="Times New Roman"/>
          <w:sz w:val="21"/>
        </w:rPr>
        <w:t>με τις οποίες θα είναι δυνατή η αδιαμφισβήτητη ταυτοποίηση της διαδικασίας σύναψης</w:t>
      </w:r>
    </w:p>
    <w:p>
      <w:pPr>
        <w:pStyle w:val="Normal"/>
        <w:jc w:val="left"/>
        <w:rPr>
          <w:rFonts w:ascii="Times New Roman" w:hAnsi="Times New Roman"/>
        </w:rPr>
      </w:pPr>
      <w:r>
        <w:rPr>
          <w:rFonts w:ascii="Times New Roman" w:hAnsi="Times New Roman"/>
          <w:sz w:val="21"/>
        </w:rPr>
        <w:t>δημόσιας σύμβασης.</w:t>
      </w:r>
    </w:p>
    <w:p>
      <w:pPr>
        <w:pStyle w:val="Normal"/>
        <w:jc w:val="left"/>
        <w:rPr>
          <w:sz w:val="24"/>
        </w:rPr>
      </w:pPr>
      <w:r>
        <w:rPr>
          <w:sz w:val="24"/>
        </w:rPr>
      </w:r>
    </w:p>
    <w:p>
      <w:pPr>
        <w:pStyle w:val="Normal"/>
        <w:jc w:val="left"/>
        <w:rPr>
          <w:rFonts w:ascii="Times New Roman" w:hAnsi="Times New Roman"/>
        </w:rPr>
      </w:pPr>
      <w:r>
        <w:rPr>
          <w:rFonts w:ascii="Times New Roman" w:hAnsi="Times New Roman"/>
          <w:sz w:val="21"/>
        </w:rPr>
        <w:t>Ταυτότητα του αγοραστή</w:t>
      </w:r>
    </w:p>
    <w:p>
      <w:pPr>
        <w:pStyle w:val="Normal"/>
        <w:jc w:val="left"/>
        <w:rPr>
          <w:rFonts w:ascii="Times New Roman" w:hAnsi="Times New Roman"/>
        </w:rPr>
      </w:pPr>
      <w:r>
        <w:rPr>
          <w:rFonts w:ascii="Times New Roman" w:hAnsi="Times New Roman"/>
          <w:sz w:val="21"/>
        </w:rPr>
        <w:t>Επίσημη ονομασία: ΔΗΜΟΣ ΚΑΡΔΙΤΣΑΣ</w:t>
      </w:r>
    </w:p>
    <w:p>
      <w:pPr>
        <w:pStyle w:val="Normal"/>
        <w:jc w:val="left"/>
        <w:rPr>
          <w:rFonts w:ascii="Times New Roman" w:hAnsi="Times New Roman"/>
        </w:rPr>
      </w:pPr>
      <w:r>
        <w:rPr>
          <w:rFonts w:ascii="Times New Roman" w:hAnsi="Times New Roman"/>
          <w:sz w:val="21"/>
        </w:rPr>
        <w:t>Α.Φ.Μ., εφόσον υπάρχει: 997648454</w:t>
      </w:r>
    </w:p>
    <w:p>
      <w:pPr>
        <w:pStyle w:val="Normal"/>
        <w:jc w:val="left"/>
        <w:rPr>
          <w:rFonts w:ascii="Times New Roman" w:hAnsi="Times New Roman"/>
        </w:rPr>
      </w:pPr>
      <w:r>
        <w:rPr>
          <w:rFonts w:ascii="Times New Roman" w:hAnsi="Times New Roman"/>
          <w:sz w:val="21"/>
        </w:rPr>
        <w:t>Δικτυακός τόπος (εφόσον</w:t>
      </w:r>
    </w:p>
    <w:p>
      <w:pPr>
        <w:pStyle w:val="Normal"/>
        <w:jc w:val="left"/>
        <w:rPr>
          <w:rFonts w:ascii="Times New Roman" w:hAnsi="Times New Roman"/>
        </w:rPr>
      </w:pPr>
      <w:r>
        <w:rPr>
          <w:rFonts w:ascii="Times New Roman" w:hAnsi="Times New Roman"/>
          <w:sz w:val="21"/>
        </w:rPr>
        <w:t xml:space="preserve">υπάρχει): </w:t>
      </w:r>
      <w:r>
        <w:rPr>
          <w:rFonts w:ascii="Times New Roman" w:hAnsi="Times New Roman"/>
          <w:sz w:val="23"/>
        </w:rPr>
        <w:t>WWW.DIMOSKARDITSAS.GOV.GR</w:t>
      </w:r>
    </w:p>
    <w:p>
      <w:pPr>
        <w:pStyle w:val="Normal"/>
        <w:jc w:val="left"/>
        <w:rPr>
          <w:rFonts w:ascii="Times New Roman" w:hAnsi="Times New Roman"/>
        </w:rPr>
      </w:pPr>
      <w:r>
        <w:rPr>
          <w:rFonts w:ascii="Times New Roman" w:hAnsi="Times New Roman"/>
          <w:sz w:val="21"/>
        </w:rPr>
        <w:t>Πόλη: ΚΑΡΔΙΤΣΑ</w:t>
      </w:r>
    </w:p>
    <w:p>
      <w:pPr>
        <w:pStyle w:val="Normal"/>
        <w:jc w:val="left"/>
        <w:rPr>
          <w:rFonts w:ascii="Times New Roman" w:hAnsi="Times New Roman"/>
        </w:rPr>
      </w:pPr>
      <w:r>
        <w:rPr>
          <w:rFonts w:ascii="Times New Roman" w:hAnsi="Times New Roman"/>
          <w:sz w:val="21"/>
        </w:rPr>
        <w:t>Οδός και αριθμός: ΜΥΡΜΙΔΟΝΩΝ 2   Ταχ. κωδ.: 43131</w:t>
      </w:r>
    </w:p>
    <w:p>
      <w:pPr>
        <w:pStyle w:val="Normal"/>
        <w:jc w:val="left"/>
        <w:rPr>
          <w:rFonts w:ascii="Times New Roman" w:hAnsi="Times New Roman"/>
        </w:rPr>
      </w:pPr>
      <w:r>
        <w:rPr>
          <w:rFonts w:ascii="Times New Roman" w:hAnsi="Times New Roman"/>
          <w:sz w:val="21"/>
        </w:rPr>
        <w:t>Αρμόδιος επικοινωνίας: ΛΑΠΠΑΣ ΚΩΣΤΑΣ</w:t>
      </w:r>
    </w:p>
    <w:p>
      <w:pPr>
        <w:pStyle w:val="Normal"/>
        <w:jc w:val="left"/>
        <w:rPr>
          <w:rFonts w:ascii="Times New Roman" w:hAnsi="Times New Roman"/>
        </w:rPr>
      </w:pPr>
      <w:r>
        <w:rPr>
          <w:rFonts w:ascii="Times New Roman" w:hAnsi="Times New Roman"/>
          <w:sz w:val="21"/>
        </w:rPr>
        <w:t>Τηλέφωνο: 2441354872</w:t>
      </w:r>
    </w:p>
    <w:p>
      <w:pPr>
        <w:pStyle w:val="Normal"/>
        <w:jc w:val="left"/>
        <w:rPr>
          <w:rFonts w:ascii="Times New Roman" w:hAnsi="Times New Roman"/>
        </w:rPr>
      </w:pPr>
      <w:r>
        <w:rPr>
          <w:rFonts w:ascii="Times New Roman" w:hAnsi="Times New Roman"/>
          <w:sz w:val="21"/>
        </w:rPr>
        <w:t>φαξ:</w:t>
      </w:r>
    </w:p>
    <w:p>
      <w:pPr>
        <w:pStyle w:val="Normal"/>
        <w:jc w:val="left"/>
        <w:rPr>
          <w:rFonts w:ascii="Times New Roman" w:hAnsi="Times New Roman"/>
        </w:rPr>
      </w:pPr>
      <w:r>
        <w:rPr>
          <w:rFonts w:ascii="Times New Roman" w:hAnsi="Times New Roman"/>
          <w:sz w:val="21"/>
        </w:rPr>
        <w:t xml:space="preserve">Ηλ. ταχ/μείο: </w:t>
      </w:r>
      <w:r>
        <w:rPr>
          <w:rFonts w:ascii="Times New Roman" w:hAnsi="Times New Roman"/>
          <w:sz w:val="23"/>
        </w:rPr>
        <w:t>kostas.lappas@dimoskarditsas.gov.gr</w:t>
      </w:r>
    </w:p>
    <w:p>
      <w:pPr>
        <w:pStyle w:val="Normal"/>
        <w:jc w:val="left"/>
        <w:rPr>
          <w:rFonts w:ascii="Times New Roman" w:hAnsi="Times New Roman"/>
        </w:rPr>
      </w:pPr>
      <w:r>
        <w:rPr>
          <w:rFonts w:ascii="Times New Roman" w:hAnsi="Times New Roman"/>
          <w:sz w:val="21"/>
        </w:rPr>
        <w:t>Χώρα: GR</w:t>
      </w:r>
    </w:p>
    <w:p>
      <w:pPr>
        <w:pStyle w:val="Normal"/>
        <w:jc w:val="left"/>
        <w:rPr>
          <w:rFonts w:ascii="Times New Roman" w:hAnsi="Times New Roman"/>
        </w:rPr>
      </w:pPr>
      <w:r>
        <w:rPr>
          <w:rFonts w:ascii="Times New Roman" w:hAnsi="Times New Roman"/>
          <w:sz w:val="21"/>
        </w:rPr>
        <w:t>Πληροφορίες σχετικά με τη διαδικασία σύναψης σύμβασης</w:t>
      </w:r>
    </w:p>
    <w:p>
      <w:pPr>
        <w:pStyle w:val="Normal"/>
        <w:jc w:val="left"/>
        <w:rPr>
          <w:rFonts w:ascii="Times New Roman" w:hAnsi="Times New Roman"/>
        </w:rPr>
      </w:pPr>
      <w:r>
        <w:rPr>
          <w:rFonts w:ascii="Times New Roman" w:hAnsi="Times New Roman"/>
          <w:sz w:val="21"/>
        </w:rPr>
        <w:t>Τίτλος:</w:t>
      </w:r>
    </w:p>
    <w:p>
      <w:pPr>
        <w:pStyle w:val="Normal"/>
        <w:jc w:val="left"/>
        <w:rPr>
          <w:rFonts w:ascii="Times New Roman" w:hAnsi="Times New Roman"/>
        </w:rPr>
      </w:pPr>
      <w:r>
        <w:rPr>
          <w:rFonts w:ascii="Times New Roman" w:hAnsi="Times New Roman"/>
          <w:sz w:val="21"/>
        </w:rPr>
        <w:t>«Κατασκευή κτιρίου και προμήθεια εξοπλισμού για πολυχώρο κοινωνικής αλληλεγγύης (κοινωνικό</w:t>
      </w:r>
    </w:p>
    <w:p>
      <w:pPr>
        <w:pStyle w:val="Normal"/>
        <w:jc w:val="left"/>
        <w:rPr>
          <w:rFonts w:ascii="Times New Roman" w:hAnsi="Times New Roman"/>
        </w:rPr>
      </w:pPr>
      <w:r>
        <w:rPr>
          <w:rFonts w:ascii="Times New Roman" w:hAnsi="Times New Roman"/>
          <w:sz w:val="21"/>
        </w:rPr>
        <w:t>παντοπωλείο &amp; δομή υποστηριζόμενων διαμερισμάτων) -Προμήθεια»</w:t>
      </w:r>
    </w:p>
    <w:p>
      <w:pPr>
        <w:pStyle w:val="Normal"/>
        <w:jc w:val="left"/>
        <w:rPr>
          <w:rFonts w:ascii="Times New Roman" w:hAnsi="Times New Roman"/>
        </w:rPr>
      </w:pPr>
      <w:r>
        <w:rPr>
          <w:rFonts w:ascii="Times New Roman" w:hAnsi="Times New Roman"/>
          <w:sz w:val="21"/>
        </w:rPr>
        <w:t>Σύντομη περιγραφή:</w:t>
      </w:r>
    </w:p>
    <w:p>
      <w:pPr>
        <w:pStyle w:val="Normal"/>
        <w:jc w:val="left"/>
        <w:rPr>
          <w:rFonts w:ascii="Times New Roman" w:hAnsi="Times New Roman"/>
        </w:rPr>
      </w:pPr>
      <w:r>
        <w:rPr>
          <w:rFonts w:ascii="Times New Roman" w:hAnsi="Times New Roman"/>
          <w:sz w:val="21"/>
        </w:rPr>
        <w:t>Αντικείμενο της σύμβασης είναι η προμήθεια εξοπλισμού για την λειτουργία του</w:t>
      </w:r>
    </w:p>
    <w:p>
      <w:pPr>
        <w:pStyle w:val="Normal"/>
        <w:jc w:val="left"/>
        <w:rPr>
          <w:rFonts w:ascii="Times New Roman" w:hAnsi="Times New Roman"/>
        </w:rPr>
      </w:pPr>
      <w:r>
        <w:rPr>
          <w:rFonts w:ascii="Times New Roman" w:hAnsi="Times New Roman"/>
          <w:sz w:val="21"/>
        </w:rPr>
        <w:t>πολυχώρου κοινωνικής αλληλεγγύης (κοινωνικό παντοπωλείο &amp; δομή υποστηριζόμενων</w:t>
      </w:r>
    </w:p>
    <w:p>
      <w:pPr>
        <w:pStyle w:val="Normal"/>
        <w:jc w:val="left"/>
        <w:rPr>
          <w:rFonts w:ascii="Times New Roman" w:hAnsi="Times New Roman"/>
        </w:rPr>
      </w:pPr>
      <w:r>
        <w:rPr>
          <w:rFonts w:ascii="Times New Roman" w:hAnsi="Times New Roman"/>
          <w:sz w:val="21"/>
        </w:rPr>
        <w:t>διαμερισμάτων) , όπως Ηλεκτρικές οικιακές συσκευές, Έπιπλα,Φωτιστικά σώματα,</w:t>
      </w:r>
    </w:p>
    <w:p>
      <w:pPr>
        <w:pStyle w:val="Normal"/>
        <w:jc w:val="left"/>
        <w:rPr>
          <w:rFonts w:ascii="Times New Roman" w:hAnsi="Times New Roman"/>
        </w:rPr>
      </w:pPr>
      <w:r>
        <w:rPr>
          <w:rFonts w:ascii="Times New Roman" w:hAnsi="Times New Roman"/>
          <w:sz w:val="21"/>
        </w:rPr>
        <w:t>Κλινοσκεπάσματα, Πετσέτες μπάνιου και κουζίνας, Εξοπλισμός κουζίνας, είδη οικιακής</w:t>
      </w:r>
    </w:p>
    <w:p>
      <w:pPr>
        <w:pStyle w:val="Normal"/>
        <w:jc w:val="left"/>
        <w:rPr>
          <w:rFonts w:ascii="Times New Roman" w:hAnsi="Times New Roman"/>
        </w:rPr>
      </w:pPr>
      <w:r>
        <w:rPr>
          <w:rFonts w:ascii="Times New Roman" w:hAnsi="Times New Roman"/>
          <w:sz w:val="21"/>
        </w:rPr>
        <w:t>χρήσης και αναλώσιμα τροφοδοσίας, Σκούπες και βούρτσες και άλλα είδη για την οικιακή καθαριότητα.</w:t>
      </w:r>
    </w:p>
    <w:p>
      <w:pPr>
        <w:pStyle w:val="Normal"/>
        <w:jc w:val="left"/>
        <w:rPr>
          <w:rFonts w:ascii="Times New Roman" w:hAnsi="Times New Roman"/>
        </w:rPr>
      </w:pPr>
      <w:r>
        <w:rPr>
          <w:rFonts w:ascii="Times New Roman" w:hAnsi="Times New Roman"/>
          <w:sz w:val="21"/>
        </w:rPr>
        <w:t>Αριθμός αναφοράς αρχείου</w:t>
      </w:r>
    </w:p>
    <w:p>
      <w:pPr>
        <w:pStyle w:val="Normal"/>
        <w:jc w:val="left"/>
        <w:rPr>
          <w:rFonts w:ascii="Times New Roman" w:hAnsi="Times New Roman"/>
        </w:rPr>
      </w:pPr>
      <w:r>
        <w:rPr>
          <w:rFonts w:ascii="Times New Roman" w:hAnsi="Times New Roman"/>
          <w:sz w:val="21"/>
        </w:rPr>
        <w:t>που αποδίδεται στον φάκελο από την αναθέτουσα αρχή ή τον αναθέτοντα φορέα (εάν υπάρχει):</w:t>
      </w:r>
    </w:p>
    <w:p>
      <w:pPr>
        <w:pStyle w:val="Normal"/>
        <w:jc w:val="left"/>
        <w:rPr>
          <w:rFonts w:ascii="Times New Roman" w:hAnsi="Times New Roman"/>
        </w:rPr>
      </w:pPr>
      <w:r>
        <w:rPr>
          <w:rFonts w:ascii="Times New Roman" w:hAnsi="Times New Roman"/>
          <w:sz w:val="25"/>
        </w:rPr>
        <w:t>Μέρος ΙΙ: Πληροφορίες σχετικά με τον οικονομικό φορέα</w:t>
      </w:r>
    </w:p>
    <w:p>
      <w:pPr>
        <w:pStyle w:val="Normal"/>
        <w:jc w:val="left"/>
        <w:rPr>
          <w:rFonts w:ascii="Times New Roman" w:hAnsi="Times New Roman"/>
        </w:rPr>
      </w:pPr>
      <w:r>
        <w:rPr>
          <w:rFonts w:ascii="Times New Roman" w:hAnsi="Times New Roman"/>
          <w:sz w:val="21"/>
        </w:rPr>
        <w:t>Α: Πληροφορίες σχετικά με τον οικονομικό φορέα</w:t>
      </w:r>
    </w:p>
    <w:p>
      <w:pPr>
        <w:pStyle w:val="Normal"/>
        <w:jc w:val="left"/>
        <w:rPr>
          <w:rFonts w:ascii="Times New Roman" w:hAnsi="Times New Roman"/>
        </w:rPr>
      </w:pPr>
      <w:r>
        <w:rPr>
          <w:rFonts w:ascii="Times New Roman" w:hAnsi="Times New Roman"/>
          <w:sz w:val="21"/>
        </w:rPr>
        <w:t>Επωνυμία:</w:t>
      </w:r>
    </w:p>
    <w:p>
      <w:pPr>
        <w:pStyle w:val="Normal"/>
        <w:jc w:val="left"/>
        <w:rPr>
          <w:rFonts w:ascii="Times New Roman" w:hAnsi="Times New Roman"/>
        </w:rPr>
      </w:pPr>
      <w:r>
        <w:rPr>
          <w:rFonts w:ascii="Times New Roman" w:hAnsi="Times New Roman"/>
          <w:sz w:val="21"/>
        </w:rPr>
        <w:t>Οδός και αριθμός:</w:t>
      </w:r>
    </w:p>
    <w:p>
      <w:pPr>
        <w:pStyle w:val="Normal"/>
        <w:jc w:val="left"/>
        <w:rPr>
          <w:rFonts w:ascii="Times New Roman" w:hAnsi="Times New Roman"/>
        </w:rPr>
      </w:pPr>
      <w:r>
        <w:rPr>
          <w:rFonts w:ascii="Times New Roman" w:hAnsi="Times New Roman"/>
          <w:sz w:val="21"/>
        </w:rPr>
        <w:t>Ταχ. κωδ.:</w:t>
      </w:r>
    </w:p>
    <w:p>
      <w:pPr>
        <w:pStyle w:val="Normal"/>
        <w:jc w:val="left"/>
        <w:rPr>
          <w:rFonts w:ascii="Times New Roman" w:hAnsi="Times New Roman"/>
        </w:rPr>
      </w:pPr>
      <w:r>
        <w:rPr>
          <w:rFonts w:ascii="Times New Roman" w:hAnsi="Times New Roman"/>
          <w:sz w:val="21"/>
        </w:rPr>
        <w:t>Πόλη:</w:t>
      </w:r>
    </w:p>
    <w:p>
      <w:pPr>
        <w:pStyle w:val="Normal"/>
        <w:jc w:val="left"/>
        <w:rPr>
          <w:rFonts w:ascii="Times New Roman" w:hAnsi="Times New Roman"/>
        </w:rPr>
      </w:pPr>
      <w:r>
        <w:rPr>
          <w:rFonts w:ascii="Times New Roman" w:hAnsi="Times New Roman"/>
          <w:sz w:val="21"/>
        </w:rPr>
        <w:t>Χώρα:</w:t>
      </w:r>
    </w:p>
    <w:p>
      <w:pPr>
        <w:pStyle w:val="Normal"/>
        <w:jc w:val="left"/>
        <w:rPr>
          <w:rFonts w:ascii="Times New Roman" w:hAnsi="Times New Roman"/>
        </w:rPr>
      </w:pPr>
      <w:r>
        <w:rPr>
          <w:rFonts w:ascii="Times New Roman" w:hAnsi="Times New Roman"/>
          <w:sz w:val="21"/>
        </w:rPr>
        <w:t>Αρμόδιος ή αρμόδιοι επικοινωνίας:</w:t>
      </w:r>
    </w:p>
    <w:p>
      <w:pPr>
        <w:pStyle w:val="Normal"/>
        <w:jc w:val="left"/>
        <w:rPr>
          <w:rFonts w:ascii="Times New Roman" w:hAnsi="Times New Roman"/>
        </w:rPr>
      </w:pPr>
      <w:r>
        <w:rPr>
          <w:rFonts w:ascii="Times New Roman" w:hAnsi="Times New Roman"/>
          <w:sz w:val="21"/>
        </w:rPr>
        <w:t>Ηλ. ταχ/μείο:</w:t>
      </w:r>
    </w:p>
    <w:p>
      <w:pPr>
        <w:pStyle w:val="Normal"/>
        <w:jc w:val="left"/>
        <w:rPr>
          <w:rFonts w:ascii="Times New Roman" w:hAnsi="Times New Roman"/>
        </w:rPr>
      </w:pPr>
      <w:r>
        <w:rPr>
          <w:rFonts w:ascii="Times New Roman" w:hAnsi="Times New Roman"/>
          <w:sz w:val="21"/>
        </w:rPr>
        <w:t>Τηλέφωνο:</w:t>
      </w:r>
    </w:p>
    <w:p>
      <w:pPr>
        <w:pStyle w:val="Normal"/>
        <w:jc w:val="left"/>
        <w:rPr>
          <w:rFonts w:ascii="Times New Roman" w:hAnsi="Times New Roman"/>
        </w:rPr>
      </w:pPr>
      <w:r>
        <w:rPr>
          <w:rFonts w:ascii="Times New Roman" w:hAnsi="Times New Roman"/>
          <w:sz w:val="21"/>
        </w:rPr>
        <w:t>φαξ:</w:t>
      </w:r>
    </w:p>
    <w:p>
      <w:pPr>
        <w:pStyle w:val="Normal"/>
        <w:jc w:val="left"/>
        <w:rPr>
          <w:rFonts w:ascii="Times New Roman" w:hAnsi="Times New Roman"/>
        </w:rPr>
      </w:pPr>
      <w:r>
        <w:rPr>
          <w:rFonts w:ascii="Times New Roman" w:hAnsi="Times New Roman"/>
          <w:sz w:val="21"/>
        </w:rPr>
        <w:t>Α.Φ.Μ., εφόσον υπάρχει</w:t>
      </w:r>
    </w:p>
    <w:p>
      <w:pPr>
        <w:pStyle w:val="Normal"/>
        <w:jc w:val="left"/>
        <w:rPr>
          <w:rFonts w:ascii="Times New Roman" w:hAnsi="Times New Roman"/>
        </w:rPr>
      </w:pPr>
      <w:r>
        <w:rPr>
          <w:rFonts w:ascii="Times New Roman" w:hAnsi="Times New Roman"/>
          <w:sz w:val="21"/>
        </w:rPr>
        <w:t>Δικτυακός τόπος (εφόσον υπάρχει):</w:t>
      </w:r>
    </w:p>
    <w:p>
      <w:pPr>
        <w:pStyle w:val="Normal"/>
        <w:jc w:val="left"/>
        <w:rPr>
          <w:rFonts w:ascii="Times New Roman" w:hAnsi="Times New Roman"/>
        </w:rPr>
      </w:pPr>
      <w:r>
        <w:rPr>
          <w:rFonts w:ascii="Times New Roman" w:hAnsi="Times New Roman"/>
          <w:sz w:val="21"/>
        </w:rPr>
        <w:t>Ο οικονομικός φορέας είναι πολύ μικρή, μικρή ή μεσαία επιχείρηση;</w:t>
      </w:r>
    </w:p>
    <w:p>
      <w:pPr>
        <w:pStyle w:val="Normal"/>
        <w:jc w:val="left"/>
        <w:rPr>
          <w:rFonts w:ascii="Times New Roman" w:hAnsi="Times New Roman"/>
        </w:rPr>
      </w:pPr>
      <w:r>
        <w:rPr>
          <w:rFonts w:ascii="Times New Roman" w:hAnsi="Times New Roman"/>
          <w:sz w:val="21"/>
        </w:rPr>
        <w:t>Ναι / Όχι</w:t>
      </w:r>
    </w:p>
    <w:p>
      <w:pPr>
        <w:pStyle w:val="Normal"/>
        <w:jc w:val="left"/>
        <w:rPr>
          <w:rFonts w:ascii="Times New Roman" w:hAnsi="Times New Roman"/>
        </w:rPr>
      </w:pPr>
      <w:r>
        <w:rPr>
          <w:rFonts w:ascii="Times New Roman" w:hAnsi="Times New Roman"/>
          <w:sz w:val="21"/>
        </w:rPr>
        <w:t>Ο ΟΦ αποτελεί προστατευόμενο εργαστήριο</w:t>
      </w:r>
    </w:p>
    <w:p>
      <w:pPr>
        <w:pStyle w:val="Normal"/>
        <w:jc w:val="left"/>
        <w:rPr>
          <w:rFonts w:ascii="Times New Roman" w:hAnsi="Times New Roman"/>
        </w:rPr>
      </w:pPr>
      <w:r>
        <w:rPr>
          <w:rFonts w:ascii="Times New Roman" w:hAnsi="Times New Roman"/>
          <w:sz w:val="21"/>
        </w:rPr>
        <w:t>Μόνο σε περίπτωση προμήθειας κατ᾽ αποκλειστικότητα: ο οικονομικός φορέας είναι</w:t>
      </w:r>
    </w:p>
    <w:p>
      <w:pPr>
        <w:pStyle w:val="Normal"/>
        <w:jc w:val="left"/>
        <w:rPr>
          <w:rFonts w:ascii="Times New Roman" w:hAnsi="Times New Roman"/>
        </w:rPr>
      </w:pPr>
      <w:r>
        <w:rPr>
          <w:rFonts w:ascii="Times New Roman" w:hAnsi="Times New Roman"/>
          <w:sz w:val="21"/>
        </w:rPr>
        <w:t>προστατευόμενο εργαστήριο, «κοινωνική επιχείρηση» ή προβλέπει την εκτέλεση</w:t>
      </w:r>
    </w:p>
    <w:p>
      <w:pPr>
        <w:pStyle w:val="Normal"/>
        <w:jc w:val="left"/>
        <w:rPr>
          <w:rFonts w:ascii="Times New Roman" w:hAnsi="Times New Roman"/>
        </w:rPr>
      </w:pPr>
      <w:r>
        <w:rPr>
          <w:rFonts w:ascii="Times New Roman" w:hAnsi="Times New Roman"/>
          <w:sz w:val="21"/>
        </w:rPr>
        <w:t>συμβάσεων στο πλαίσιο προγραμμάτων προστατευόμενης απασχόλησης;</w:t>
      </w:r>
    </w:p>
    <w:p>
      <w:pPr>
        <w:pStyle w:val="Normal"/>
        <w:jc w:val="left"/>
        <w:rPr>
          <w:rFonts w:ascii="Times New Roman" w:hAnsi="Times New Roman"/>
        </w:rPr>
      </w:pPr>
      <w:r>
        <w:rPr>
          <w:rFonts w:ascii="Times New Roman" w:hAnsi="Times New Roman"/>
          <w:sz w:val="21"/>
        </w:rPr>
        <w:t>Απάντηση:</w:t>
      </w:r>
    </w:p>
    <w:p>
      <w:pPr>
        <w:pStyle w:val="Normal"/>
        <w:jc w:val="left"/>
        <w:rPr>
          <w:rFonts w:ascii="Times New Roman" w:hAnsi="Times New Roman"/>
        </w:rPr>
      </w:pPr>
      <w:r>
        <w:rPr>
          <w:rFonts w:ascii="Times New Roman" w:hAnsi="Times New Roman"/>
          <w:sz w:val="21"/>
        </w:rPr>
        <w:t>Ναι / Όχι</w:t>
      </w:r>
    </w:p>
    <w:p>
      <w:pPr>
        <w:pStyle w:val="Normal"/>
        <w:jc w:val="left"/>
        <w:rPr>
          <w:rFonts w:ascii="Times New Roman" w:hAnsi="Times New Roman"/>
        </w:rPr>
      </w:pPr>
      <w:r>
        <w:rPr>
          <w:rFonts w:ascii="Times New Roman" w:hAnsi="Times New Roman"/>
          <w:sz w:val="21"/>
        </w:rPr>
        <w:t>Ποιο είναι το αντίστοιχο ποσοστό των εργαζομένων με αναπηρία ή μειονεκτούντων εργαζομένων;</w:t>
      </w:r>
    </w:p>
    <w:p>
      <w:pPr>
        <w:pStyle w:val="Normal"/>
        <w:jc w:val="left"/>
        <w:rPr>
          <w:rFonts w:ascii="Times New Roman" w:hAnsi="Times New Roman"/>
        </w:rPr>
      </w:pPr>
      <w:r>
        <w:rPr>
          <w:rFonts w:ascii="Times New Roman" w:hAnsi="Times New Roman"/>
          <w:sz w:val="21"/>
        </w:rPr>
        <w:t>%</w:t>
      </w:r>
    </w:p>
    <w:p>
      <w:pPr>
        <w:pStyle w:val="Normal"/>
        <w:jc w:val="left"/>
        <w:rPr>
          <w:rFonts w:ascii="Times New Roman" w:hAnsi="Times New Roman"/>
        </w:rPr>
      </w:pPr>
      <w:r>
        <w:rPr>
          <w:rFonts w:ascii="Times New Roman" w:hAnsi="Times New Roman"/>
          <w:sz w:val="21"/>
        </w:rPr>
        <w:t>Εφόσον απαιτείται, ορίστε την κατηγορία ή τις κατηγορίες στις οποίες</w:t>
      </w:r>
    </w:p>
    <w:p>
      <w:pPr>
        <w:pStyle w:val="Normal"/>
        <w:jc w:val="left"/>
        <w:rPr>
          <w:rFonts w:ascii="Times New Roman" w:hAnsi="Times New Roman"/>
        </w:rPr>
      </w:pPr>
      <w:r>
        <w:rPr>
          <w:rFonts w:ascii="Times New Roman" w:hAnsi="Times New Roman"/>
          <w:sz w:val="21"/>
        </w:rPr>
        <w:t>ανήκουν οι ενδιαφερόμενοι εργαζόμενοι με αναπηρία ή μειονεξία</w:t>
      </w:r>
    </w:p>
    <w:p>
      <w:pPr>
        <w:pStyle w:val="Normal"/>
        <w:jc w:val="left"/>
        <w:rPr>
          <w:rFonts w:ascii="Times New Roman" w:hAnsi="Times New Roman"/>
        </w:rPr>
      </w:pPr>
      <w:r>
        <w:rPr>
          <w:rFonts w:ascii="Times New Roman" w:hAnsi="Times New Roman"/>
          <w:sz w:val="21"/>
        </w:rPr>
        <w:t>-</w:t>
      </w:r>
    </w:p>
    <w:p>
      <w:pPr>
        <w:pStyle w:val="Normal"/>
        <w:jc w:val="left"/>
        <w:rPr>
          <w:rFonts w:ascii="Times New Roman" w:hAnsi="Times New Roman"/>
        </w:rPr>
      </w:pPr>
      <w:r>
        <w:rPr>
          <w:rFonts w:ascii="Times New Roman" w:hAnsi="Times New Roman"/>
          <w:sz w:val="21"/>
        </w:rPr>
        <w:t>Εάν η σχετική τεκμηρίωση διατίθεται ηλεκτρονικά, αναφέρετε:</w:t>
      </w:r>
    </w:p>
    <w:p>
      <w:pPr>
        <w:pStyle w:val="Normal"/>
        <w:jc w:val="left"/>
        <w:rPr>
          <w:rFonts w:ascii="Times New Roman" w:hAnsi="Times New Roman"/>
        </w:rPr>
      </w:pPr>
      <w:r>
        <w:rPr>
          <w:rFonts w:ascii="Times New Roman" w:hAnsi="Times New Roman"/>
          <w:sz w:val="21"/>
        </w:rPr>
        <w:t>Ναι / Όχι</w:t>
      </w:r>
    </w:p>
    <w:p>
      <w:pPr>
        <w:pStyle w:val="Normal"/>
        <w:jc w:val="left"/>
        <w:rPr>
          <w:rFonts w:ascii="Times New Roman" w:hAnsi="Times New Roman"/>
        </w:rPr>
      </w:pPr>
      <w:r>
        <w:rPr>
          <w:rFonts w:ascii="Times New Roman" w:hAnsi="Times New Roman"/>
          <w:sz w:val="21"/>
        </w:rPr>
        <w:t>Διαδικτυακή Διεύθυνση</w:t>
      </w:r>
    </w:p>
    <w:p>
      <w:pPr>
        <w:pStyle w:val="Normal"/>
        <w:jc w:val="left"/>
        <w:rPr>
          <w:rFonts w:ascii="Times New Roman" w:hAnsi="Times New Roman"/>
        </w:rPr>
      </w:pPr>
      <w:r>
        <w:rPr>
          <w:rFonts w:ascii="Times New Roman" w:hAnsi="Times New Roman"/>
          <w:sz w:val="21"/>
        </w:rPr>
        <w:t>-</w:t>
      </w:r>
    </w:p>
    <w:p>
      <w:pPr>
        <w:pStyle w:val="Normal"/>
        <w:jc w:val="left"/>
        <w:rPr>
          <w:rFonts w:ascii="Times New Roman" w:hAnsi="Times New Roman"/>
        </w:rPr>
      </w:pPr>
      <w:r>
        <w:rPr>
          <w:rFonts w:ascii="Times New Roman" w:hAnsi="Times New Roman"/>
          <w:sz w:val="21"/>
        </w:rPr>
        <w:t>Επακριβή στοιχεία αναφοράς των εγγράφων</w:t>
      </w:r>
    </w:p>
    <w:p>
      <w:pPr>
        <w:pStyle w:val="Normal"/>
        <w:jc w:val="left"/>
        <w:rPr>
          <w:rFonts w:ascii="Times New Roman" w:hAnsi="Times New Roman"/>
        </w:rPr>
      </w:pPr>
      <w:r>
        <w:rPr>
          <w:rFonts w:ascii="Times New Roman" w:hAnsi="Times New Roman"/>
          <w:sz w:val="21"/>
        </w:rPr>
        <w:t>-</w:t>
      </w:r>
    </w:p>
    <w:p>
      <w:pPr>
        <w:pStyle w:val="Normal"/>
        <w:jc w:val="left"/>
        <w:rPr>
          <w:rFonts w:ascii="Times New Roman" w:hAnsi="Times New Roman"/>
        </w:rPr>
      </w:pPr>
      <w:r>
        <w:rPr>
          <w:rFonts w:ascii="Times New Roman" w:hAnsi="Times New Roman"/>
          <w:sz w:val="21"/>
        </w:rPr>
        <w:t>Αρχή ή Φορέας έκδοσης</w:t>
      </w:r>
    </w:p>
    <w:p>
      <w:pPr>
        <w:pStyle w:val="Normal"/>
        <w:jc w:val="left"/>
        <w:rPr>
          <w:rFonts w:ascii="Times New Roman" w:hAnsi="Times New Roman"/>
        </w:rPr>
      </w:pPr>
      <w:r>
        <w:rPr>
          <w:rFonts w:ascii="Times New Roman" w:hAnsi="Times New Roman"/>
          <w:sz w:val="21"/>
        </w:rPr>
        <w:t>-</w:t>
      </w:r>
    </w:p>
    <w:p>
      <w:pPr>
        <w:pStyle w:val="Normal"/>
        <w:jc w:val="left"/>
        <w:rPr>
          <w:rFonts w:ascii="Times New Roman" w:hAnsi="Times New Roman"/>
        </w:rPr>
      </w:pPr>
      <w:r>
        <w:rPr>
          <w:rFonts w:ascii="Times New Roman" w:hAnsi="Times New Roman"/>
          <w:sz w:val="21"/>
        </w:rPr>
        <w:t>Ο ΟΦ είναι εγγεγραμμένος σε Εθνικό Σύστημα (Προ)Επιλογής</w:t>
      </w:r>
    </w:p>
    <w:p>
      <w:pPr>
        <w:pStyle w:val="Normal"/>
        <w:jc w:val="left"/>
        <w:rPr>
          <w:rFonts w:ascii="Times New Roman" w:hAnsi="Times New Roman"/>
        </w:rPr>
      </w:pPr>
      <w:r>
        <w:rPr>
          <w:rFonts w:ascii="Times New Roman" w:hAnsi="Times New Roman"/>
          <w:sz w:val="21"/>
        </w:rPr>
        <w:t>Κατά περίπτωση, ο οικονομικός φορέας είναι εγγεγραμμένος σε επίσημο κατάλογο</w:t>
      </w:r>
    </w:p>
    <w:p>
      <w:pPr>
        <w:pStyle w:val="Normal"/>
        <w:jc w:val="left"/>
        <w:rPr>
          <w:rFonts w:ascii="Times New Roman" w:hAnsi="Times New Roman"/>
        </w:rPr>
      </w:pPr>
      <w:r>
        <w:rPr>
          <w:rFonts w:ascii="Times New Roman" w:hAnsi="Times New Roman"/>
          <w:sz w:val="21"/>
        </w:rPr>
        <w:t>εγκεκριμένων οικονομικών φορέων ή διαθέτει ισοδύναμο πιστοποιητικό [π.χ. βάσει</w:t>
      </w:r>
    </w:p>
    <w:p>
      <w:pPr>
        <w:pStyle w:val="Normal"/>
        <w:jc w:val="left"/>
        <w:rPr>
          <w:rFonts w:ascii="Times New Roman" w:hAnsi="Times New Roman"/>
        </w:rPr>
      </w:pPr>
      <w:r>
        <w:rPr>
          <w:rFonts w:ascii="Times New Roman" w:hAnsi="Times New Roman"/>
          <w:sz w:val="21"/>
        </w:rPr>
        <w:t>εθνικού συστήματος (προ)επιλογής];</w:t>
      </w:r>
    </w:p>
    <w:p>
      <w:pPr>
        <w:pStyle w:val="Normal"/>
        <w:jc w:val="left"/>
        <w:rPr>
          <w:rFonts w:ascii="Times New Roman" w:hAnsi="Times New Roman"/>
        </w:rPr>
      </w:pPr>
      <w:r>
        <w:rPr>
          <w:rFonts w:ascii="Times New Roman" w:hAnsi="Times New Roman"/>
          <w:sz w:val="21"/>
        </w:rPr>
        <w:t>Απάντηση:</w:t>
      </w:r>
    </w:p>
    <w:p>
      <w:pPr>
        <w:pStyle w:val="Normal"/>
        <w:jc w:val="left"/>
        <w:rPr>
          <w:rFonts w:ascii="Times New Roman" w:hAnsi="Times New Roman"/>
        </w:rPr>
      </w:pPr>
      <w:r>
        <w:rPr>
          <w:rFonts w:ascii="Times New Roman" w:hAnsi="Times New Roman"/>
          <w:sz w:val="21"/>
        </w:rPr>
        <w:t>Ναι / Όχι</w:t>
      </w:r>
    </w:p>
    <w:p>
      <w:pPr>
        <w:pStyle w:val="Normal"/>
        <w:jc w:val="left"/>
        <w:rPr>
          <w:rFonts w:ascii="Times New Roman" w:hAnsi="Times New Roman"/>
        </w:rPr>
      </w:pPr>
      <w:r>
        <w:rPr>
          <w:rFonts w:ascii="Times New Roman" w:hAnsi="Times New Roman"/>
          <w:sz w:val="21"/>
        </w:rPr>
        <w:t>Αναφέρετε την ονομασία του καταλόγου ή του πιστοποιητικού και τον</w:t>
      </w:r>
    </w:p>
    <w:p>
      <w:pPr>
        <w:pStyle w:val="Normal"/>
        <w:jc w:val="left"/>
        <w:rPr>
          <w:rFonts w:ascii="Times New Roman" w:hAnsi="Times New Roman"/>
        </w:rPr>
      </w:pPr>
      <w:r>
        <w:rPr>
          <w:rFonts w:ascii="Times New Roman" w:hAnsi="Times New Roman"/>
          <w:sz w:val="21"/>
        </w:rPr>
        <w:t>σχετικό αριθμό εγγραφής ή πιστοποίησης, κατά περίπτωση:</w:t>
      </w:r>
    </w:p>
    <w:p>
      <w:pPr>
        <w:pStyle w:val="Normal"/>
        <w:jc w:val="left"/>
        <w:rPr>
          <w:rFonts w:ascii="Times New Roman" w:hAnsi="Times New Roman"/>
        </w:rPr>
      </w:pPr>
      <w:r>
        <w:rPr>
          <w:rFonts w:ascii="Times New Roman" w:hAnsi="Times New Roman"/>
          <w:sz w:val="21"/>
        </w:rPr>
        <w:t>-</w:t>
      </w:r>
    </w:p>
    <w:p>
      <w:pPr>
        <w:pStyle w:val="Normal"/>
        <w:jc w:val="left"/>
        <w:rPr>
          <w:rFonts w:ascii="Times New Roman" w:hAnsi="Times New Roman"/>
        </w:rPr>
      </w:pPr>
      <w:r>
        <w:rPr>
          <w:rFonts w:ascii="Times New Roman" w:hAnsi="Times New Roman"/>
          <w:sz w:val="21"/>
        </w:rPr>
        <w:t>Εάν το πιστοποιητικό εγγραφής ή η πιστοποίηση διατίθεται ηλεκτρονικά, αναφέρετε:</w:t>
      </w:r>
    </w:p>
    <w:p>
      <w:pPr>
        <w:pStyle w:val="Normal"/>
        <w:jc w:val="left"/>
        <w:rPr>
          <w:rFonts w:ascii="Times New Roman" w:hAnsi="Times New Roman"/>
        </w:rPr>
      </w:pPr>
      <w:r>
        <w:rPr>
          <w:rFonts w:ascii="Times New Roman" w:hAnsi="Times New Roman"/>
          <w:sz w:val="21"/>
        </w:rPr>
        <w:t>-</w:t>
      </w:r>
    </w:p>
    <w:p>
      <w:pPr>
        <w:pStyle w:val="Normal"/>
        <w:jc w:val="left"/>
        <w:rPr>
          <w:rFonts w:ascii="Times New Roman" w:hAnsi="Times New Roman"/>
        </w:rPr>
      </w:pPr>
      <w:r>
        <w:rPr>
          <w:rFonts w:ascii="Times New Roman" w:hAnsi="Times New Roman"/>
          <w:sz w:val="21"/>
        </w:rPr>
        <w:t>Αναφέρετε τα δικαιολογητικά στα οποία βασίζεται η εγγραφή ή η</w:t>
      </w:r>
    </w:p>
    <w:p>
      <w:pPr>
        <w:pStyle w:val="Normal"/>
        <w:jc w:val="left"/>
        <w:rPr>
          <w:rFonts w:ascii="Times New Roman" w:hAnsi="Times New Roman"/>
        </w:rPr>
      </w:pPr>
      <w:r>
        <w:rPr>
          <w:rFonts w:ascii="Times New Roman" w:hAnsi="Times New Roman"/>
          <w:sz w:val="21"/>
        </w:rPr>
        <w:t>πιστοποίηση και κατά περίπτωση, την κατάταξη στον επίσημο κατάλογο</w:t>
      </w:r>
    </w:p>
    <w:p>
      <w:pPr>
        <w:pStyle w:val="Normal"/>
        <w:jc w:val="left"/>
        <w:rPr>
          <w:rFonts w:ascii="Times New Roman" w:hAnsi="Times New Roman"/>
        </w:rPr>
      </w:pPr>
      <w:r>
        <w:rPr>
          <w:rFonts w:ascii="Times New Roman" w:hAnsi="Times New Roman"/>
          <w:sz w:val="21"/>
        </w:rPr>
        <w:t>-</w:t>
      </w:r>
    </w:p>
    <w:p>
      <w:pPr>
        <w:pStyle w:val="Normal"/>
        <w:jc w:val="left"/>
        <w:rPr>
          <w:rFonts w:ascii="Times New Roman" w:hAnsi="Times New Roman"/>
        </w:rPr>
      </w:pPr>
      <w:r>
        <w:rPr>
          <w:rFonts w:ascii="Times New Roman" w:hAnsi="Times New Roman"/>
          <w:sz w:val="21"/>
        </w:rPr>
        <w:t>Η εγγραφή ή η πιστοποίηση καλύπτει όλα τα απαιτούμενα κριτήρια επιλογής;</w:t>
      </w:r>
    </w:p>
    <w:p>
      <w:pPr>
        <w:pStyle w:val="Normal"/>
        <w:jc w:val="left"/>
        <w:rPr>
          <w:rFonts w:ascii="Times New Roman" w:hAnsi="Times New Roman"/>
        </w:rPr>
      </w:pPr>
      <w:r>
        <w:rPr>
          <w:rFonts w:ascii="Times New Roman" w:hAnsi="Times New Roman"/>
          <w:sz w:val="21"/>
        </w:rPr>
        <w:t>Ναι / Όχι</w:t>
      </w:r>
    </w:p>
    <w:p>
      <w:pPr>
        <w:pStyle w:val="Normal"/>
        <w:jc w:val="left"/>
        <w:rPr>
          <w:rFonts w:ascii="Times New Roman" w:hAnsi="Times New Roman"/>
        </w:rPr>
      </w:pPr>
      <w:r>
        <w:rPr>
          <w:rFonts w:ascii="Times New Roman" w:hAnsi="Times New Roman"/>
          <w:sz w:val="21"/>
        </w:rPr>
        <w:t>Ο οικονομικός φορέας θα είναι σε θέση να προσκομίσει βεβαίωση</w:t>
      </w:r>
    </w:p>
    <w:p>
      <w:pPr>
        <w:pStyle w:val="Normal"/>
        <w:jc w:val="left"/>
        <w:rPr>
          <w:rFonts w:ascii="Times New Roman" w:hAnsi="Times New Roman"/>
        </w:rPr>
      </w:pPr>
      <w:r>
        <w:rPr>
          <w:rFonts w:ascii="Times New Roman" w:hAnsi="Times New Roman"/>
          <w:sz w:val="21"/>
        </w:rPr>
        <w:t>πληρωμής εισφορών κοινωνικής ασφάλισης και φόρων ή να παράσχει</w:t>
      </w:r>
    </w:p>
    <w:p>
      <w:pPr>
        <w:pStyle w:val="Normal"/>
        <w:jc w:val="left"/>
        <w:rPr>
          <w:rFonts w:ascii="Times New Roman" w:hAnsi="Times New Roman"/>
        </w:rPr>
      </w:pPr>
      <w:r>
        <w:rPr>
          <w:rFonts w:ascii="Times New Roman" w:hAnsi="Times New Roman"/>
          <w:sz w:val="21"/>
        </w:rPr>
        <w:t>πληροφορίες που θα δίνουν τη δυνατότητα στην αναθέτουσα αρχή ή</w:t>
      </w:r>
    </w:p>
    <w:p>
      <w:pPr>
        <w:pStyle w:val="Normal"/>
        <w:jc w:val="left"/>
        <w:rPr>
          <w:rFonts w:ascii="Times New Roman" w:hAnsi="Times New Roman"/>
        </w:rPr>
      </w:pPr>
      <w:r>
        <w:rPr>
          <w:rFonts w:ascii="Times New Roman" w:hAnsi="Times New Roman"/>
          <w:sz w:val="21"/>
        </w:rPr>
        <w:t>στον αναθέτοντα φορέα να τη λάβει απευθείας μέσω πρόσβασης σε</w:t>
      </w:r>
    </w:p>
    <w:p>
      <w:pPr>
        <w:pStyle w:val="Normal"/>
        <w:jc w:val="left"/>
        <w:rPr>
          <w:rFonts w:ascii="Times New Roman" w:hAnsi="Times New Roman"/>
        </w:rPr>
      </w:pPr>
      <w:r>
        <w:rPr>
          <w:rFonts w:ascii="Times New Roman" w:hAnsi="Times New Roman"/>
          <w:sz w:val="21"/>
        </w:rPr>
        <w:t>εθνική βάση δεδομένων σε οποιοδήποτε κράτος μέλος αυτή διατίθεται δωρεάν;</w:t>
      </w:r>
    </w:p>
    <w:p>
      <w:pPr>
        <w:pStyle w:val="Normal"/>
        <w:jc w:val="left"/>
        <w:rPr>
          <w:rFonts w:ascii="Times New Roman" w:hAnsi="Times New Roman"/>
        </w:rPr>
      </w:pPr>
      <w:r>
        <w:rPr>
          <w:rFonts w:ascii="Times New Roman" w:hAnsi="Times New Roman"/>
          <w:sz w:val="21"/>
        </w:rPr>
        <w:t>Ναι / Όχι</w:t>
      </w:r>
    </w:p>
    <w:p>
      <w:pPr>
        <w:pStyle w:val="Normal"/>
        <w:jc w:val="left"/>
        <w:rPr>
          <w:rFonts w:ascii="Times New Roman" w:hAnsi="Times New Roman"/>
        </w:rPr>
      </w:pPr>
      <w:r>
        <w:rPr>
          <w:rFonts w:ascii="Times New Roman" w:hAnsi="Times New Roman"/>
          <w:sz w:val="21"/>
        </w:rPr>
        <w:t>Εάν η σχετική τεκμηρίωση διατίθεται ηλεκτρονικά, αναφέρετε:</w:t>
      </w:r>
    </w:p>
    <w:p>
      <w:pPr>
        <w:pStyle w:val="Normal"/>
        <w:jc w:val="left"/>
        <w:rPr>
          <w:rFonts w:ascii="Times New Roman" w:hAnsi="Times New Roman"/>
        </w:rPr>
      </w:pPr>
      <w:r>
        <w:rPr>
          <w:rFonts w:ascii="Times New Roman" w:hAnsi="Times New Roman"/>
          <w:sz w:val="21"/>
        </w:rPr>
        <w:t>Ναι / Όχι</w:t>
      </w:r>
    </w:p>
    <w:p>
      <w:pPr>
        <w:pStyle w:val="Normal"/>
        <w:jc w:val="left"/>
        <w:rPr>
          <w:rFonts w:ascii="Times New Roman" w:hAnsi="Times New Roman"/>
        </w:rPr>
      </w:pPr>
      <w:r>
        <w:rPr>
          <w:rFonts w:ascii="Times New Roman" w:hAnsi="Times New Roman"/>
          <w:sz w:val="21"/>
        </w:rPr>
        <w:t>Διαδικτυακή Διεύθυνση</w:t>
      </w:r>
    </w:p>
    <w:p>
      <w:pPr>
        <w:pStyle w:val="Normal"/>
        <w:jc w:val="left"/>
        <w:rPr>
          <w:rFonts w:ascii="Times New Roman" w:hAnsi="Times New Roman"/>
        </w:rPr>
      </w:pPr>
      <w:r>
        <w:rPr>
          <w:rFonts w:ascii="Times New Roman" w:hAnsi="Times New Roman"/>
          <w:sz w:val="21"/>
        </w:rPr>
        <w:t>-</w:t>
      </w:r>
    </w:p>
    <w:p>
      <w:pPr>
        <w:pStyle w:val="Normal"/>
        <w:jc w:val="left"/>
        <w:rPr>
          <w:rFonts w:ascii="Times New Roman" w:hAnsi="Times New Roman"/>
        </w:rPr>
      </w:pPr>
      <w:r>
        <w:rPr>
          <w:rFonts w:ascii="Times New Roman" w:hAnsi="Times New Roman"/>
          <w:sz w:val="21"/>
        </w:rPr>
        <w:t>Επακριβή στοιχεία αναφοράς των εγγράφων</w:t>
      </w:r>
    </w:p>
    <w:p>
      <w:pPr>
        <w:pStyle w:val="Normal"/>
        <w:jc w:val="left"/>
        <w:rPr>
          <w:rFonts w:ascii="Times New Roman" w:hAnsi="Times New Roman"/>
        </w:rPr>
      </w:pPr>
      <w:r>
        <w:rPr>
          <w:rFonts w:ascii="Times New Roman" w:hAnsi="Times New Roman"/>
          <w:sz w:val="21"/>
        </w:rPr>
        <w:t>-</w:t>
      </w:r>
    </w:p>
    <w:p>
      <w:pPr>
        <w:pStyle w:val="Normal"/>
        <w:jc w:val="left"/>
        <w:rPr>
          <w:rFonts w:ascii="Times New Roman" w:hAnsi="Times New Roman"/>
        </w:rPr>
      </w:pPr>
      <w:r>
        <w:rPr>
          <w:rFonts w:ascii="Times New Roman" w:hAnsi="Times New Roman"/>
          <w:sz w:val="21"/>
        </w:rPr>
        <w:t>Αρχή ή Φορέας έκδοσης</w:t>
      </w:r>
    </w:p>
    <w:p>
      <w:pPr>
        <w:pStyle w:val="Normal"/>
        <w:jc w:val="left"/>
        <w:rPr>
          <w:rFonts w:ascii="Times New Roman" w:hAnsi="Times New Roman"/>
        </w:rPr>
      </w:pPr>
      <w:r>
        <w:rPr>
          <w:rFonts w:ascii="Times New Roman" w:hAnsi="Times New Roman"/>
          <w:sz w:val="21"/>
        </w:rPr>
        <w:t>-</w:t>
      </w:r>
    </w:p>
    <w:p>
      <w:pPr>
        <w:pStyle w:val="Normal"/>
        <w:jc w:val="left"/>
        <w:rPr>
          <w:rFonts w:ascii="Times New Roman" w:hAnsi="Times New Roman"/>
        </w:rPr>
      </w:pPr>
      <w:r>
        <w:rPr>
          <w:rFonts w:ascii="Times New Roman" w:hAnsi="Times New Roman"/>
          <w:sz w:val="21"/>
        </w:rPr>
        <w:t>O ΟΦ συμμετάσχει στη διαδικασία μαζί με άλλους Οικονομικούς Φορείς</w:t>
      </w:r>
    </w:p>
    <w:p>
      <w:pPr>
        <w:pStyle w:val="Normal"/>
        <w:jc w:val="left"/>
        <w:rPr>
          <w:rFonts w:ascii="Times New Roman" w:hAnsi="Times New Roman"/>
        </w:rPr>
      </w:pPr>
      <w:r>
        <w:rPr>
          <w:rFonts w:ascii="Times New Roman" w:hAnsi="Times New Roman"/>
          <w:sz w:val="21"/>
        </w:rPr>
        <w:t>Ο οικονομικός φορέας συμμετέχει στη διαδικασία σύναψης σύμβασης από κοινού με άλλους;</w:t>
      </w:r>
    </w:p>
    <w:p>
      <w:pPr>
        <w:pStyle w:val="Normal"/>
        <w:jc w:val="left"/>
        <w:rPr>
          <w:rFonts w:ascii="Times New Roman" w:hAnsi="Times New Roman"/>
        </w:rPr>
      </w:pPr>
      <w:r>
        <w:rPr>
          <w:rFonts w:ascii="Times New Roman" w:hAnsi="Times New Roman"/>
          <w:sz w:val="21"/>
        </w:rPr>
        <w:t>Απάντηση:</w:t>
      </w:r>
    </w:p>
    <w:p>
      <w:pPr>
        <w:pStyle w:val="Normal"/>
        <w:jc w:val="left"/>
        <w:rPr>
          <w:rFonts w:ascii="Times New Roman" w:hAnsi="Times New Roman"/>
        </w:rPr>
      </w:pPr>
      <w:r>
        <w:rPr>
          <w:rFonts w:ascii="Times New Roman" w:hAnsi="Times New Roman"/>
          <w:sz w:val="21"/>
        </w:rPr>
        <w:t>Ναι / Όχι</w:t>
      </w:r>
    </w:p>
    <w:p>
      <w:pPr>
        <w:pStyle w:val="Normal"/>
        <w:jc w:val="left"/>
        <w:rPr>
          <w:rFonts w:ascii="Times New Roman" w:hAnsi="Times New Roman"/>
        </w:rPr>
      </w:pPr>
      <w:r>
        <w:rPr>
          <w:rFonts w:ascii="Times New Roman" w:hAnsi="Times New Roman"/>
          <w:sz w:val="21"/>
        </w:rPr>
        <w:t>Αναφέρετε τον ρόλο του οικονομικού φορέα στην ένωση (συντονιστής,</w:t>
      </w:r>
    </w:p>
    <w:p>
      <w:pPr>
        <w:pStyle w:val="Normal"/>
        <w:jc w:val="left"/>
        <w:rPr>
          <w:rFonts w:ascii="Times New Roman" w:hAnsi="Times New Roman"/>
        </w:rPr>
      </w:pPr>
      <w:r>
        <w:rPr>
          <w:rFonts w:ascii="Times New Roman" w:hAnsi="Times New Roman"/>
          <w:sz w:val="21"/>
        </w:rPr>
        <w:t>υπεύθυνος για συγκεκριμένα καθήκοντα...):</w:t>
      </w:r>
    </w:p>
    <w:p>
      <w:pPr>
        <w:pStyle w:val="Normal"/>
        <w:jc w:val="left"/>
        <w:rPr>
          <w:rFonts w:ascii="Times New Roman" w:hAnsi="Times New Roman"/>
        </w:rPr>
      </w:pPr>
      <w:r>
        <w:rPr>
          <w:rFonts w:ascii="Times New Roman" w:hAnsi="Times New Roman"/>
          <w:sz w:val="21"/>
        </w:rPr>
        <w:t>-</w:t>
      </w:r>
    </w:p>
    <w:p>
      <w:pPr>
        <w:pStyle w:val="Normal"/>
        <w:jc w:val="left"/>
        <w:rPr>
          <w:rFonts w:ascii="Times New Roman" w:hAnsi="Times New Roman"/>
        </w:rPr>
      </w:pPr>
      <w:r>
        <w:rPr>
          <w:rFonts w:ascii="Times New Roman" w:hAnsi="Times New Roman"/>
          <w:sz w:val="21"/>
        </w:rPr>
        <w:t>Προσδιορίστε τους άλλους οικονομικούς φορείς που συμμετέχουν από κοινού στη διαδικασία σύναψης σύμβασης:</w:t>
      </w:r>
    </w:p>
    <w:p>
      <w:pPr>
        <w:pStyle w:val="Normal"/>
        <w:jc w:val="left"/>
        <w:rPr>
          <w:rFonts w:ascii="Times New Roman" w:hAnsi="Times New Roman"/>
        </w:rPr>
      </w:pPr>
      <w:r>
        <w:rPr>
          <w:rFonts w:ascii="Times New Roman" w:hAnsi="Times New Roman"/>
          <w:sz w:val="21"/>
        </w:rPr>
        <w:t>-</w:t>
      </w:r>
    </w:p>
    <w:p>
      <w:pPr>
        <w:pStyle w:val="Normal"/>
        <w:jc w:val="left"/>
        <w:rPr>
          <w:rFonts w:ascii="Times New Roman" w:hAnsi="Times New Roman"/>
        </w:rPr>
      </w:pPr>
      <w:r>
        <w:rPr>
          <w:rFonts w:ascii="Times New Roman" w:hAnsi="Times New Roman"/>
          <w:sz w:val="21"/>
        </w:rPr>
        <w:t>Κατά περίπτωση, επωνυμία της συμμετέχουσας ένωσης:</w:t>
      </w:r>
    </w:p>
    <w:p>
      <w:pPr>
        <w:pStyle w:val="Normal"/>
        <w:jc w:val="left"/>
        <w:rPr>
          <w:rFonts w:ascii="Times New Roman" w:hAnsi="Times New Roman"/>
        </w:rPr>
      </w:pPr>
      <w:r>
        <w:rPr>
          <w:rFonts w:ascii="Times New Roman" w:hAnsi="Times New Roman"/>
          <w:sz w:val="21"/>
        </w:rPr>
        <w:t>-</w:t>
      </w:r>
    </w:p>
    <w:p>
      <w:pPr>
        <w:pStyle w:val="Normal"/>
        <w:jc w:val="left"/>
        <w:rPr>
          <w:rFonts w:ascii="Times New Roman" w:hAnsi="Times New Roman"/>
        </w:rPr>
      </w:pPr>
      <w:r>
        <w:rPr>
          <w:rFonts w:ascii="Times New Roman" w:hAnsi="Times New Roman"/>
          <w:sz w:val="21"/>
        </w:rPr>
        <w:t>Εάν η σχετική τεκμηρίωση διατίθεται ηλεκτρονικά, αναφέρετε:</w:t>
      </w:r>
    </w:p>
    <w:p>
      <w:pPr>
        <w:pStyle w:val="Normal"/>
        <w:jc w:val="left"/>
        <w:rPr>
          <w:rFonts w:ascii="Times New Roman" w:hAnsi="Times New Roman"/>
        </w:rPr>
      </w:pPr>
      <w:r>
        <w:rPr>
          <w:rFonts w:ascii="Times New Roman" w:hAnsi="Times New Roman"/>
          <w:sz w:val="21"/>
        </w:rPr>
        <w:t>Ναι / Όχι</w:t>
      </w:r>
    </w:p>
    <w:p>
      <w:pPr>
        <w:pStyle w:val="Normal"/>
        <w:jc w:val="left"/>
        <w:rPr>
          <w:rFonts w:ascii="Times New Roman" w:hAnsi="Times New Roman"/>
        </w:rPr>
      </w:pPr>
      <w:r>
        <w:rPr>
          <w:rFonts w:ascii="Times New Roman" w:hAnsi="Times New Roman"/>
          <w:sz w:val="21"/>
        </w:rPr>
        <w:t>Διαδικτυακή Διεύθυνση</w:t>
      </w:r>
    </w:p>
    <w:p>
      <w:pPr>
        <w:pStyle w:val="Normal"/>
        <w:jc w:val="left"/>
        <w:rPr>
          <w:rFonts w:ascii="Times New Roman" w:hAnsi="Times New Roman"/>
        </w:rPr>
      </w:pPr>
      <w:r>
        <w:rPr>
          <w:rFonts w:ascii="Times New Roman" w:hAnsi="Times New Roman"/>
          <w:sz w:val="21"/>
        </w:rPr>
        <w:t>-</w:t>
      </w:r>
    </w:p>
    <w:p>
      <w:pPr>
        <w:pStyle w:val="Normal"/>
        <w:jc w:val="left"/>
        <w:rPr>
          <w:rFonts w:ascii="Times New Roman" w:hAnsi="Times New Roman"/>
        </w:rPr>
      </w:pPr>
      <w:r>
        <w:rPr>
          <w:rFonts w:ascii="Times New Roman" w:hAnsi="Times New Roman"/>
          <w:sz w:val="21"/>
        </w:rPr>
        <w:t>Επακριβή στοιχεία αναφοράς των εγγράφων</w:t>
      </w:r>
    </w:p>
    <w:p>
      <w:pPr>
        <w:pStyle w:val="Normal"/>
        <w:jc w:val="left"/>
        <w:rPr>
          <w:rFonts w:ascii="Times New Roman" w:hAnsi="Times New Roman"/>
        </w:rPr>
      </w:pPr>
      <w:r>
        <w:rPr>
          <w:rFonts w:ascii="Times New Roman" w:hAnsi="Times New Roman"/>
          <w:sz w:val="21"/>
        </w:rPr>
        <w:t>-</w:t>
      </w:r>
    </w:p>
    <w:p>
      <w:pPr>
        <w:pStyle w:val="Normal"/>
        <w:jc w:val="left"/>
        <w:rPr>
          <w:rFonts w:ascii="Times New Roman" w:hAnsi="Times New Roman"/>
        </w:rPr>
      </w:pPr>
      <w:r>
        <w:rPr>
          <w:rFonts w:ascii="Times New Roman" w:hAnsi="Times New Roman"/>
          <w:sz w:val="21"/>
        </w:rPr>
        <w:t>Αρχή ή Φορέας έκδοσης</w:t>
      </w:r>
    </w:p>
    <w:p>
      <w:pPr>
        <w:pStyle w:val="Normal"/>
        <w:jc w:val="left"/>
        <w:rPr>
          <w:rFonts w:ascii="Times New Roman" w:hAnsi="Times New Roman"/>
        </w:rPr>
      </w:pPr>
      <w:r>
        <w:rPr>
          <w:rFonts w:ascii="Times New Roman" w:hAnsi="Times New Roman"/>
          <w:sz w:val="21"/>
        </w:rPr>
        <w:t>-</w:t>
      </w:r>
    </w:p>
    <w:p>
      <w:pPr>
        <w:pStyle w:val="Normal"/>
        <w:jc w:val="left"/>
        <w:rPr>
          <w:rFonts w:ascii="Times New Roman" w:hAnsi="Times New Roman"/>
        </w:rPr>
      </w:pPr>
      <w:r>
        <w:rPr>
          <w:rFonts w:ascii="Times New Roman" w:hAnsi="Times New Roman"/>
          <w:sz w:val="21"/>
        </w:rPr>
        <w:t>Τμήματα που συμμετάσχει ο ΟΦ</w:t>
      </w:r>
    </w:p>
    <w:p>
      <w:pPr>
        <w:pStyle w:val="Normal"/>
        <w:jc w:val="left"/>
        <w:rPr>
          <w:rFonts w:ascii="Times New Roman" w:hAnsi="Times New Roman"/>
        </w:rPr>
      </w:pPr>
      <w:r>
        <w:rPr>
          <w:rFonts w:ascii="Times New Roman" w:hAnsi="Times New Roman"/>
          <w:sz w:val="21"/>
        </w:rPr>
        <w:t>Κατά περίπτωση, αναφορά του τμήματος ή των τμημάτων για τα οποία ο οικονομικός</w:t>
      </w:r>
    </w:p>
    <w:p>
      <w:pPr>
        <w:pStyle w:val="Normal"/>
        <w:jc w:val="left"/>
        <w:rPr>
          <w:rFonts w:ascii="Times New Roman" w:hAnsi="Times New Roman"/>
        </w:rPr>
      </w:pPr>
      <w:r>
        <w:rPr>
          <w:rFonts w:ascii="Times New Roman" w:hAnsi="Times New Roman"/>
          <w:sz w:val="21"/>
        </w:rPr>
        <w:t>φορέας επιθυμεί να υποβάλει προσφορά.</w:t>
      </w:r>
    </w:p>
    <w:p>
      <w:pPr>
        <w:pStyle w:val="Normal"/>
        <w:jc w:val="left"/>
        <w:rPr>
          <w:sz w:val="24"/>
        </w:rPr>
      </w:pPr>
      <w:r>
        <w:rPr>
          <w:sz w:val="24"/>
        </w:rPr>
      </w:r>
    </w:p>
    <w:p>
      <w:pPr>
        <w:pStyle w:val="Normal"/>
        <w:jc w:val="left"/>
        <w:rPr>
          <w:rFonts w:ascii="Times New Roman" w:hAnsi="Times New Roman"/>
        </w:rPr>
      </w:pPr>
      <w:r>
        <w:rPr>
          <w:rFonts w:ascii="Times New Roman" w:hAnsi="Times New Roman"/>
          <w:sz w:val="21"/>
        </w:rPr>
        <w:t>Απάντηση:</w:t>
      </w:r>
    </w:p>
    <w:p>
      <w:pPr>
        <w:pStyle w:val="Normal"/>
        <w:jc w:val="left"/>
        <w:rPr>
          <w:rFonts w:ascii="Times New Roman" w:hAnsi="Times New Roman"/>
        </w:rPr>
      </w:pPr>
      <w:r>
        <w:rPr>
          <w:rFonts w:ascii="Times New Roman" w:hAnsi="Times New Roman"/>
          <w:sz w:val="21"/>
        </w:rPr>
        <w:t>-</w:t>
      </w:r>
    </w:p>
    <w:p>
      <w:pPr>
        <w:pStyle w:val="Normal"/>
        <w:jc w:val="left"/>
        <w:rPr>
          <w:rFonts w:ascii="Times New Roman" w:hAnsi="Times New Roman"/>
        </w:rPr>
      </w:pPr>
      <w:r>
        <w:rPr>
          <w:rFonts w:ascii="Times New Roman" w:hAnsi="Times New Roman"/>
          <w:sz w:val="21"/>
        </w:rPr>
        <w:t>Β: Πληροφορίες σχετικά με τους εκπροσώπους του οικονομικού φορέα #1</w:t>
      </w:r>
    </w:p>
    <w:p>
      <w:pPr>
        <w:pStyle w:val="Normal"/>
        <w:jc w:val="left"/>
        <w:rPr>
          <w:rFonts w:ascii="Times New Roman" w:hAnsi="Times New Roman"/>
        </w:rPr>
      </w:pPr>
      <w:r>
        <w:rPr>
          <w:rFonts w:ascii="Times New Roman" w:hAnsi="Times New Roman"/>
          <w:sz w:val="21"/>
        </w:rPr>
        <w:t>Όνομα:</w:t>
      </w:r>
    </w:p>
    <w:p>
      <w:pPr>
        <w:pStyle w:val="Normal"/>
        <w:jc w:val="left"/>
        <w:rPr>
          <w:rFonts w:ascii="Times New Roman" w:hAnsi="Times New Roman"/>
        </w:rPr>
      </w:pPr>
      <w:r>
        <w:rPr>
          <w:rFonts w:ascii="Times New Roman" w:hAnsi="Times New Roman"/>
          <w:sz w:val="21"/>
        </w:rPr>
        <w:t>Επώνυμο:</w:t>
      </w:r>
    </w:p>
    <w:p>
      <w:pPr>
        <w:pStyle w:val="Normal"/>
        <w:jc w:val="left"/>
        <w:rPr>
          <w:rFonts w:ascii="Times New Roman" w:hAnsi="Times New Roman"/>
        </w:rPr>
      </w:pPr>
      <w:r>
        <w:rPr>
          <w:rFonts w:ascii="Times New Roman" w:hAnsi="Times New Roman"/>
          <w:sz w:val="21"/>
        </w:rPr>
        <w:t>Ημερομηνία γέννησης:</w:t>
      </w:r>
    </w:p>
    <w:p>
      <w:pPr>
        <w:pStyle w:val="Normal"/>
        <w:jc w:val="left"/>
        <w:rPr>
          <w:rFonts w:ascii="Times New Roman" w:hAnsi="Times New Roman"/>
        </w:rPr>
      </w:pPr>
      <w:r>
        <w:rPr>
          <w:rFonts w:ascii="Times New Roman" w:hAnsi="Times New Roman"/>
          <w:sz w:val="21"/>
        </w:rPr>
        <w:t>Τόπος γέννησης:</w:t>
      </w:r>
    </w:p>
    <w:p>
      <w:pPr>
        <w:pStyle w:val="Normal"/>
        <w:jc w:val="left"/>
        <w:rPr>
          <w:rFonts w:ascii="Times New Roman" w:hAnsi="Times New Roman"/>
        </w:rPr>
      </w:pPr>
      <w:r>
        <w:rPr>
          <w:rFonts w:ascii="Times New Roman" w:hAnsi="Times New Roman"/>
          <w:sz w:val="21"/>
        </w:rPr>
        <w:t>Οδός και αριθμός:</w:t>
      </w:r>
    </w:p>
    <w:p>
      <w:pPr>
        <w:pStyle w:val="Normal"/>
        <w:jc w:val="left"/>
        <w:rPr>
          <w:rFonts w:ascii="Times New Roman" w:hAnsi="Times New Roman"/>
        </w:rPr>
      </w:pPr>
      <w:r>
        <w:rPr>
          <w:rFonts w:ascii="Times New Roman" w:hAnsi="Times New Roman"/>
          <w:sz w:val="21"/>
        </w:rPr>
        <w:t>Ταχ. κωδ.:</w:t>
      </w:r>
    </w:p>
    <w:p>
      <w:pPr>
        <w:pStyle w:val="Normal"/>
        <w:jc w:val="left"/>
        <w:rPr>
          <w:rFonts w:ascii="Times New Roman" w:hAnsi="Times New Roman"/>
        </w:rPr>
      </w:pPr>
      <w:r>
        <w:rPr>
          <w:rFonts w:ascii="Times New Roman" w:hAnsi="Times New Roman"/>
          <w:sz w:val="21"/>
        </w:rPr>
        <w:t>Πόλη:</w:t>
      </w:r>
    </w:p>
    <w:p>
      <w:pPr>
        <w:pStyle w:val="Normal"/>
        <w:jc w:val="left"/>
        <w:rPr>
          <w:rFonts w:ascii="Times New Roman" w:hAnsi="Times New Roman"/>
        </w:rPr>
      </w:pPr>
      <w:r>
        <w:rPr>
          <w:rFonts w:ascii="Times New Roman" w:hAnsi="Times New Roman"/>
          <w:sz w:val="21"/>
        </w:rPr>
        <w:t>Χώρα:</w:t>
      </w:r>
    </w:p>
    <w:p>
      <w:pPr>
        <w:pStyle w:val="Normal"/>
        <w:jc w:val="left"/>
        <w:rPr>
          <w:rFonts w:ascii="Times New Roman" w:hAnsi="Times New Roman"/>
        </w:rPr>
      </w:pPr>
      <w:r>
        <w:rPr>
          <w:rFonts w:ascii="Times New Roman" w:hAnsi="Times New Roman"/>
          <w:sz w:val="21"/>
        </w:rPr>
        <w:t>Τηλέφωνο:</w:t>
      </w:r>
    </w:p>
    <w:p>
      <w:pPr>
        <w:pStyle w:val="Normal"/>
        <w:jc w:val="left"/>
        <w:rPr>
          <w:rFonts w:ascii="Times New Roman" w:hAnsi="Times New Roman"/>
        </w:rPr>
      </w:pPr>
      <w:r>
        <w:rPr>
          <w:rFonts w:ascii="Times New Roman" w:hAnsi="Times New Roman"/>
          <w:sz w:val="21"/>
        </w:rPr>
        <w:t>Ηλ. ταχ/μείο:</w:t>
      </w:r>
    </w:p>
    <w:p>
      <w:pPr>
        <w:pStyle w:val="Normal"/>
        <w:jc w:val="left"/>
        <w:rPr>
          <w:rFonts w:ascii="Times New Roman" w:hAnsi="Times New Roman"/>
        </w:rPr>
      </w:pPr>
      <w:r>
        <w:rPr>
          <w:rFonts w:ascii="Times New Roman" w:hAnsi="Times New Roman"/>
          <w:sz w:val="21"/>
        </w:rPr>
        <w:t>Θέση/Ενεργών υπό την ιδιότητα:</w:t>
      </w:r>
    </w:p>
    <w:p>
      <w:pPr>
        <w:pStyle w:val="Normal"/>
        <w:jc w:val="left"/>
        <w:rPr>
          <w:rFonts w:ascii="Times New Roman" w:hAnsi="Times New Roman"/>
        </w:rPr>
      </w:pPr>
      <w:r>
        <w:rPr>
          <w:rFonts w:ascii="Times New Roman" w:hAnsi="Times New Roman"/>
          <w:sz w:val="21"/>
        </w:rPr>
        <w:t>Γ: Πληροφορίες σχετικά με τη στήριξη στις ικανότητες άλλων οντοτήτων</w:t>
      </w:r>
    </w:p>
    <w:p>
      <w:pPr>
        <w:pStyle w:val="Normal"/>
        <w:jc w:val="left"/>
        <w:rPr>
          <w:rFonts w:ascii="Times New Roman" w:hAnsi="Times New Roman"/>
        </w:rPr>
      </w:pPr>
      <w:r>
        <w:rPr>
          <w:rFonts w:ascii="Times New Roman" w:hAnsi="Times New Roman"/>
          <w:sz w:val="21"/>
        </w:rPr>
        <w:t>Βασίζεται σε ικανότητες άλλων οντοτήτων</w:t>
      </w:r>
    </w:p>
    <w:p>
      <w:pPr>
        <w:pStyle w:val="Normal"/>
        <w:jc w:val="left"/>
        <w:rPr>
          <w:rFonts w:ascii="Times New Roman" w:hAnsi="Times New Roman"/>
        </w:rPr>
      </w:pPr>
      <w:r>
        <w:rPr>
          <w:rFonts w:ascii="Times New Roman" w:hAnsi="Times New Roman"/>
          <w:sz w:val="21"/>
        </w:rPr>
        <w:t>Ο οικονομικός φορέας στηρίζεται στις ικανότητες άλλων οντοτήτων προκειμένου να</w:t>
      </w:r>
    </w:p>
    <w:p>
      <w:pPr>
        <w:pStyle w:val="Normal"/>
        <w:jc w:val="left"/>
        <w:rPr>
          <w:rFonts w:ascii="Times New Roman" w:hAnsi="Times New Roman"/>
        </w:rPr>
      </w:pPr>
      <w:r>
        <w:rPr>
          <w:rFonts w:ascii="Times New Roman" w:hAnsi="Times New Roman"/>
          <w:sz w:val="21"/>
        </w:rPr>
        <w:t>ανταποκριθεί στα κριτήρια επιλογής που καθορίζονται στο μέρος IV και στα (τυχόν)</w:t>
      </w:r>
    </w:p>
    <w:p>
      <w:pPr>
        <w:pStyle w:val="Normal"/>
        <w:jc w:val="left"/>
        <w:rPr>
          <w:rFonts w:ascii="Times New Roman" w:hAnsi="Times New Roman"/>
        </w:rPr>
      </w:pPr>
      <w:r>
        <w:rPr>
          <w:rFonts w:ascii="Times New Roman" w:hAnsi="Times New Roman"/>
          <w:sz w:val="21"/>
        </w:rPr>
        <w:t>κριτήρια και κανόνες που καθορίζονται στο μέρος V κατωτέρω;</w:t>
      </w:r>
    </w:p>
    <w:p>
      <w:pPr>
        <w:pStyle w:val="Normal"/>
        <w:jc w:val="left"/>
        <w:rPr>
          <w:rFonts w:ascii="Times New Roman" w:hAnsi="Times New Roman"/>
        </w:rPr>
      </w:pPr>
      <w:r>
        <w:rPr>
          <w:rFonts w:ascii="Times New Roman" w:hAnsi="Times New Roman"/>
          <w:sz w:val="21"/>
        </w:rPr>
        <w:t>Απάντηση:</w:t>
      </w:r>
    </w:p>
    <w:p>
      <w:pPr>
        <w:pStyle w:val="Normal"/>
        <w:jc w:val="left"/>
        <w:rPr>
          <w:rFonts w:ascii="Times New Roman" w:hAnsi="Times New Roman"/>
        </w:rPr>
      </w:pPr>
      <w:r>
        <w:rPr>
          <w:rFonts w:ascii="Times New Roman" w:hAnsi="Times New Roman"/>
          <w:sz w:val="21"/>
        </w:rPr>
        <w:t>Ναι / Όχι</w:t>
      </w:r>
    </w:p>
    <w:p>
      <w:pPr>
        <w:pStyle w:val="Normal"/>
        <w:jc w:val="left"/>
        <w:rPr>
          <w:rFonts w:ascii="Times New Roman" w:hAnsi="Times New Roman"/>
        </w:rPr>
      </w:pPr>
      <w:r>
        <w:rPr>
          <w:rFonts w:ascii="Times New Roman" w:hAnsi="Times New Roman"/>
          <w:sz w:val="21"/>
        </w:rPr>
        <w:t>Όνομα της οντότητας</w:t>
      </w:r>
    </w:p>
    <w:p>
      <w:pPr>
        <w:pStyle w:val="Normal"/>
        <w:jc w:val="left"/>
        <w:rPr>
          <w:rFonts w:ascii="Times New Roman" w:hAnsi="Times New Roman"/>
        </w:rPr>
      </w:pPr>
      <w:r>
        <w:rPr>
          <w:rFonts w:ascii="Times New Roman" w:hAnsi="Times New Roman"/>
          <w:sz w:val="21"/>
        </w:rPr>
        <w:t>-</w:t>
      </w:r>
    </w:p>
    <w:p>
      <w:pPr>
        <w:pStyle w:val="Normal"/>
        <w:jc w:val="left"/>
        <w:rPr>
          <w:rFonts w:ascii="Times New Roman" w:hAnsi="Times New Roman"/>
        </w:rPr>
      </w:pPr>
      <w:r>
        <w:rPr>
          <w:rFonts w:ascii="Times New Roman" w:hAnsi="Times New Roman"/>
          <w:sz w:val="21"/>
        </w:rPr>
        <w:t>Ταυτότητα της οντότητας</w:t>
      </w:r>
    </w:p>
    <w:p>
      <w:pPr>
        <w:pStyle w:val="Normal"/>
        <w:jc w:val="left"/>
        <w:rPr>
          <w:rFonts w:ascii="Times New Roman" w:hAnsi="Times New Roman"/>
        </w:rPr>
      </w:pPr>
      <w:r>
        <w:rPr>
          <w:rFonts w:ascii="Times New Roman" w:hAnsi="Times New Roman"/>
          <w:sz w:val="21"/>
        </w:rPr>
        <w:t>-</w:t>
      </w:r>
    </w:p>
    <w:p>
      <w:pPr>
        <w:pStyle w:val="Normal"/>
        <w:jc w:val="left"/>
        <w:rPr>
          <w:rFonts w:ascii="Times New Roman" w:hAnsi="Times New Roman"/>
        </w:rPr>
      </w:pPr>
      <w:r>
        <w:rPr>
          <w:rFonts w:ascii="Times New Roman" w:hAnsi="Times New Roman"/>
          <w:sz w:val="21"/>
        </w:rPr>
        <w:t>Τύπος ταυτότητας</w:t>
      </w:r>
    </w:p>
    <w:p>
      <w:pPr>
        <w:pStyle w:val="Normal"/>
        <w:jc w:val="left"/>
        <w:rPr>
          <w:rFonts w:ascii="Times New Roman" w:hAnsi="Times New Roman"/>
        </w:rPr>
      </w:pPr>
      <w:r>
        <w:rPr>
          <w:rFonts w:ascii="Times New Roman" w:hAnsi="Times New Roman"/>
          <w:sz w:val="21"/>
        </w:rPr>
        <w:t>-</w:t>
      </w:r>
    </w:p>
    <w:p>
      <w:pPr>
        <w:pStyle w:val="Normal"/>
        <w:jc w:val="left"/>
        <w:rPr>
          <w:rFonts w:ascii="Times New Roman" w:hAnsi="Times New Roman"/>
        </w:rPr>
      </w:pPr>
      <w:r>
        <w:rPr>
          <w:rFonts w:ascii="Times New Roman" w:hAnsi="Times New Roman"/>
          <w:sz w:val="21"/>
        </w:rPr>
        <w:t>Κωδικοί CPV</w:t>
      </w:r>
    </w:p>
    <w:p>
      <w:pPr>
        <w:pStyle w:val="Normal"/>
        <w:jc w:val="left"/>
        <w:rPr>
          <w:rFonts w:ascii="Times New Roman" w:hAnsi="Times New Roman"/>
        </w:rPr>
      </w:pPr>
      <w:r>
        <w:rPr>
          <w:rFonts w:ascii="Times New Roman" w:hAnsi="Times New Roman"/>
          <w:sz w:val="21"/>
        </w:rPr>
        <w:t>-</w:t>
      </w:r>
    </w:p>
    <w:p>
      <w:pPr>
        <w:pStyle w:val="Normal"/>
        <w:jc w:val="left"/>
        <w:rPr>
          <w:rFonts w:ascii="Times New Roman" w:hAnsi="Times New Roman"/>
        </w:rPr>
      </w:pPr>
      <w:r>
        <w:rPr>
          <w:rFonts w:ascii="Times New Roman" w:hAnsi="Times New Roman"/>
          <w:sz w:val="21"/>
        </w:rPr>
        <w:t>Εάν η σχετική τεκμηρίωση διατίθεται ηλεκτρονικά, αναφέρετε:</w:t>
      </w:r>
    </w:p>
    <w:p>
      <w:pPr>
        <w:pStyle w:val="Normal"/>
        <w:jc w:val="left"/>
        <w:rPr>
          <w:rFonts w:ascii="Times New Roman" w:hAnsi="Times New Roman"/>
        </w:rPr>
      </w:pPr>
      <w:r>
        <w:rPr>
          <w:rFonts w:ascii="Times New Roman" w:hAnsi="Times New Roman"/>
          <w:sz w:val="21"/>
        </w:rPr>
        <w:t>Ναι / Όχι</w:t>
      </w:r>
    </w:p>
    <w:p>
      <w:pPr>
        <w:pStyle w:val="Normal"/>
        <w:jc w:val="left"/>
        <w:rPr>
          <w:rFonts w:ascii="Times New Roman" w:hAnsi="Times New Roman"/>
        </w:rPr>
      </w:pPr>
      <w:r>
        <w:rPr>
          <w:rFonts w:ascii="Times New Roman" w:hAnsi="Times New Roman"/>
          <w:sz w:val="21"/>
        </w:rPr>
        <w:t>Διαδικτυακή Διεύθυνση</w:t>
      </w:r>
    </w:p>
    <w:p>
      <w:pPr>
        <w:pStyle w:val="Normal"/>
        <w:jc w:val="left"/>
        <w:rPr>
          <w:rFonts w:ascii="Times New Roman" w:hAnsi="Times New Roman"/>
        </w:rPr>
      </w:pPr>
      <w:r>
        <w:rPr>
          <w:rFonts w:ascii="Times New Roman" w:hAnsi="Times New Roman"/>
          <w:sz w:val="21"/>
        </w:rPr>
        <w:t>-</w:t>
      </w:r>
    </w:p>
    <w:p>
      <w:pPr>
        <w:pStyle w:val="Normal"/>
        <w:jc w:val="left"/>
        <w:rPr>
          <w:rFonts w:ascii="Times New Roman" w:hAnsi="Times New Roman"/>
        </w:rPr>
      </w:pPr>
      <w:r>
        <w:rPr>
          <w:rFonts w:ascii="Times New Roman" w:hAnsi="Times New Roman"/>
          <w:sz w:val="21"/>
        </w:rPr>
        <w:t>Επακριβή στοιχεία αναφοράς των εγγράφων</w:t>
      </w:r>
    </w:p>
    <w:p>
      <w:pPr>
        <w:pStyle w:val="Normal"/>
        <w:jc w:val="left"/>
        <w:rPr>
          <w:rFonts w:ascii="Times New Roman" w:hAnsi="Times New Roman"/>
        </w:rPr>
      </w:pPr>
      <w:r>
        <w:rPr>
          <w:rFonts w:ascii="Times New Roman" w:hAnsi="Times New Roman"/>
          <w:sz w:val="21"/>
        </w:rPr>
        <w:t>-</w:t>
      </w:r>
    </w:p>
    <w:p>
      <w:pPr>
        <w:pStyle w:val="Normal"/>
        <w:jc w:val="left"/>
        <w:rPr>
          <w:rFonts w:ascii="Times New Roman" w:hAnsi="Times New Roman"/>
        </w:rPr>
      </w:pPr>
      <w:r>
        <w:rPr>
          <w:rFonts w:ascii="Times New Roman" w:hAnsi="Times New Roman"/>
          <w:sz w:val="21"/>
        </w:rPr>
        <w:t>Αρχή ή Φορέας έκδοσης</w:t>
      </w:r>
    </w:p>
    <w:p>
      <w:pPr>
        <w:pStyle w:val="Normal"/>
        <w:jc w:val="left"/>
        <w:rPr>
          <w:rFonts w:ascii="Times New Roman" w:hAnsi="Times New Roman"/>
        </w:rPr>
      </w:pPr>
      <w:r>
        <w:rPr>
          <w:rFonts w:ascii="Times New Roman" w:hAnsi="Times New Roman"/>
          <w:sz w:val="21"/>
        </w:rPr>
        <w:t>-</w:t>
      </w:r>
    </w:p>
    <w:p>
      <w:pPr>
        <w:pStyle w:val="Normal"/>
        <w:jc w:val="left"/>
        <w:rPr>
          <w:rFonts w:ascii="Times New Roman" w:hAnsi="Times New Roman"/>
        </w:rPr>
      </w:pPr>
      <w:r>
        <w:rPr>
          <w:rFonts w:ascii="Times New Roman" w:hAnsi="Times New Roman"/>
          <w:sz w:val="21"/>
        </w:rPr>
        <w:t>Δ: Πληροφορίες σχετικά με υπεργολάβους στην ικανότητα των οποίων δεν στηρίζεται ο οικονομικός φορέας</w:t>
      </w:r>
    </w:p>
    <w:p>
      <w:pPr>
        <w:pStyle w:val="Normal"/>
        <w:jc w:val="left"/>
        <w:rPr>
          <w:rFonts w:ascii="Times New Roman" w:hAnsi="Times New Roman"/>
        </w:rPr>
      </w:pPr>
      <w:r>
        <w:rPr>
          <w:rFonts w:ascii="Times New Roman" w:hAnsi="Times New Roman"/>
          <w:sz w:val="21"/>
        </w:rPr>
        <w:t>Δεν βασίζεται σε ικανότητες άλλων οντοτήτων</w:t>
      </w:r>
    </w:p>
    <w:p>
      <w:pPr>
        <w:pStyle w:val="Normal"/>
        <w:jc w:val="left"/>
        <w:rPr>
          <w:rFonts w:ascii="Times New Roman" w:hAnsi="Times New Roman"/>
        </w:rPr>
      </w:pPr>
      <w:r>
        <w:rPr>
          <w:rFonts w:ascii="Times New Roman" w:hAnsi="Times New Roman"/>
          <w:sz w:val="21"/>
        </w:rPr>
        <w:t>Ο οικονομικός φορέας προτίθεται να αναθέσει οποιοδήποτε τμήμα της σύμβασης σε</w:t>
      </w:r>
    </w:p>
    <w:p>
      <w:pPr>
        <w:pStyle w:val="Normal"/>
        <w:jc w:val="left"/>
        <w:rPr>
          <w:rFonts w:ascii="Times New Roman" w:hAnsi="Times New Roman"/>
        </w:rPr>
      </w:pPr>
      <w:r>
        <w:rPr>
          <w:rFonts w:ascii="Times New Roman" w:hAnsi="Times New Roman"/>
          <w:sz w:val="21"/>
        </w:rPr>
        <w:t>τρίτους υπό μορφή υπεργολαβίας;</w:t>
      </w:r>
    </w:p>
    <w:p>
      <w:pPr>
        <w:pStyle w:val="Normal"/>
        <w:jc w:val="left"/>
        <w:rPr>
          <w:rFonts w:ascii="Times New Roman" w:hAnsi="Times New Roman"/>
        </w:rPr>
      </w:pPr>
      <w:r>
        <w:rPr>
          <w:rFonts w:ascii="Times New Roman" w:hAnsi="Times New Roman"/>
          <w:sz w:val="21"/>
        </w:rPr>
        <w:t>Απάντηση:</w:t>
      </w:r>
    </w:p>
    <w:p>
      <w:pPr>
        <w:pStyle w:val="Normal"/>
        <w:jc w:val="left"/>
        <w:rPr>
          <w:rFonts w:ascii="Times New Roman" w:hAnsi="Times New Roman"/>
        </w:rPr>
      </w:pPr>
      <w:r>
        <w:rPr>
          <w:rFonts w:ascii="Times New Roman" w:hAnsi="Times New Roman"/>
          <w:sz w:val="21"/>
        </w:rPr>
        <w:t>Ναι / Όχι</w:t>
      </w:r>
    </w:p>
    <w:p>
      <w:pPr>
        <w:pStyle w:val="Normal"/>
        <w:jc w:val="left"/>
        <w:rPr>
          <w:rFonts w:ascii="Times New Roman" w:hAnsi="Times New Roman"/>
        </w:rPr>
      </w:pPr>
      <w:r>
        <w:rPr>
          <w:rFonts w:ascii="Times New Roman" w:hAnsi="Times New Roman"/>
          <w:sz w:val="21"/>
        </w:rPr>
        <w:t>Όνομα της οντότητας</w:t>
      </w:r>
    </w:p>
    <w:p>
      <w:pPr>
        <w:pStyle w:val="Normal"/>
        <w:jc w:val="left"/>
        <w:rPr>
          <w:rFonts w:ascii="Times New Roman" w:hAnsi="Times New Roman"/>
        </w:rPr>
      </w:pPr>
      <w:r>
        <w:rPr>
          <w:rFonts w:ascii="Times New Roman" w:hAnsi="Times New Roman"/>
          <w:sz w:val="21"/>
        </w:rPr>
        <w:t>-</w:t>
      </w:r>
    </w:p>
    <w:p>
      <w:pPr>
        <w:pStyle w:val="Normal"/>
        <w:jc w:val="left"/>
        <w:rPr>
          <w:rFonts w:ascii="Times New Roman" w:hAnsi="Times New Roman"/>
        </w:rPr>
      </w:pPr>
      <w:r>
        <w:rPr>
          <w:rFonts w:ascii="Times New Roman" w:hAnsi="Times New Roman"/>
          <w:sz w:val="21"/>
        </w:rPr>
        <w:t>Ταυτότητα της οντότητας</w:t>
      </w:r>
    </w:p>
    <w:p>
      <w:pPr>
        <w:pStyle w:val="Normal"/>
        <w:jc w:val="left"/>
        <w:rPr>
          <w:rFonts w:ascii="Times New Roman" w:hAnsi="Times New Roman"/>
        </w:rPr>
      </w:pPr>
      <w:r>
        <w:rPr>
          <w:rFonts w:ascii="Times New Roman" w:hAnsi="Times New Roman"/>
          <w:sz w:val="21"/>
        </w:rPr>
        <w:t>-</w:t>
      </w:r>
    </w:p>
    <w:p>
      <w:pPr>
        <w:pStyle w:val="Normal"/>
        <w:jc w:val="left"/>
        <w:rPr>
          <w:rFonts w:ascii="Times New Roman" w:hAnsi="Times New Roman"/>
        </w:rPr>
      </w:pPr>
      <w:r>
        <w:rPr>
          <w:rFonts w:ascii="Times New Roman" w:hAnsi="Times New Roman"/>
          <w:sz w:val="21"/>
        </w:rPr>
        <w:t>Τύπος ταυτότητας</w:t>
      </w:r>
    </w:p>
    <w:p>
      <w:pPr>
        <w:pStyle w:val="Normal"/>
        <w:jc w:val="left"/>
        <w:rPr>
          <w:rFonts w:ascii="Times New Roman" w:hAnsi="Times New Roman"/>
        </w:rPr>
      </w:pPr>
      <w:r>
        <w:rPr>
          <w:rFonts w:ascii="Times New Roman" w:hAnsi="Times New Roman"/>
          <w:sz w:val="21"/>
        </w:rPr>
        <w:t>-</w:t>
      </w:r>
    </w:p>
    <w:p>
      <w:pPr>
        <w:pStyle w:val="Normal"/>
        <w:jc w:val="left"/>
        <w:rPr>
          <w:rFonts w:ascii="Times New Roman" w:hAnsi="Times New Roman"/>
        </w:rPr>
      </w:pPr>
      <w:r>
        <w:rPr>
          <w:rFonts w:ascii="Times New Roman" w:hAnsi="Times New Roman"/>
          <w:sz w:val="21"/>
        </w:rPr>
        <w:t>Κωδικοί CPV</w:t>
      </w:r>
    </w:p>
    <w:p>
      <w:pPr>
        <w:pStyle w:val="Normal"/>
        <w:jc w:val="left"/>
        <w:rPr>
          <w:rFonts w:ascii="Times New Roman" w:hAnsi="Times New Roman"/>
        </w:rPr>
      </w:pPr>
      <w:r>
        <w:rPr>
          <w:rFonts w:ascii="Times New Roman" w:hAnsi="Times New Roman"/>
          <w:sz w:val="21"/>
        </w:rPr>
        <w:t>-</w:t>
      </w:r>
    </w:p>
    <w:p>
      <w:pPr>
        <w:pStyle w:val="Normal"/>
        <w:jc w:val="left"/>
        <w:rPr>
          <w:rFonts w:ascii="Times New Roman" w:hAnsi="Times New Roman"/>
        </w:rPr>
      </w:pPr>
      <w:r>
        <w:rPr>
          <w:rFonts w:ascii="Times New Roman" w:hAnsi="Times New Roman"/>
          <w:sz w:val="21"/>
        </w:rPr>
        <w:t>Εάν η σχετική τεκμηρίωση διατίθεται ηλεκτρονικά, αναφέρετε:</w:t>
      </w:r>
    </w:p>
    <w:p>
      <w:pPr>
        <w:pStyle w:val="Normal"/>
        <w:jc w:val="left"/>
        <w:rPr>
          <w:rFonts w:ascii="Times New Roman" w:hAnsi="Times New Roman"/>
        </w:rPr>
      </w:pPr>
      <w:r>
        <w:rPr>
          <w:rFonts w:ascii="Times New Roman" w:hAnsi="Times New Roman"/>
          <w:sz w:val="21"/>
        </w:rPr>
        <w:t>Ναι / Όχι</w:t>
      </w:r>
    </w:p>
    <w:p>
      <w:pPr>
        <w:pStyle w:val="Normal"/>
        <w:jc w:val="left"/>
        <w:rPr>
          <w:rFonts w:ascii="Times New Roman" w:hAnsi="Times New Roman"/>
        </w:rPr>
      </w:pPr>
      <w:r>
        <w:rPr>
          <w:rFonts w:ascii="Times New Roman" w:hAnsi="Times New Roman"/>
          <w:sz w:val="21"/>
        </w:rPr>
        <w:t>Διαδικτυακή Διεύθυνση</w:t>
      </w:r>
    </w:p>
    <w:p>
      <w:pPr>
        <w:pStyle w:val="Normal"/>
        <w:jc w:val="left"/>
        <w:rPr>
          <w:rFonts w:ascii="Times New Roman" w:hAnsi="Times New Roman"/>
        </w:rPr>
      </w:pPr>
      <w:r>
        <w:rPr>
          <w:rFonts w:ascii="Times New Roman" w:hAnsi="Times New Roman"/>
          <w:sz w:val="21"/>
        </w:rPr>
        <w:t>-</w:t>
      </w:r>
    </w:p>
    <w:p>
      <w:pPr>
        <w:pStyle w:val="Normal"/>
        <w:jc w:val="left"/>
        <w:rPr>
          <w:rFonts w:ascii="Times New Roman" w:hAnsi="Times New Roman"/>
        </w:rPr>
      </w:pPr>
      <w:r>
        <w:rPr>
          <w:rFonts w:ascii="Times New Roman" w:hAnsi="Times New Roman"/>
          <w:sz w:val="21"/>
        </w:rPr>
        <w:t>Επακριβή στοιχεία αναφοράς των εγγράφων</w:t>
      </w:r>
    </w:p>
    <w:p>
      <w:pPr>
        <w:pStyle w:val="Normal"/>
        <w:jc w:val="left"/>
        <w:rPr>
          <w:rFonts w:ascii="Times New Roman" w:hAnsi="Times New Roman"/>
        </w:rPr>
      </w:pPr>
      <w:r>
        <w:rPr>
          <w:rFonts w:ascii="Times New Roman" w:hAnsi="Times New Roman"/>
          <w:sz w:val="21"/>
        </w:rPr>
        <w:t>-</w:t>
      </w:r>
    </w:p>
    <w:p>
      <w:pPr>
        <w:pStyle w:val="Normal"/>
        <w:jc w:val="left"/>
        <w:rPr>
          <w:rFonts w:ascii="Times New Roman" w:hAnsi="Times New Roman"/>
        </w:rPr>
      </w:pPr>
      <w:r>
        <w:rPr>
          <w:rFonts w:ascii="Times New Roman" w:hAnsi="Times New Roman"/>
          <w:sz w:val="21"/>
        </w:rPr>
        <w:t>Αρχή ή Φορέας έκδοσης</w:t>
      </w:r>
    </w:p>
    <w:p>
      <w:pPr>
        <w:pStyle w:val="Normal"/>
        <w:jc w:val="left"/>
        <w:rPr>
          <w:rFonts w:ascii="Times New Roman" w:hAnsi="Times New Roman"/>
        </w:rPr>
      </w:pPr>
      <w:r>
        <w:rPr>
          <w:rFonts w:ascii="Times New Roman" w:hAnsi="Times New Roman"/>
          <w:sz w:val="21"/>
        </w:rPr>
        <w:t>-</w:t>
      </w:r>
    </w:p>
    <w:p>
      <w:pPr>
        <w:pStyle w:val="Normal"/>
        <w:jc w:val="left"/>
        <w:rPr>
          <w:rFonts w:ascii="Times New Roman" w:hAnsi="Times New Roman"/>
        </w:rPr>
      </w:pPr>
      <w:r>
        <w:rPr>
          <w:rFonts w:ascii="Times New Roman" w:hAnsi="Times New Roman"/>
          <w:sz w:val="25"/>
        </w:rPr>
        <w:t>Μέρος ΙΙΙ: Λόγοι αποκλεισμού</w:t>
      </w:r>
    </w:p>
    <w:p>
      <w:pPr>
        <w:pStyle w:val="Normal"/>
        <w:jc w:val="left"/>
        <w:rPr>
          <w:rFonts w:ascii="Times New Roman" w:hAnsi="Times New Roman"/>
        </w:rPr>
      </w:pPr>
      <w:r>
        <w:rPr>
          <w:rFonts w:ascii="Times New Roman" w:hAnsi="Times New Roman"/>
          <w:sz w:val="21"/>
        </w:rPr>
        <w:t>Α: Λόγοι που σχετίζονται με ποινικές καταδίκες</w:t>
      </w:r>
    </w:p>
    <w:p>
      <w:pPr>
        <w:pStyle w:val="Normal"/>
        <w:jc w:val="left"/>
        <w:rPr>
          <w:rFonts w:ascii="Times New Roman" w:hAnsi="Times New Roman"/>
        </w:rPr>
      </w:pPr>
      <w:r>
        <w:rPr>
          <w:rFonts w:ascii="Times New Roman" w:hAnsi="Times New Roman"/>
          <w:sz w:val="21"/>
        </w:rPr>
        <w:t>Λόγοι που σχετίζονται με ποινικές καταδίκες βάσει των εθνικών διατάξεων για την</w:t>
      </w:r>
    </w:p>
    <w:p>
      <w:pPr>
        <w:pStyle w:val="Normal"/>
        <w:jc w:val="left"/>
        <w:rPr>
          <w:rFonts w:ascii="Times New Roman" w:hAnsi="Times New Roman"/>
        </w:rPr>
      </w:pPr>
      <w:r>
        <w:rPr>
          <w:rFonts w:ascii="Times New Roman" w:hAnsi="Times New Roman"/>
          <w:sz w:val="21"/>
        </w:rPr>
        <w:t>εφαρμογή των λόγων που ορίζονται στο άρθρο 57 παράγραφος 1 της οδηγίας:</w:t>
      </w:r>
    </w:p>
    <w:p>
      <w:pPr>
        <w:pStyle w:val="Normal"/>
        <w:jc w:val="left"/>
        <w:rPr>
          <w:rFonts w:ascii="Times New Roman" w:hAnsi="Times New Roman"/>
        </w:rPr>
      </w:pPr>
      <w:r>
        <w:rPr>
          <w:rFonts w:ascii="Times New Roman" w:hAnsi="Times New Roman"/>
          <w:sz w:val="21"/>
        </w:rPr>
        <w:t>Συμμετοχή σε εγκληματική οργάνωση</w:t>
      </w:r>
    </w:p>
    <w:p>
      <w:pPr>
        <w:pStyle w:val="Normal"/>
        <w:jc w:val="left"/>
        <w:rPr>
          <w:rFonts w:ascii="Times New Roman" w:hAnsi="Times New Roman"/>
        </w:rPr>
      </w:pPr>
      <w:r>
        <w:rPr>
          <w:rFonts w:ascii="Times New Roman" w:hAnsi="Times New Roman"/>
          <w:sz w:val="21"/>
        </w:rPr>
        <w:t>Έχει ο ίδιος ο οικονομικός φορέας ή οποιοδήποτε πρόσωπο το οποίο είναι μέλος του</w:t>
      </w:r>
    </w:p>
    <w:p>
      <w:pPr>
        <w:pStyle w:val="Normal"/>
        <w:jc w:val="left"/>
        <w:rPr>
          <w:rFonts w:ascii="Times New Roman" w:hAnsi="Times New Roman"/>
        </w:rPr>
      </w:pPr>
      <w:r>
        <w:rPr>
          <w:rFonts w:ascii="Times New Roman" w:hAnsi="Times New Roman"/>
          <w:sz w:val="21"/>
        </w:rPr>
        <w:t>διοικητικού, διευθυντικού ή εποπτικού του οργάνου ή έχει εξουσία εκπροσώπησης,</w:t>
      </w:r>
    </w:p>
    <w:p>
      <w:pPr>
        <w:pStyle w:val="Normal"/>
        <w:jc w:val="left"/>
        <w:rPr>
          <w:rFonts w:ascii="Times New Roman" w:hAnsi="Times New Roman"/>
        </w:rPr>
      </w:pPr>
      <w:r>
        <w:rPr>
          <w:rFonts w:ascii="Times New Roman" w:hAnsi="Times New Roman"/>
          <w:sz w:val="21"/>
        </w:rPr>
        <w:t>λήψης αποφάσεων ή ελέγχου σε αυτό καταδικαστεί με τελεσίδικη απόφαση για έναν</w:t>
      </w:r>
    </w:p>
    <w:p>
      <w:pPr>
        <w:pStyle w:val="Normal"/>
        <w:jc w:val="left"/>
        <w:rPr>
          <w:rFonts w:ascii="Times New Roman" w:hAnsi="Times New Roman"/>
        </w:rPr>
      </w:pPr>
      <w:r>
        <w:rPr>
          <w:rFonts w:ascii="Times New Roman" w:hAnsi="Times New Roman"/>
          <w:sz w:val="21"/>
        </w:rPr>
        <w:t>από τους λόγους που παρατίθενται στο σχετικό θεσμικό πλαίσιο, η οποία έχει εκδοθεί</w:t>
      </w:r>
    </w:p>
    <w:p>
      <w:pPr>
        <w:pStyle w:val="Normal"/>
        <w:jc w:val="left"/>
        <w:rPr>
          <w:rFonts w:ascii="Times New Roman" w:hAnsi="Times New Roman"/>
        </w:rPr>
      </w:pPr>
      <w:r>
        <w:rPr>
          <w:rFonts w:ascii="Times New Roman" w:hAnsi="Times New Roman"/>
          <w:sz w:val="21"/>
        </w:rPr>
        <w:t>πριν από πέντε έτη κατά το μέγιστο ή στην οποία έχει οριστεί απευθείας περίοδος</w:t>
      </w:r>
    </w:p>
    <w:p>
      <w:pPr>
        <w:pStyle w:val="Normal"/>
        <w:jc w:val="left"/>
        <w:rPr>
          <w:rFonts w:ascii="Times New Roman" w:hAnsi="Times New Roman"/>
        </w:rPr>
      </w:pPr>
      <w:r>
        <w:rPr>
          <w:rFonts w:ascii="Times New Roman" w:hAnsi="Times New Roman"/>
          <w:sz w:val="21"/>
        </w:rPr>
        <w:t>αποκλεισμού που εξακολουθεί να ισχύει;</w:t>
      </w:r>
    </w:p>
    <w:p>
      <w:pPr>
        <w:pStyle w:val="Normal"/>
        <w:jc w:val="left"/>
        <w:rPr>
          <w:rFonts w:ascii="Times New Roman" w:hAnsi="Times New Roman"/>
        </w:rPr>
      </w:pPr>
      <w:r>
        <w:rPr>
          <w:rFonts w:ascii="Times New Roman" w:hAnsi="Times New Roman"/>
          <w:sz w:val="21"/>
        </w:rPr>
        <w:t>Απάντηση:</w:t>
      </w:r>
    </w:p>
    <w:p>
      <w:pPr>
        <w:pStyle w:val="Normal"/>
        <w:jc w:val="left"/>
        <w:rPr>
          <w:rFonts w:ascii="Times New Roman" w:hAnsi="Times New Roman"/>
        </w:rPr>
      </w:pPr>
      <w:r>
        <w:rPr>
          <w:rFonts w:ascii="Times New Roman" w:hAnsi="Times New Roman"/>
          <w:sz w:val="21"/>
        </w:rPr>
        <w:t>Ναι / Όχι</w:t>
      </w:r>
    </w:p>
    <w:p>
      <w:pPr>
        <w:pStyle w:val="Normal"/>
        <w:jc w:val="left"/>
        <w:rPr>
          <w:rFonts w:ascii="Times New Roman" w:hAnsi="Times New Roman"/>
        </w:rPr>
      </w:pPr>
      <w:r>
        <w:rPr>
          <w:rFonts w:ascii="Times New Roman" w:hAnsi="Times New Roman"/>
          <w:sz w:val="21"/>
        </w:rPr>
        <w:t>Ημερομηνία της καταδίκης</w:t>
      </w:r>
    </w:p>
    <w:p>
      <w:pPr>
        <w:pStyle w:val="Normal"/>
        <w:jc w:val="left"/>
        <w:rPr>
          <w:rFonts w:ascii="Times New Roman" w:hAnsi="Times New Roman"/>
        </w:rPr>
      </w:pPr>
      <w:r>
        <w:rPr>
          <w:rFonts w:ascii="Times New Roman" w:hAnsi="Times New Roman"/>
          <w:sz w:val="21"/>
        </w:rPr>
        <w:t>..</w:t>
      </w:r>
    </w:p>
    <w:p>
      <w:pPr>
        <w:pStyle w:val="Normal"/>
        <w:jc w:val="left"/>
        <w:rPr>
          <w:rFonts w:ascii="Times New Roman" w:hAnsi="Times New Roman"/>
        </w:rPr>
      </w:pPr>
      <w:r>
        <w:rPr>
          <w:rFonts w:ascii="Times New Roman" w:hAnsi="Times New Roman"/>
          <w:sz w:val="21"/>
        </w:rPr>
        <w:t>Λόγος(-οι)</w:t>
      </w:r>
    </w:p>
    <w:p>
      <w:pPr>
        <w:pStyle w:val="Normal"/>
        <w:jc w:val="left"/>
        <w:rPr>
          <w:rFonts w:ascii="Times New Roman" w:hAnsi="Times New Roman"/>
        </w:rPr>
      </w:pPr>
      <w:r>
        <w:rPr>
          <w:rFonts w:ascii="Times New Roman" w:hAnsi="Times New Roman"/>
          <w:sz w:val="21"/>
        </w:rPr>
        <w:t>-</w:t>
      </w:r>
    </w:p>
    <w:p>
      <w:pPr>
        <w:pStyle w:val="Normal"/>
        <w:jc w:val="left"/>
        <w:rPr>
          <w:rFonts w:ascii="Times New Roman" w:hAnsi="Times New Roman"/>
        </w:rPr>
      </w:pPr>
      <w:r>
        <w:rPr>
          <w:rFonts w:ascii="Times New Roman" w:hAnsi="Times New Roman"/>
          <w:sz w:val="21"/>
        </w:rPr>
        <w:t>Προσδιορίστε ποιος έχει καταδικαστεί</w:t>
      </w:r>
    </w:p>
    <w:p>
      <w:pPr>
        <w:pStyle w:val="Normal"/>
        <w:jc w:val="left"/>
        <w:rPr>
          <w:rFonts w:ascii="Times New Roman" w:hAnsi="Times New Roman"/>
        </w:rPr>
      </w:pPr>
      <w:r>
        <w:rPr>
          <w:rFonts w:ascii="Times New Roman" w:hAnsi="Times New Roman"/>
          <w:sz w:val="21"/>
        </w:rPr>
        <w:t>-</w:t>
      </w:r>
    </w:p>
    <w:p>
      <w:pPr>
        <w:pStyle w:val="Normal"/>
        <w:jc w:val="left"/>
        <w:rPr>
          <w:rFonts w:ascii="Times New Roman" w:hAnsi="Times New Roman"/>
        </w:rPr>
      </w:pPr>
      <w:r>
        <w:rPr>
          <w:rFonts w:ascii="Times New Roman" w:hAnsi="Times New Roman"/>
          <w:sz w:val="21"/>
        </w:rPr>
        <w:t>Εφόσον καθορίζεται απευθείας στην καταδικαστική απόφαση, διάρκεια</w:t>
      </w:r>
    </w:p>
    <w:p>
      <w:pPr>
        <w:pStyle w:val="Normal"/>
        <w:jc w:val="left"/>
        <w:rPr>
          <w:rFonts w:ascii="Times New Roman" w:hAnsi="Times New Roman"/>
        </w:rPr>
      </w:pPr>
      <w:r>
        <w:rPr>
          <w:rFonts w:ascii="Times New Roman" w:hAnsi="Times New Roman"/>
          <w:sz w:val="21"/>
        </w:rPr>
        <w:t>της περιόδου αποκλεισμού και σχετικό(-ά) σημείο(-α)</w:t>
      </w:r>
    </w:p>
    <w:p>
      <w:pPr>
        <w:pStyle w:val="Normal"/>
        <w:jc w:val="left"/>
        <w:rPr>
          <w:rFonts w:ascii="Times New Roman" w:hAnsi="Times New Roman"/>
        </w:rPr>
      </w:pPr>
      <w:r>
        <w:rPr>
          <w:rFonts w:ascii="Times New Roman" w:hAnsi="Times New Roman"/>
          <w:sz w:val="21"/>
        </w:rPr>
        <w:t>-</w:t>
      </w:r>
    </w:p>
    <w:p>
      <w:pPr>
        <w:pStyle w:val="Normal"/>
        <w:jc w:val="left"/>
        <w:rPr>
          <w:rFonts w:ascii="Times New Roman" w:hAnsi="Times New Roman"/>
        </w:rPr>
      </w:pPr>
      <w:r>
        <w:rPr>
          <w:rFonts w:ascii="Times New Roman" w:hAnsi="Times New Roman"/>
          <w:sz w:val="21"/>
        </w:rPr>
        <w:t>Σε περίπτωση καταδικης, ο οικονομικός φορέας έχει λάβει μέτρα που</w:t>
      </w:r>
    </w:p>
    <w:p>
      <w:pPr>
        <w:pStyle w:val="Normal"/>
        <w:jc w:val="left"/>
        <w:rPr>
          <w:rFonts w:ascii="Times New Roman" w:hAnsi="Times New Roman"/>
        </w:rPr>
      </w:pPr>
      <w:r>
        <w:rPr>
          <w:rFonts w:ascii="Times New Roman" w:hAnsi="Times New Roman"/>
          <w:sz w:val="21"/>
        </w:rPr>
        <w:t>να αποδεικνύουν την αξιοπιστία του παρά την ύπαρξη σχετικού λόγου αποκλεισμού (“αυτοκάθαρση”);</w:t>
      </w:r>
    </w:p>
    <w:p>
      <w:pPr>
        <w:pStyle w:val="Normal"/>
        <w:jc w:val="left"/>
        <w:rPr>
          <w:rFonts w:ascii="Times New Roman" w:hAnsi="Times New Roman"/>
        </w:rPr>
      </w:pPr>
      <w:r>
        <w:rPr>
          <w:rFonts w:ascii="Times New Roman" w:hAnsi="Times New Roman"/>
          <w:sz w:val="21"/>
        </w:rPr>
        <w:t>Ναι / Όχι</w:t>
      </w:r>
    </w:p>
    <w:p>
      <w:pPr>
        <w:pStyle w:val="Normal"/>
        <w:jc w:val="left"/>
        <w:rPr>
          <w:rFonts w:ascii="Times New Roman" w:hAnsi="Times New Roman"/>
        </w:rPr>
      </w:pPr>
      <w:r>
        <w:rPr>
          <w:rFonts w:ascii="Times New Roman" w:hAnsi="Times New Roman"/>
          <w:sz w:val="21"/>
        </w:rPr>
        <w:t>Περιγράψτε τα μέτρα που λήφθηκαν</w:t>
      </w:r>
    </w:p>
    <w:p>
      <w:pPr>
        <w:pStyle w:val="Normal"/>
        <w:jc w:val="left"/>
        <w:rPr>
          <w:rFonts w:ascii="Times New Roman" w:hAnsi="Times New Roman"/>
        </w:rPr>
      </w:pPr>
      <w:r>
        <w:rPr>
          <w:rFonts w:ascii="Times New Roman" w:hAnsi="Times New Roman"/>
          <w:sz w:val="21"/>
        </w:rPr>
        <w:t>-</w:t>
      </w:r>
    </w:p>
    <w:p>
      <w:pPr>
        <w:pStyle w:val="Normal"/>
        <w:jc w:val="left"/>
        <w:rPr>
          <w:rFonts w:ascii="Times New Roman" w:hAnsi="Times New Roman"/>
        </w:rPr>
      </w:pPr>
      <w:r>
        <w:rPr>
          <w:rFonts w:ascii="Times New Roman" w:hAnsi="Times New Roman"/>
          <w:sz w:val="21"/>
        </w:rPr>
        <w:t>Εάν η σχετική τεκμηρίωση διατίθεται ηλεκτρονικά, αναφέρετε:</w:t>
      </w:r>
    </w:p>
    <w:p>
      <w:pPr>
        <w:pStyle w:val="Normal"/>
        <w:jc w:val="left"/>
        <w:rPr>
          <w:rFonts w:ascii="Times New Roman" w:hAnsi="Times New Roman"/>
        </w:rPr>
      </w:pPr>
      <w:r>
        <w:rPr>
          <w:rFonts w:ascii="Times New Roman" w:hAnsi="Times New Roman"/>
          <w:sz w:val="21"/>
        </w:rPr>
        <w:t>Ναι / Όχι</w:t>
      </w:r>
    </w:p>
    <w:p>
      <w:pPr>
        <w:pStyle w:val="Normal"/>
        <w:jc w:val="left"/>
        <w:rPr>
          <w:rFonts w:ascii="Times New Roman" w:hAnsi="Times New Roman"/>
        </w:rPr>
      </w:pPr>
      <w:r>
        <w:rPr>
          <w:rFonts w:ascii="Times New Roman" w:hAnsi="Times New Roman"/>
          <w:sz w:val="21"/>
        </w:rPr>
        <w:t>Διαδικτυακή Διεύθυνση</w:t>
      </w:r>
    </w:p>
    <w:p>
      <w:pPr>
        <w:pStyle w:val="Normal"/>
        <w:jc w:val="left"/>
        <w:rPr>
          <w:rFonts w:ascii="Times New Roman" w:hAnsi="Times New Roman"/>
        </w:rPr>
      </w:pPr>
      <w:r>
        <w:rPr>
          <w:rFonts w:ascii="Times New Roman" w:hAnsi="Times New Roman"/>
          <w:sz w:val="21"/>
        </w:rPr>
        <w:t>-</w:t>
      </w:r>
    </w:p>
    <w:p>
      <w:pPr>
        <w:pStyle w:val="Normal"/>
        <w:jc w:val="left"/>
        <w:rPr>
          <w:rFonts w:ascii="Times New Roman" w:hAnsi="Times New Roman"/>
        </w:rPr>
      </w:pPr>
      <w:r>
        <w:rPr>
          <w:rFonts w:ascii="Times New Roman" w:hAnsi="Times New Roman"/>
          <w:sz w:val="21"/>
        </w:rPr>
        <w:t>Επακριβή στοιχεία αναφοράς των εγγράφων</w:t>
      </w:r>
    </w:p>
    <w:p>
      <w:pPr>
        <w:pStyle w:val="Normal"/>
        <w:jc w:val="left"/>
        <w:rPr>
          <w:rFonts w:ascii="Times New Roman" w:hAnsi="Times New Roman"/>
        </w:rPr>
      </w:pPr>
      <w:r>
        <w:rPr>
          <w:rFonts w:ascii="Times New Roman" w:hAnsi="Times New Roman"/>
          <w:sz w:val="21"/>
        </w:rPr>
        <w:t>-</w:t>
      </w:r>
    </w:p>
    <w:p>
      <w:pPr>
        <w:pStyle w:val="Normal"/>
        <w:jc w:val="left"/>
        <w:rPr>
          <w:rFonts w:ascii="Times New Roman" w:hAnsi="Times New Roman"/>
        </w:rPr>
      </w:pPr>
      <w:r>
        <w:rPr>
          <w:rFonts w:ascii="Times New Roman" w:hAnsi="Times New Roman"/>
          <w:sz w:val="21"/>
        </w:rPr>
        <w:t>Αρχή ή Φορέας έκδοσης</w:t>
      </w:r>
    </w:p>
    <w:p>
      <w:pPr>
        <w:pStyle w:val="Normal"/>
        <w:jc w:val="left"/>
        <w:rPr>
          <w:rFonts w:ascii="Times New Roman" w:hAnsi="Times New Roman"/>
        </w:rPr>
      </w:pPr>
      <w:r>
        <w:rPr>
          <w:rFonts w:ascii="Times New Roman" w:hAnsi="Times New Roman"/>
          <w:sz w:val="21"/>
        </w:rPr>
        <w:t>-</w:t>
      </w:r>
    </w:p>
    <w:p>
      <w:pPr>
        <w:pStyle w:val="Normal"/>
        <w:jc w:val="left"/>
        <w:rPr>
          <w:rFonts w:ascii="Times New Roman" w:hAnsi="Times New Roman"/>
        </w:rPr>
      </w:pPr>
      <w:r>
        <w:rPr>
          <w:rFonts w:ascii="Times New Roman" w:hAnsi="Times New Roman"/>
          <w:sz w:val="21"/>
        </w:rPr>
        <w:t>Διαφθορά</w:t>
      </w:r>
    </w:p>
    <w:p>
      <w:pPr>
        <w:pStyle w:val="Normal"/>
        <w:jc w:val="left"/>
        <w:rPr>
          <w:rFonts w:ascii="Times New Roman" w:hAnsi="Times New Roman"/>
        </w:rPr>
      </w:pPr>
      <w:r>
        <w:rPr>
          <w:rFonts w:ascii="Times New Roman" w:hAnsi="Times New Roman"/>
          <w:sz w:val="21"/>
        </w:rPr>
        <w:t>Έχει ο ίδιος ο οικονομικός φορέας ή οποιοδήποτε πρόσωπο το οποίο είναι μέλος του</w:t>
      </w:r>
    </w:p>
    <w:p>
      <w:pPr>
        <w:pStyle w:val="Normal"/>
        <w:jc w:val="left"/>
        <w:rPr>
          <w:rFonts w:ascii="Times New Roman" w:hAnsi="Times New Roman"/>
        </w:rPr>
      </w:pPr>
      <w:r>
        <w:rPr>
          <w:rFonts w:ascii="Times New Roman" w:hAnsi="Times New Roman"/>
          <w:sz w:val="21"/>
        </w:rPr>
        <w:t>διοικητικού, διευθυντικού ή εποπτικού του οργάνου ή έχει εξουσία εκπροσώπησης,</w:t>
      </w:r>
    </w:p>
    <w:p>
      <w:pPr>
        <w:pStyle w:val="Normal"/>
        <w:jc w:val="left"/>
        <w:rPr>
          <w:rFonts w:ascii="Times New Roman" w:hAnsi="Times New Roman"/>
        </w:rPr>
      </w:pPr>
      <w:r>
        <w:rPr>
          <w:rFonts w:ascii="Times New Roman" w:hAnsi="Times New Roman"/>
          <w:sz w:val="21"/>
        </w:rPr>
        <w:t>λήψης αποφάσεων ή ελέγχου σε αυτό καταδικαστεί με τελεσίδικη απόφαση για έναν</w:t>
      </w:r>
    </w:p>
    <w:p>
      <w:pPr>
        <w:pStyle w:val="Normal"/>
        <w:jc w:val="left"/>
        <w:rPr>
          <w:rFonts w:ascii="Times New Roman" w:hAnsi="Times New Roman"/>
        </w:rPr>
      </w:pPr>
      <w:r>
        <w:rPr>
          <w:rFonts w:ascii="Times New Roman" w:hAnsi="Times New Roman"/>
          <w:sz w:val="21"/>
        </w:rPr>
        <w:t>από τους λόγους που παρατίθενται στο σχετικό θεσμικό πλαίσιο, η οποία έχει εκδοθεί</w:t>
      </w:r>
    </w:p>
    <w:p>
      <w:pPr>
        <w:pStyle w:val="Normal"/>
        <w:jc w:val="left"/>
        <w:rPr>
          <w:rFonts w:ascii="Times New Roman" w:hAnsi="Times New Roman"/>
        </w:rPr>
      </w:pPr>
      <w:r>
        <w:rPr>
          <w:rFonts w:ascii="Times New Roman" w:hAnsi="Times New Roman"/>
          <w:sz w:val="21"/>
        </w:rPr>
        <w:t>πριν από πέντε έτη κατά το μέγιστο ή στην οποία έχει οριστεί απευθείας περίοδος</w:t>
      </w:r>
    </w:p>
    <w:p>
      <w:pPr>
        <w:pStyle w:val="Normal"/>
        <w:jc w:val="left"/>
        <w:rPr>
          <w:rFonts w:ascii="Times New Roman" w:hAnsi="Times New Roman"/>
        </w:rPr>
      </w:pPr>
      <w:r>
        <w:rPr>
          <w:rFonts w:ascii="Times New Roman" w:hAnsi="Times New Roman"/>
          <w:sz w:val="21"/>
        </w:rPr>
        <w:t>αποκλεισμού που εξακολουθεί να ισχύει;</w:t>
      </w:r>
    </w:p>
    <w:p>
      <w:pPr>
        <w:pStyle w:val="Normal"/>
        <w:jc w:val="left"/>
        <w:rPr>
          <w:rFonts w:ascii="Times New Roman" w:hAnsi="Times New Roman"/>
        </w:rPr>
      </w:pPr>
      <w:r>
        <w:rPr>
          <w:rFonts w:ascii="Times New Roman" w:hAnsi="Times New Roman"/>
          <w:sz w:val="21"/>
        </w:rPr>
        <w:t>Απάντηση:</w:t>
      </w:r>
    </w:p>
    <w:p>
      <w:pPr>
        <w:pStyle w:val="Normal"/>
        <w:jc w:val="left"/>
        <w:rPr>
          <w:rFonts w:ascii="Times New Roman" w:hAnsi="Times New Roman"/>
        </w:rPr>
      </w:pPr>
      <w:r>
        <w:rPr>
          <w:rFonts w:ascii="Times New Roman" w:hAnsi="Times New Roman"/>
          <w:sz w:val="21"/>
        </w:rPr>
        <w:t>Ναι / Όχι</w:t>
      </w:r>
    </w:p>
    <w:p>
      <w:pPr>
        <w:pStyle w:val="Normal"/>
        <w:jc w:val="left"/>
        <w:rPr>
          <w:rFonts w:ascii="Times New Roman" w:hAnsi="Times New Roman"/>
        </w:rPr>
      </w:pPr>
      <w:r>
        <w:rPr>
          <w:rFonts w:ascii="Times New Roman" w:hAnsi="Times New Roman"/>
          <w:sz w:val="21"/>
        </w:rPr>
        <w:t>Ημερομηνία της καταδίκης</w:t>
      </w:r>
    </w:p>
    <w:p>
      <w:pPr>
        <w:pStyle w:val="Normal"/>
        <w:jc w:val="left"/>
        <w:rPr>
          <w:rFonts w:ascii="Times New Roman" w:hAnsi="Times New Roman"/>
        </w:rPr>
      </w:pPr>
      <w:r>
        <w:rPr>
          <w:rFonts w:ascii="Times New Roman" w:hAnsi="Times New Roman"/>
          <w:sz w:val="21"/>
        </w:rPr>
        <w:t>..</w:t>
      </w:r>
    </w:p>
    <w:p>
      <w:pPr>
        <w:pStyle w:val="Normal"/>
        <w:jc w:val="left"/>
        <w:rPr>
          <w:rFonts w:ascii="Times New Roman" w:hAnsi="Times New Roman"/>
        </w:rPr>
      </w:pPr>
      <w:r>
        <w:rPr>
          <w:rFonts w:ascii="Times New Roman" w:hAnsi="Times New Roman"/>
          <w:sz w:val="21"/>
        </w:rPr>
        <w:t>Λόγος(-οι)</w:t>
      </w:r>
    </w:p>
    <w:p>
      <w:pPr>
        <w:pStyle w:val="Normal"/>
        <w:jc w:val="left"/>
        <w:rPr>
          <w:rFonts w:ascii="Times New Roman" w:hAnsi="Times New Roman"/>
        </w:rPr>
      </w:pPr>
      <w:r>
        <w:rPr>
          <w:rFonts w:ascii="Times New Roman" w:hAnsi="Times New Roman"/>
          <w:sz w:val="21"/>
        </w:rPr>
        <w:t>-</w:t>
      </w:r>
    </w:p>
    <w:p>
      <w:pPr>
        <w:pStyle w:val="Normal"/>
        <w:jc w:val="left"/>
        <w:rPr>
          <w:rFonts w:ascii="Times New Roman" w:hAnsi="Times New Roman"/>
        </w:rPr>
      </w:pPr>
      <w:r>
        <w:rPr>
          <w:rFonts w:ascii="Times New Roman" w:hAnsi="Times New Roman"/>
          <w:sz w:val="21"/>
        </w:rPr>
        <w:t>Προσδιορίστε ποιος έχει καταδικαστεί</w:t>
      </w:r>
    </w:p>
    <w:p>
      <w:pPr>
        <w:pStyle w:val="Normal"/>
        <w:jc w:val="left"/>
        <w:rPr>
          <w:rFonts w:ascii="Times New Roman" w:hAnsi="Times New Roman"/>
        </w:rPr>
      </w:pPr>
      <w:r>
        <w:rPr>
          <w:rFonts w:ascii="Times New Roman" w:hAnsi="Times New Roman"/>
          <w:sz w:val="21"/>
        </w:rPr>
        <w:t>-</w:t>
      </w:r>
    </w:p>
    <w:p>
      <w:pPr>
        <w:pStyle w:val="Normal"/>
        <w:jc w:val="left"/>
        <w:rPr>
          <w:rFonts w:ascii="Times New Roman" w:hAnsi="Times New Roman"/>
        </w:rPr>
      </w:pPr>
      <w:r>
        <w:rPr>
          <w:rFonts w:ascii="Times New Roman" w:hAnsi="Times New Roman"/>
          <w:sz w:val="21"/>
        </w:rPr>
        <w:t>Εφόσον καθορίζεται απευθείας στην καταδικαστική απόφαση, διάρκεια</w:t>
      </w:r>
    </w:p>
    <w:p>
      <w:pPr>
        <w:pStyle w:val="Normal"/>
        <w:jc w:val="left"/>
        <w:rPr>
          <w:rFonts w:ascii="Times New Roman" w:hAnsi="Times New Roman"/>
        </w:rPr>
      </w:pPr>
      <w:r>
        <w:rPr>
          <w:rFonts w:ascii="Times New Roman" w:hAnsi="Times New Roman"/>
          <w:sz w:val="21"/>
        </w:rPr>
        <w:t>της περιόδου αποκλεισμού και σχετικό(-ά) σημείο(-α)</w:t>
      </w:r>
    </w:p>
    <w:p>
      <w:pPr>
        <w:pStyle w:val="Normal"/>
        <w:jc w:val="left"/>
        <w:rPr>
          <w:rFonts w:ascii="Times New Roman" w:hAnsi="Times New Roman"/>
        </w:rPr>
      </w:pPr>
      <w:r>
        <w:rPr>
          <w:rFonts w:ascii="Times New Roman" w:hAnsi="Times New Roman"/>
          <w:sz w:val="21"/>
        </w:rPr>
        <w:t>-</w:t>
      </w:r>
    </w:p>
    <w:p>
      <w:pPr>
        <w:pStyle w:val="Normal"/>
        <w:jc w:val="left"/>
        <w:rPr>
          <w:rFonts w:ascii="Times New Roman" w:hAnsi="Times New Roman"/>
        </w:rPr>
      </w:pPr>
      <w:r>
        <w:rPr>
          <w:rFonts w:ascii="Times New Roman" w:hAnsi="Times New Roman"/>
          <w:sz w:val="21"/>
        </w:rPr>
        <w:t>Σε περίπτωση καταδικης, ο οικονομικός φορέας έχει λάβει μέτρα που</w:t>
      </w:r>
    </w:p>
    <w:p>
      <w:pPr>
        <w:pStyle w:val="Normal"/>
        <w:jc w:val="left"/>
        <w:rPr>
          <w:rFonts w:ascii="Times New Roman" w:hAnsi="Times New Roman"/>
        </w:rPr>
      </w:pPr>
      <w:r>
        <w:rPr>
          <w:rFonts w:ascii="Times New Roman" w:hAnsi="Times New Roman"/>
          <w:sz w:val="21"/>
        </w:rPr>
        <w:t>να αποδεικνύουν την αξιοπιστία του παρά την ύπαρξη σχετικού λόγου αποκλεισμού (“αυτοκάθαρση”);</w:t>
      </w:r>
    </w:p>
    <w:p>
      <w:pPr>
        <w:pStyle w:val="Normal"/>
        <w:jc w:val="left"/>
        <w:rPr>
          <w:rFonts w:ascii="Times New Roman" w:hAnsi="Times New Roman"/>
        </w:rPr>
      </w:pPr>
      <w:r>
        <w:rPr>
          <w:rFonts w:ascii="Times New Roman" w:hAnsi="Times New Roman"/>
          <w:sz w:val="21"/>
        </w:rPr>
        <w:t>Ναι / Όχι</w:t>
      </w:r>
    </w:p>
    <w:p>
      <w:pPr>
        <w:pStyle w:val="Normal"/>
        <w:jc w:val="left"/>
        <w:rPr>
          <w:rFonts w:ascii="Times New Roman" w:hAnsi="Times New Roman"/>
        </w:rPr>
      </w:pPr>
      <w:r>
        <w:rPr>
          <w:rFonts w:ascii="Times New Roman" w:hAnsi="Times New Roman"/>
          <w:sz w:val="21"/>
        </w:rPr>
        <w:t>Περιγράψτε τα μέτρα που λήφθηκαν</w:t>
      </w:r>
    </w:p>
    <w:p>
      <w:pPr>
        <w:pStyle w:val="Normal"/>
        <w:jc w:val="left"/>
        <w:rPr>
          <w:rFonts w:ascii="Times New Roman" w:hAnsi="Times New Roman"/>
        </w:rPr>
      </w:pPr>
      <w:r>
        <w:rPr>
          <w:rFonts w:ascii="Times New Roman" w:hAnsi="Times New Roman"/>
          <w:sz w:val="21"/>
        </w:rPr>
        <w:t>-</w:t>
      </w:r>
    </w:p>
    <w:p>
      <w:pPr>
        <w:pStyle w:val="Normal"/>
        <w:jc w:val="left"/>
        <w:rPr>
          <w:rFonts w:ascii="Times New Roman" w:hAnsi="Times New Roman"/>
        </w:rPr>
      </w:pPr>
      <w:r>
        <w:rPr>
          <w:rFonts w:ascii="Times New Roman" w:hAnsi="Times New Roman"/>
          <w:sz w:val="21"/>
        </w:rPr>
        <w:t>Εάν η σχετική τεκμηρίωση διατίθεται ηλεκτρονικά, αναφέρετε:</w:t>
      </w:r>
    </w:p>
    <w:p>
      <w:pPr>
        <w:pStyle w:val="Normal"/>
        <w:jc w:val="left"/>
        <w:rPr>
          <w:rFonts w:ascii="Times New Roman" w:hAnsi="Times New Roman"/>
        </w:rPr>
      </w:pPr>
      <w:r>
        <w:rPr>
          <w:rFonts w:ascii="Times New Roman" w:hAnsi="Times New Roman"/>
          <w:sz w:val="21"/>
        </w:rPr>
        <w:t>Ναι / Όχι</w:t>
      </w:r>
    </w:p>
    <w:p>
      <w:pPr>
        <w:pStyle w:val="Normal"/>
        <w:jc w:val="left"/>
        <w:rPr>
          <w:rFonts w:ascii="Times New Roman" w:hAnsi="Times New Roman"/>
        </w:rPr>
      </w:pPr>
      <w:r>
        <w:rPr>
          <w:rFonts w:ascii="Times New Roman" w:hAnsi="Times New Roman"/>
          <w:sz w:val="21"/>
        </w:rPr>
        <w:t>Διαδικτυακή Διεύθυνση</w:t>
      </w:r>
    </w:p>
    <w:p>
      <w:pPr>
        <w:pStyle w:val="Normal"/>
        <w:jc w:val="left"/>
        <w:rPr>
          <w:rFonts w:ascii="Times New Roman" w:hAnsi="Times New Roman"/>
        </w:rPr>
      </w:pPr>
      <w:r>
        <w:rPr>
          <w:rFonts w:ascii="Times New Roman" w:hAnsi="Times New Roman"/>
          <w:sz w:val="21"/>
        </w:rPr>
        <w:t>-</w:t>
      </w:r>
    </w:p>
    <w:p>
      <w:pPr>
        <w:pStyle w:val="Normal"/>
        <w:jc w:val="left"/>
        <w:rPr>
          <w:rFonts w:ascii="Times New Roman" w:hAnsi="Times New Roman"/>
        </w:rPr>
      </w:pPr>
      <w:r>
        <w:rPr>
          <w:rFonts w:ascii="Times New Roman" w:hAnsi="Times New Roman"/>
          <w:sz w:val="21"/>
        </w:rPr>
        <w:t>Επακριβή στοιχεία αναφοράς των εγγράφων</w:t>
      </w:r>
    </w:p>
    <w:p>
      <w:pPr>
        <w:pStyle w:val="Normal"/>
        <w:jc w:val="left"/>
        <w:rPr>
          <w:rFonts w:ascii="Times New Roman" w:hAnsi="Times New Roman"/>
        </w:rPr>
      </w:pPr>
      <w:r>
        <w:rPr>
          <w:rFonts w:ascii="Times New Roman" w:hAnsi="Times New Roman"/>
          <w:sz w:val="21"/>
        </w:rPr>
        <w:t>-</w:t>
      </w:r>
    </w:p>
    <w:p>
      <w:pPr>
        <w:pStyle w:val="Normal"/>
        <w:jc w:val="left"/>
        <w:rPr>
          <w:rFonts w:ascii="Times New Roman" w:hAnsi="Times New Roman"/>
        </w:rPr>
      </w:pPr>
      <w:r>
        <w:rPr>
          <w:rFonts w:ascii="Times New Roman" w:hAnsi="Times New Roman"/>
          <w:sz w:val="21"/>
        </w:rPr>
        <w:t>Αρχή ή Φορέας έκδοσης</w:t>
      </w:r>
    </w:p>
    <w:p>
      <w:pPr>
        <w:pStyle w:val="Normal"/>
        <w:jc w:val="left"/>
        <w:rPr>
          <w:rFonts w:ascii="Times New Roman" w:hAnsi="Times New Roman"/>
        </w:rPr>
      </w:pPr>
      <w:r>
        <w:rPr>
          <w:rFonts w:ascii="Times New Roman" w:hAnsi="Times New Roman"/>
          <w:sz w:val="21"/>
        </w:rPr>
        <w:t>-</w:t>
      </w:r>
    </w:p>
    <w:p>
      <w:pPr>
        <w:pStyle w:val="Normal"/>
        <w:jc w:val="left"/>
        <w:rPr>
          <w:rFonts w:ascii="Times New Roman" w:hAnsi="Times New Roman"/>
        </w:rPr>
      </w:pPr>
      <w:r>
        <w:rPr>
          <w:rFonts w:ascii="Times New Roman" w:hAnsi="Times New Roman"/>
          <w:sz w:val="21"/>
        </w:rPr>
        <w:t>Απάτη</w:t>
      </w:r>
    </w:p>
    <w:p>
      <w:pPr>
        <w:pStyle w:val="Normal"/>
        <w:jc w:val="left"/>
        <w:rPr>
          <w:rFonts w:ascii="Times New Roman" w:hAnsi="Times New Roman"/>
        </w:rPr>
      </w:pPr>
      <w:r>
        <w:rPr>
          <w:rFonts w:ascii="Times New Roman" w:hAnsi="Times New Roman"/>
          <w:sz w:val="21"/>
        </w:rPr>
        <w:t>Έχει ο ίδιος ο οικονομικός φορέας ή οποιοδήποτε πρόσωπο το οποίο είναι μέλος του</w:t>
      </w:r>
    </w:p>
    <w:p>
      <w:pPr>
        <w:pStyle w:val="Normal"/>
        <w:jc w:val="left"/>
        <w:rPr>
          <w:rFonts w:ascii="Times New Roman" w:hAnsi="Times New Roman"/>
        </w:rPr>
      </w:pPr>
      <w:r>
        <w:rPr>
          <w:rFonts w:ascii="Times New Roman" w:hAnsi="Times New Roman"/>
          <w:sz w:val="21"/>
        </w:rPr>
        <w:t>διοικητικού, διευθυντικού ή εποπτικού του οργάνου ή έχει εξουσία εκπροσώπησης,</w:t>
      </w:r>
    </w:p>
    <w:p>
      <w:pPr>
        <w:pStyle w:val="Normal"/>
        <w:jc w:val="left"/>
        <w:rPr>
          <w:rFonts w:ascii="Times New Roman" w:hAnsi="Times New Roman"/>
        </w:rPr>
      </w:pPr>
      <w:r>
        <w:rPr>
          <w:rFonts w:ascii="Times New Roman" w:hAnsi="Times New Roman"/>
          <w:sz w:val="21"/>
        </w:rPr>
        <w:t>λήψης αποφάσεων ή ελέγχου σε αυτό καταδικαστεί με τελεσίδικη απόφαση για έναν</w:t>
      </w:r>
    </w:p>
    <w:p>
      <w:pPr>
        <w:pStyle w:val="Normal"/>
        <w:jc w:val="left"/>
        <w:rPr>
          <w:rFonts w:ascii="Times New Roman" w:hAnsi="Times New Roman"/>
        </w:rPr>
      </w:pPr>
      <w:r>
        <w:rPr>
          <w:rFonts w:ascii="Times New Roman" w:hAnsi="Times New Roman"/>
          <w:sz w:val="21"/>
        </w:rPr>
        <w:t>από τους λόγους που παρατίθενται στο σχετικό θεσμικό πλαίσιο, η οποία έχει εκδοθεί</w:t>
      </w:r>
    </w:p>
    <w:p>
      <w:pPr>
        <w:pStyle w:val="Normal"/>
        <w:jc w:val="left"/>
        <w:rPr>
          <w:rFonts w:ascii="Times New Roman" w:hAnsi="Times New Roman"/>
        </w:rPr>
      </w:pPr>
      <w:r>
        <w:rPr>
          <w:rFonts w:ascii="Times New Roman" w:hAnsi="Times New Roman"/>
          <w:sz w:val="21"/>
        </w:rPr>
        <w:t>πριν από πέντε έτη κατά το μέγιστο ή στην οποία έχει οριστεί απευθείας περίοδος</w:t>
      </w:r>
    </w:p>
    <w:p>
      <w:pPr>
        <w:pStyle w:val="Normal"/>
        <w:jc w:val="left"/>
        <w:rPr>
          <w:rFonts w:ascii="Times New Roman" w:hAnsi="Times New Roman"/>
        </w:rPr>
      </w:pPr>
      <w:r>
        <w:rPr>
          <w:rFonts w:ascii="Times New Roman" w:hAnsi="Times New Roman"/>
          <w:sz w:val="21"/>
        </w:rPr>
        <w:t>αποκλεισμού που εξακολουθεί να ισχύει;</w:t>
      </w:r>
    </w:p>
    <w:p>
      <w:pPr>
        <w:pStyle w:val="Normal"/>
        <w:jc w:val="left"/>
        <w:rPr>
          <w:rFonts w:ascii="Times New Roman" w:hAnsi="Times New Roman"/>
        </w:rPr>
      </w:pPr>
      <w:r>
        <w:rPr>
          <w:rFonts w:ascii="Times New Roman" w:hAnsi="Times New Roman"/>
          <w:sz w:val="21"/>
        </w:rPr>
        <w:t>Απάντηση:</w:t>
      </w:r>
    </w:p>
    <w:p>
      <w:pPr>
        <w:pStyle w:val="Normal"/>
        <w:jc w:val="left"/>
        <w:rPr>
          <w:rFonts w:ascii="Times New Roman" w:hAnsi="Times New Roman"/>
        </w:rPr>
      </w:pPr>
      <w:r>
        <w:rPr>
          <w:rFonts w:ascii="Times New Roman" w:hAnsi="Times New Roman"/>
          <w:sz w:val="21"/>
        </w:rPr>
        <w:t>Ναι / Όχι</w:t>
      </w:r>
    </w:p>
    <w:p>
      <w:pPr>
        <w:pStyle w:val="Normal"/>
        <w:jc w:val="left"/>
        <w:rPr>
          <w:rFonts w:ascii="Times New Roman" w:hAnsi="Times New Roman"/>
        </w:rPr>
      </w:pPr>
      <w:r>
        <w:rPr>
          <w:rFonts w:ascii="Times New Roman" w:hAnsi="Times New Roman"/>
          <w:sz w:val="21"/>
        </w:rPr>
        <w:t>Ημερομηνία της καταδίκης</w:t>
      </w:r>
    </w:p>
    <w:p>
      <w:pPr>
        <w:pStyle w:val="Normal"/>
        <w:jc w:val="left"/>
        <w:rPr>
          <w:rFonts w:ascii="Times New Roman" w:hAnsi="Times New Roman"/>
        </w:rPr>
      </w:pPr>
      <w:r>
        <w:rPr>
          <w:rFonts w:ascii="Times New Roman" w:hAnsi="Times New Roman"/>
          <w:sz w:val="21"/>
        </w:rPr>
        <w:t>..</w:t>
      </w:r>
    </w:p>
    <w:p>
      <w:pPr>
        <w:pStyle w:val="Normal"/>
        <w:jc w:val="left"/>
        <w:rPr>
          <w:rFonts w:ascii="Times New Roman" w:hAnsi="Times New Roman"/>
        </w:rPr>
      </w:pPr>
      <w:r>
        <w:rPr>
          <w:rFonts w:ascii="Times New Roman" w:hAnsi="Times New Roman"/>
          <w:sz w:val="21"/>
        </w:rPr>
        <w:t>Λόγος(-οι)</w:t>
      </w:r>
    </w:p>
    <w:p>
      <w:pPr>
        <w:pStyle w:val="Normal"/>
        <w:jc w:val="left"/>
        <w:rPr>
          <w:rFonts w:ascii="Times New Roman" w:hAnsi="Times New Roman"/>
        </w:rPr>
      </w:pPr>
      <w:r>
        <w:rPr>
          <w:rFonts w:ascii="Times New Roman" w:hAnsi="Times New Roman"/>
          <w:sz w:val="21"/>
        </w:rPr>
        <w:t>-</w:t>
      </w:r>
    </w:p>
    <w:p>
      <w:pPr>
        <w:pStyle w:val="Normal"/>
        <w:jc w:val="left"/>
        <w:rPr>
          <w:rFonts w:ascii="Times New Roman" w:hAnsi="Times New Roman"/>
        </w:rPr>
      </w:pPr>
      <w:r>
        <w:rPr>
          <w:rFonts w:ascii="Times New Roman" w:hAnsi="Times New Roman"/>
          <w:sz w:val="21"/>
        </w:rPr>
        <w:t>Προσδιορίστε ποιος έχει καταδικαστεί</w:t>
      </w:r>
    </w:p>
    <w:p>
      <w:pPr>
        <w:pStyle w:val="Normal"/>
        <w:jc w:val="left"/>
        <w:rPr>
          <w:rFonts w:ascii="Times New Roman" w:hAnsi="Times New Roman"/>
        </w:rPr>
      </w:pPr>
      <w:r>
        <w:rPr>
          <w:rFonts w:ascii="Times New Roman" w:hAnsi="Times New Roman"/>
          <w:sz w:val="21"/>
        </w:rPr>
        <w:t>-</w:t>
      </w:r>
    </w:p>
    <w:p>
      <w:pPr>
        <w:pStyle w:val="Normal"/>
        <w:jc w:val="left"/>
        <w:rPr>
          <w:rFonts w:ascii="Times New Roman" w:hAnsi="Times New Roman"/>
        </w:rPr>
      </w:pPr>
      <w:r>
        <w:rPr>
          <w:rFonts w:ascii="Times New Roman" w:hAnsi="Times New Roman"/>
          <w:sz w:val="21"/>
        </w:rPr>
        <w:t>Εφόσον καθορίζεται απευθείας στην καταδικαστική απόφαση, διάρκεια</w:t>
      </w:r>
    </w:p>
    <w:p>
      <w:pPr>
        <w:pStyle w:val="Normal"/>
        <w:jc w:val="left"/>
        <w:rPr>
          <w:rFonts w:ascii="Times New Roman" w:hAnsi="Times New Roman"/>
        </w:rPr>
      </w:pPr>
      <w:r>
        <w:rPr>
          <w:rFonts w:ascii="Times New Roman" w:hAnsi="Times New Roman"/>
          <w:sz w:val="21"/>
        </w:rPr>
        <w:t>της περιόδου αποκλεισμού και σχετικό(-ά) σημείο(-α)</w:t>
      </w:r>
    </w:p>
    <w:p>
      <w:pPr>
        <w:pStyle w:val="Normal"/>
        <w:jc w:val="left"/>
        <w:rPr>
          <w:rFonts w:ascii="Times New Roman" w:hAnsi="Times New Roman"/>
        </w:rPr>
      </w:pPr>
      <w:r>
        <w:rPr>
          <w:rFonts w:ascii="Times New Roman" w:hAnsi="Times New Roman"/>
          <w:sz w:val="21"/>
        </w:rPr>
        <w:t>-</w:t>
      </w:r>
    </w:p>
    <w:p>
      <w:pPr>
        <w:pStyle w:val="Normal"/>
        <w:jc w:val="left"/>
        <w:rPr>
          <w:rFonts w:ascii="Times New Roman" w:hAnsi="Times New Roman"/>
        </w:rPr>
      </w:pPr>
      <w:r>
        <w:rPr>
          <w:rFonts w:ascii="Times New Roman" w:hAnsi="Times New Roman"/>
          <w:sz w:val="21"/>
        </w:rPr>
        <w:t>Σε περίπτωση καταδικης, ο οικονομικός φορέας έχει λάβει μέτρα που</w:t>
      </w:r>
    </w:p>
    <w:p>
      <w:pPr>
        <w:pStyle w:val="Normal"/>
        <w:jc w:val="left"/>
        <w:rPr>
          <w:rFonts w:ascii="Times New Roman" w:hAnsi="Times New Roman"/>
        </w:rPr>
      </w:pPr>
      <w:r>
        <w:rPr>
          <w:rFonts w:ascii="Times New Roman" w:hAnsi="Times New Roman"/>
          <w:sz w:val="21"/>
        </w:rPr>
        <w:t>να αποδεικνύουν την αξιοπιστία του παρά την ύπαρξη σχετικού λόγου αποκλεισμού (“αυτοκάθαρση”);</w:t>
      </w:r>
    </w:p>
    <w:p>
      <w:pPr>
        <w:pStyle w:val="Normal"/>
        <w:jc w:val="left"/>
        <w:rPr>
          <w:rFonts w:ascii="Times New Roman" w:hAnsi="Times New Roman"/>
        </w:rPr>
      </w:pPr>
      <w:r>
        <w:rPr>
          <w:rFonts w:ascii="Times New Roman" w:hAnsi="Times New Roman"/>
          <w:sz w:val="21"/>
        </w:rPr>
        <w:t>Ναι / Όχι</w:t>
      </w:r>
    </w:p>
    <w:p>
      <w:pPr>
        <w:pStyle w:val="Normal"/>
        <w:jc w:val="left"/>
        <w:rPr>
          <w:rFonts w:ascii="Times New Roman" w:hAnsi="Times New Roman"/>
        </w:rPr>
      </w:pPr>
      <w:r>
        <w:rPr>
          <w:rFonts w:ascii="Times New Roman" w:hAnsi="Times New Roman"/>
          <w:sz w:val="21"/>
        </w:rPr>
        <w:t>Περιγράψτε τα μέτρα που λήφθηκαν</w:t>
      </w:r>
    </w:p>
    <w:p>
      <w:pPr>
        <w:pStyle w:val="Normal"/>
        <w:jc w:val="left"/>
        <w:rPr>
          <w:rFonts w:ascii="Times New Roman" w:hAnsi="Times New Roman"/>
        </w:rPr>
      </w:pPr>
      <w:r>
        <w:rPr>
          <w:rFonts w:ascii="Times New Roman" w:hAnsi="Times New Roman"/>
          <w:sz w:val="21"/>
        </w:rPr>
        <w:t>-</w:t>
      </w:r>
    </w:p>
    <w:p>
      <w:pPr>
        <w:pStyle w:val="Normal"/>
        <w:jc w:val="left"/>
        <w:rPr>
          <w:rFonts w:ascii="Times New Roman" w:hAnsi="Times New Roman"/>
        </w:rPr>
      </w:pPr>
      <w:r>
        <w:rPr>
          <w:rFonts w:ascii="Times New Roman" w:hAnsi="Times New Roman"/>
          <w:sz w:val="21"/>
        </w:rPr>
        <w:t>Εάν η σχετική τεκμηρίωση διατίθεται ηλεκτρονικά, αναφέρετε:</w:t>
      </w:r>
    </w:p>
    <w:p>
      <w:pPr>
        <w:pStyle w:val="Normal"/>
        <w:jc w:val="left"/>
        <w:rPr>
          <w:rFonts w:ascii="Times New Roman" w:hAnsi="Times New Roman"/>
        </w:rPr>
      </w:pPr>
      <w:r>
        <w:rPr>
          <w:rFonts w:ascii="Times New Roman" w:hAnsi="Times New Roman"/>
          <w:sz w:val="21"/>
        </w:rPr>
        <w:t>Ναι / Όχι</w:t>
      </w:r>
    </w:p>
    <w:p>
      <w:pPr>
        <w:pStyle w:val="Normal"/>
        <w:jc w:val="left"/>
        <w:rPr>
          <w:sz w:val="24"/>
        </w:rPr>
      </w:pPr>
      <w:r>
        <w:rPr>
          <w:sz w:val="24"/>
        </w:rPr>
      </w:r>
    </w:p>
    <w:p>
      <w:pPr>
        <w:pStyle w:val="Normal"/>
        <w:jc w:val="left"/>
        <w:rPr>
          <w:rFonts w:ascii="Times New Roman" w:hAnsi="Times New Roman"/>
        </w:rPr>
      </w:pPr>
      <w:r>
        <w:rPr>
          <w:rFonts w:ascii="Times New Roman" w:hAnsi="Times New Roman"/>
          <w:sz w:val="21"/>
        </w:rPr>
        <w:t>Διαδικτυακή Διεύθυνση</w:t>
      </w:r>
    </w:p>
    <w:p>
      <w:pPr>
        <w:pStyle w:val="Normal"/>
        <w:jc w:val="left"/>
        <w:rPr>
          <w:rFonts w:ascii="Times New Roman" w:hAnsi="Times New Roman"/>
        </w:rPr>
      </w:pPr>
      <w:r>
        <w:rPr>
          <w:rFonts w:ascii="Times New Roman" w:hAnsi="Times New Roman"/>
          <w:sz w:val="21"/>
        </w:rPr>
        <w:t>-</w:t>
      </w:r>
    </w:p>
    <w:p>
      <w:pPr>
        <w:pStyle w:val="Normal"/>
        <w:jc w:val="left"/>
        <w:rPr>
          <w:rFonts w:ascii="Times New Roman" w:hAnsi="Times New Roman"/>
        </w:rPr>
      </w:pPr>
      <w:r>
        <w:rPr>
          <w:rFonts w:ascii="Times New Roman" w:hAnsi="Times New Roman"/>
          <w:sz w:val="21"/>
        </w:rPr>
        <w:t>Επακριβή στοιχεία αναφοράς των εγγράφων</w:t>
      </w:r>
    </w:p>
    <w:p>
      <w:pPr>
        <w:pStyle w:val="Normal"/>
        <w:jc w:val="left"/>
        <w:rPr>
          <w:rFonts w:ascii="Times New Roman" w:hAnsi="Times New Roman"/>
        </w:rPr>
      </w:pPr>
      <w:r>
        <w:rPr>
          <w:rFonts w:ascii="Times New Roman" w:hAnsi="Times New Roman"/>
          <w:sz w:val="21"/>
        </w:rPr>
        <w:t>-</w:t>
      </w:r>
    </w:p>
    <w:p>
      <w:pPr>
        <w:pStyle w:val="Normal"/>
        <w:jc w:val="left"/>
        <w:rPr>
          <w:rFonts w:ascii="Times New Roman" w:hAnsi="Times New Roman"/>
        </w:rPr>
      </w:pPr>
      <w:r>
        <w:rPr>
          <w:rFonts w:ascii="Times New Roman" w:hAnsi="Times New Roman"/>
          <w:sz w:val="21"/>
        </w:rPr>
        <w:t>Αρχή ή Φορέας έκδοσης</w:t>
      </w:r>
    </w:p>
    <w:p>
      <w:pPr>
        <w:pStyle w:val="Normal"/>
        <w:jc w:val="left"/>
        <w:rPr>
          <w:rFonts w:ascii="Times New Roman" w:hAnsi="Times New Roman"/>
        </w:rPr>
      </w:pPr>
      <w:r>
        <w:rPr>
          <w:rFonts w:ascii="Times New Roman" w:hAnsi="Times New Roman"/>
          <w:sz w:val="21"/>
        </w:rPr>
        <w:t>-</w:t>
      </w:r>
    </w:p>
    <w:p>
      <w:pPr>
        <w:pStyle w:val="Normal"/>
        <w:jc w:val="left"/>
        <w:rPr>
          <w:rFonts w:ascii="Times New Roman" w:hAnsi="Times New Roman"/>
        </w:rPr>
      </w:pPr>
      <w:r>
        <w:rPr>
          <w:rFonts w:ascii="Times New Roman" w:hAnsi="Times New Roman"/>
          <w:sz w:val="21"/>
        </w:rPr>
        <w:t>Τρομοκρατικά εγκλήματα ή εγκλήματα συνδεόμενα με τρομοκρατικές δραστηριότητες</w:t>
      </w:r>
    </w:p>
    <w:p>
      <w:pPr>
        <w:pStyle w:val="Normal"/>
        <w:jc w:val="left"/>
        <w:rPr>
          <w:rFonts w:ascii="Times New Roman" w:hAnsi="Times New Roman"/>
        </w:rPr>
      </w:pPr>
      <w:r>
        <w:rPr>
          <w:rFonts w:ascii="Times New Roman" w:hAnsi="Times New Roman"/>
          <w:sz w:val="21"/>
        </w:rPr>
        <w:t>Έχει ο ίδιος ο οικονομικός φορέας ή οποιοδήποτε πρόσωπο το οποίο είναι μέλος του</w:t>
      </w:r>
    </w:p>
    <w:p>
      <w:pPr>
        <w:pStyle w:val="Normal"/>
        <w:jc w:val="left"/>
        <w:rPr>
          <w:rFonts w:ascii="Times New Roman" w:hAnsi="Times New Roman"/>
        </w:rPr>
      </w:pPr>
      <w:r>
        <w:rPr>
          <w:rFonts w:ascii="Times New Roman" w:hAnsi="Times New Roman"/>
          <w:sz w:val="21"/>
        </w:rPr>
        <w:t>διοικητικού, διευθυντικού ή εποπτικού του οργάνου ή έχει εξουσία εκπροσώπησης,</w:t>
      </w:r>
    </w:p>
    <w:p>
      <w:pPr>
        <w:pStyle w:val="Normal"/>
        <w:jc w:val="left"/>
        <w:rPr>
          <w:rFonts w:ascii="Times New Roman" w:hAnsi="Times New Roman"/>
        </w:rPr>
      </w:pPr>
      <w:r>
        <w:rPr>
          <w:rFonts w:ascii="Times New Roman" w:hAnsi="Times New Roman"/>
          <w:sz w:val="21"/>
        </w:rPr>
        <w:t>λήψης αποφάσεων ή ελέγχου σε αυτό καταδικαστεί με τελεσίδικη απόφαση για έναν</w:t>
      </w:r>
    </w:p>
    <w:p>
      <w:pPr>
        <w:pStyle w:val="Normal"/>
        <w:jc w:val="left"/>
        <w:rPr>
          <w:rFonts w:ascii="Times New Roman" w:hAnsi="Times New Roman"/>
        </w:rPr>
      </w:pPr>
      <w:r>
        <w:rPr>
          <w:rFonts w:ascii="Times New Roman" w:hAnsi="Times New Roman"/>
          <w:sz w:val="21"/>
        </w:rPr>
        <w:t>από τους λόγους που παρατίθενται στο σχετικό θεσμικό πλαίσιο, η οποία έχει εκδοθεί</w:t>
      </w:r>
    </w:p>
    <w:p>
      <w:pPr>
        <w:pStyle w:val="Normal"/>
        <w:jc w:val="left"/>
        <w:rPr>
          <w:rFonts w:ascii="Times New Roman" w:hAnsi="Times New Roman"/>
        </w:rPr>
      </w:pPr>
      <w:r>
        <w:rPr>
          <w:rFonts w:ascii="Times New Roman" w:hAnsi="Times New Roman"/>
          <w:sz w:val="21"/>
        </w:rPr>
        <w:t>πριν από πέντε έτη κατά το μέγιστο ή στην οποία έχει οριστεί απευθείας περίοδος</w:t>
      </w:r>
    </w:p>
    <w:p>
      <w:pPr>
        <w:pStyle w:val="Normal"/>
        <w:jc w:val="left"/>
        <w:rPr>
          <w:rFonts w:ascii="Times New Roman" w:hAnsi="Times New Roman"/>
        </w:rPr>
      </w:pPr>
      <w:r>
        <w:rPr>
          <w:rFonts w:ascii="Times New Roman" w:hAnsi="Times New Roman"/>
          <w:sz w:val="21"/>
        </w:rPr>
        <w:t>αποκλεισμού που εξακολουθεί να ισχύει;</w:t>
      </w:r>
    </w:p>
    <w:p>
      <w:pPr>
        <w:pStyle w:val="Normal"/>
        <w:jc w:val="left"/>
        <w:rPr>
          <w:rFonts w:ascii="Times New Roman" w:hAnsi="Times New Roman"/>
        </w:rPr>
      </w:pPr>
      <w:r>
        <w:rPr>
          <w:rFonts w:ascii="Times New Roman" w:hAnsi="Times New Roman"/>
          <w:sz w:val="21"/>
        </w:rPr>
        <w:t>Απάντηση:</w:t>
      </w:r>
    </w:p>
    <w:p>
      <w:pPr>
        <w:pStyle w:val="Normal"/>
        <w:jc w:val="left"/>
        <w:rPr>
          <w:rFonts w:ascii="Times New Roman" w:hAnsi="Times New Roman"/>
        </w:rPr>
      </w:pPr>
      <w:r>
        <w:rPr>
          <w:rFonts w:ascii="Times New Roman" w:hAnsi="Times New Roman"/>
          <w:sz w:val="21"/>
        </w:rPr>
        <w:t>Ναι / Όχι</w:t>
      </w:r>
    </w:p>
    <w:p>
      <w:pPr>
        <w:pStyle w:val="Normal"/>
        <w:jc w:val="left"/>
        <w:rPr>
          <w:rFonts w:ascii="Times New Roman" w:hAnsi="Times New Roman"/>
        </w:rPr>
      </w:pPr>
      <w:r>
        <w:rPr>
          <w:rFonts w:ascii="Times New Roman" w:hAnsi="Times New Roman"/>
          <w:sz w:val="21"/>
        </w:rPr>
        <w:t>Ημερομηνία της καταδίκης</w:t>
      </w:r>
    </w:p>
    <w:p>
      <w:pPr>
        <w:pStyle w:val="Normal"/>
        <w:jc w:val="left"/>
        <w:rPr>
          <w:rFonts w:ascii="Times New Roman" w:hAnsi="Times New Roman"/>
        </w:rPr>
      </w:pPr>
      <w:r>
        <w:rPr>
          <w:rFonts w:ascii="Times New Roman" w:hAnsi="Times New Roman"/>
          <w:sz w:val="21"/>
        </w:rPr>
        <w:t>..</w:t>
      </w:r>
    </w:p>
    <w:p>
      <w:pPr>
        <w:pStyle w:val="Normal"/>
        <w:jc w:val="left"/>
        <w:rPr>
          <w:rFonts w:ascii="Times New Roman" w:hAnsi="Times New Roman"/>
        </w:rPr>
      </w:pPr>
      <w:r>
        <w:rPr>
          <w:rFonts w:ascii="Times New Roman" w:hAnsi="Times New Roman"/>
          <w:sz w:val="21"/>
        </w:rPr>
        <w:t>Λόγος(-οι)</w:t>
      </w:r>
    </w:p>
    <w:p>
      <w:pPr>
        <w:pStyle w:val="Normal"/>
        <w:jc w:val="left"/>
        <w:rPr>
          <w:rFonts w:ascii="Times New Roman" w:hAnsi="Times New Roman"/>
        </w:rPr>
      </w:pPr>
      <w:r>
        <w:rPr>
          <w:rFonts w:ascii="Times New Roman" w:hAnsi="Times New Roman"/>
          <w:sz w:val="21"/>
        </w:rPr>
        <w:t>-</w:t>
      </w:r>
    </w:p>
    <w:p>
      <w:pPr>
        <w:pStyle w:val="Normal"/>
        <w:jc w:val="left"/>
        <w:rPr>
          <w:rFonts w:ascii="Times New Roman" w:hAnsi="Times New Roman"/>
        </w:rPr>
      </w:pPr>
      <w:r>
        <w:rPr>
          <w:rFonts w:ascii="Times New Roman" w:hAnsi="Times New Roman"/>
          <w:sz w:val="21"/>
        </w:rPr>
        <w:t>Προσδιορίστε ποιος έχει καταδικαστεί</w:t>
      </w:r>
    </w:p>
    <w:p>
      <w:pPr>
        <w:pStyle w:val="Normal"/>
        <w:jc w:val="left"/>
        <w:rPr>
          <w:rFonts w:ascii="Times New Roman" w:hAnsi="Times New Roman"/>
        </w:rPr>
      </w:pPr>
      <w:r>
        <w:rPr>
          <w:rFonts w:ascii="Times New Roman" w:hAnsi="Times New Roman"/>
          <w:sz w:val="21"/>
        </w:rPr>
        <w:t>-</w:t>
      </w:r>
    </w:p>
    <w:p>
      <w:pPr>
        <w:pStyle w:val="Normal"/>
        <w:jc w:val="left"/>
        <w:rPr>
          <w:rFonts w:ascii="Times New Roman" w:hAnsi="Times New Roman"/>
        </w:rPr>
      </w:pPr>
      <w:r>
        <w:rPr>
          <w:rFonts w:ascii="Times New Roman" w:hAnsi="Times New Roman"/>
          <w:sz w:val="21"/>
        </w:rPr>
        <w:t>Εφόσον καθορίζεται απευθείας στην καταδικαστική απόφαση, διάρκεια</w:t>
      </w:r>
    </w:p>
    <w:p>
      <w:pPr>
        <w:pStyle w:val="Normal"/>
        <w:jc w:val="left"/>
        <w:rPr>
          <w:rFonts w:ascii="Times New Roman" w:hAnsi="Times New Roman"/>
        </w:rPr>
      </w:pPr>
      <w:r>
        <w:rPr>
          <w:rFonts w:ascii="Times New Roman" w:hAnsi="Times New Roman"/>
          <w:sz w:val="21"/>
        </w:rPr>
        <w:t>της περιόδου αποκλεισμού και σχετικό(-ά) σημείο(-α)</w:t>
      </w:r>
    </w:p>
    <w:p>
      <w:pPr>
        <w:pStyle w:val="Normal"/>
        <w:jc w:val="left"/>
        <w:rPr>
          <w:rFonts w:ascii="Times New Roman" w:hAnsi="Times New Roman"/>
        </w:rPr>
      </w:pPr>
      <w:r>
        <w:rPr>
          <w:rFonts w:ascii="Times New Roman" w:hAnsi="Times New Roman"/>
          <w:sz w:val="21"/>
        </w:rPr>
        <w:t>-</w:t>
      </w:r>
    </w:p>
    <w:p>
      <w:pPr>
        <w:pStyle w:val="Normal"/>
        <w:jc w:val="left"/>
        <w:rPr>
          <w:rFonts w:ascii="Times New Roman" w:hAnsi="Times New Roman"/>
        </w:rPr>
      </w:pPr>
      <w:r>
        <w:rPr>
          <w:rFonts w:ascii="Times New Roman" w:hAnsi="Times New Roman"/>
          <w:sz w:val="21"/>
        </w:rPr>
        <w:t>Σε περίπτωση καταδικης, ο οικονομικός φορέας έχει λάβει μέτρα που</w:t>
      </w:r>
    </w:p>
    <w:p>
      <w:pPr>
        <w:pStyle w:val="Normal"/>
        <w:jc w:val="left"/>
        <w:rPr>
          <w:rFonts w:ascii="Times New Roman" w:hAnsi="Times New Roman"/>
        </w:rPr>
      </w:pPr>
      <w:r>
        <w:rPr>
          <w:rFonts w:ascii="Times New Roman" w:hAnsi="Times New Roman"/>
          <w:sz w:val="21"/>
        </w:rPr>
        <w:t>να αποδεικνύουν την αξιοπιστία του παρά την ύπαρξη σχετικού λόγου αποκλεισμού (“αυτοκάθαρση”);</w:t>
      </w:r>
    </w:p>
    <w:p>
      <w:pPr>
        <w:pStyle w:val="Normal"/>
        <w:jc w:val="left"/>
        <w:rPr>
          <w:rFonts w:ascii="Times New Roman" w:hAnsi="Times New Roman"/>
        </w:rPr>
      </w:pPr>
      <w:r>
        <w:rPr>
          <w:rFonts w:ascii="Times New Roman" w:hAnsi="Times New Roman"/>
          <w:sz w:val="21"/>
        </w:rPr>
        <w:t>Ναι / Όχι</w:t>
      </w:r>
    </w:p>
    <w:p>
      <w:pPr>
        <w:pStyle w:val="Normal"/>
        <w:jc w:val="left"/>
        <w:rPr>
          <w:rFonts w:ascii="Times New Roman" w:hAnsi="Times New Roman"/>
        </w:rPr>
      </w:pPr>
      <w:r>
        <w:rPr>
          <w:rFonts w:ascii="Times New Roman" w:hAnsi="Times New Roman"/>
          <w:sz w:val="21"/>
        </w:rPr>
        <w:t>Περιγράψτε τα μέτρα που λήφθηκαν</w:t>
      </w:r>
    </w:p>
    <w:p>
      <w:pPr>
        <w:pStyle w:val="Normal"/>
        <w:jc w:val="left"/>
        <w:rPr>
          <w:rFonts w:ascii="Times New Roman" w:hAnsi="Times New Roman"/>
        </w:rPr>
      </w:pPr>
      <w:r>
        <w:rPr>
          <w:rFonts w:ascii="Times New Roman" w:hAnsi="Times New Roman"/>
          <w:sz w:val="21"/>
        </w:rPr>
        <w:t>-</w:t>
      </w:r>
    </w:p>
    <w:p>
      <w:pPr>
        <w:pStyle w:val="Normal"/>
        <w:jc w:val="left"/>
        <w:rPr>
          <w:rFonts w:ascii="Times New Roman" w:hAnsi="Times New Roman"/>
        </w:rPr>
      </w:pPr>
      <w:r>
        <w:rPr>
          <w:rFonts w:ascii="Times New Roman" w:hAnsi="Times New Roman"/>
          <w:sz w:val="21"/>
        </w:rPr>
        <w:t>Εάν η σχετική τεκμηρίωση διατίθεται ηλεκτρονικά, αναφέρετε:</w:t>
      </w:r>
    </w:p>
    <w:p>
      <w:pPr>
        <w:pStyle w:val="Normal"/>
        <w:jc w:val="left"/>
        <w:rPr>
          <w:rFonts w:ascii="Times New Roman" w:hAnsi="Times New Roman"/>
        </w:rPr>
      </w:pPr>
      <w:r>
        <w:rPr>
          <w:rFonts w:ascii="Times New Roman" w:hAnsi="Times New Roman"/>
          <w:sz w:val="21"/>
        </w:rPr>
        <w:t>Ναι / Όχι</w:t>
      </w:r>
    </w:p>
    <w:p>
      <w:pPr>
        <w:pStyle w:val="Normal"/>
        <w:jc w:val="left"/>
        <w:rPr>
          <w:rFonts w:ascii="Times New Roman" w:hAnsi="Times New Roman"/>
        </w:rPr>
      </w:pPr>
      <w:r>
        <w:rPr>
          <w:rFonts w:ascii="Times New Roman" w:hAnsi="Times New Roman"/>
          <w:sz w:val="21"/>
        </w:rPr>
        <w:t>Διαδικτυακή Διεύθυνση</w:t>
      </w:r>
    </w:p>
    <w:p>
      <w:pPr>
        <w:pStyle w:val="Normal"/>
        <w:jc w:val="left"/>
        <w:rPr>
          <w:rFonts w:ascii="Times New Roman" w:hAnsi="Times New Roman"/>
        </w:rPr>
      </w:pPr>
      <w:r>
        <w:rPr>
          <w:rFonts w:ascii="Times New Roman" w:hAnsi="Times New Roman"/>
          <w:sz w:val="21"/>
        </w:rPr>
        <w:t>-</w:t>
      </w:r>
    </w:p>
    <w:p>
      <w:pPr>
        <w:pStyle w:val="Normal"/>
        <w:jc w:val="left"/>
        <w:rPr>
          <w:rFonts w:ascii="Times New Roman" w:hAnsi="Times New Roman"/>
        </w:rPr>
      </w:pPr>
      <w:r>
        <w:rPr>
          <w:rFonts w:ascii="Times New Roman" w:hAnsi="Times New Roman"/>
          <w:sz w:val="21"/>
        </w:rPr>
        <w:t>Επακριβή στοιχεία αναφοράς των εγγράφων</w:t>
      </w:r>
    </w:p>
    <w:p>
      <w:pPr>
        <w:pStyle w:val="Normal"/>
        <w:jc w:val="left"/>
        <w:rPr>
          <w:rFonts w:ascii="Times New Roman" w:hAnsi="Times New Roman"/>
        </w:rPr>
      </w:pPr>
      <w:r>
        <w:rPr>
          <w:rFonts w:ascii="Times New Roman" w:hAnsi="Times New Roman"/>
          <w:sz w:val="21"/>
        </w:rPr>
        <w:t>-</w:t>
      </w:r>
    </w:p>
    <w:p>
      <w:pPr>
        <w:pStyle w:val="Normal"/>
        <w:jc w:val="left"/>
        <w:rPr>
          <w:rFonts w:ascii="Times New Roman" w:hAnsi="Times New Roman"/>
        </w:rPr>
      </w:pPr>
      <w:r>
        <w:rPr>
          <w:rFonts w:ascii="Times New Roman" w:hAnsi="Times New Roman"/>
          <w:sz w:val="21"/>
        </w:rPr>
        <w:t>Αρχή ή Φορέας έκδοσης</w:t>
      </w:r>
    </w:p>
    <w:p>
      <w:pPr>
        <w:pStyle w:val="Normal"/>
        <w:jc w:val="left"/>
        <w:rPr>
          <w:rFonts w:ascii="Times New Roman" w:hAnsi="Times New Roman"/>
        </w:rPr>
      </w:pPr>
      <w:r>
        <w:rPr>
          <w:rFonts w:ascii="Times New Roman" w:hAnsi="Times New Roman"/>
          <w:sz w:val="21"/>
        </w:rPr>
        <w:t>-</w:t>
      </w:r>
    </w:p>
    <w:p>
      <w:pPr>
        <w:pStyle w:val="Normal"/>
        <w:jc w:val="left"/>
        <w:rPr>
          <w:rFonts w:ascii="Times New Roman" w:hAnsi="Times New Roman"/>
        </w:rPr>
      </w:pPr>
      <w:r>
        <w:rPr>
          <w:rFonts w:ascii="Times New Roman" w:hAnsi="Times New Roman"/>
          <w:sz w:val="21"/>
        </w:rPr>
        <w:t>Νομιμοποίηση εσόδων από παράνομες δραστηριότητες ή χρηματοδότηση της τρομοκρατίας</w:t>
      </w:r>
    </w:p>
    <w:p>
      <w:pPr>
        <w:pStyle w:val="Normal"/>
        <w:jc w:val="left"/>
        <w:rPr>
          <w:rFonts w:ascii="Times New Roman" w:hAnsi="Times New Roman"/>
        </w:rPr>
      </w:pPr>
      <w:r>
        <w:rPr>
          <w:rFonts w:ascii="Times New Roman" w:hAnsi="Times New Roman"/>
          <w:sz w:val="21"/>
        </w:rPr>
        <w:t>Έχει ο ίδιος ο οικονομικός φορέας ή οποιοδήποτε πρόσωπο το οποίο είναι μέλος του</w:t>
      </w:r>
    </w:p>
    <w:p>
      <w:pPr>
        <w:pStyle w:val="Normal"/>
        <w:jc w:val="left"/>
        <w:rPr>
          <w:rFonts w:ascii="Times New Roman" w:hAnsi="Times New Roman"/>
        </w:rPr>
      </w:pPr>
      <w:r>
        <w:rPr>
          <w:rFonts w:ascii="Times New Roman" w:hAnsi="Times New Roman"/>
          <w:sz w:val="21"/>
        </w:rPr>
        <w:t>διοικητικού, διευθυντικού ή εποπτικού του οργάνου ή έχει εξουσία εκπροσώπησης,</w:t>
      </w:r>
    </w:p>
    <w:p>
      <w:pPr>
        <w:pStyle w:val="Normal"/>
        <w:jc w:val="left"/>
        <w:rPr>
          <w:rFonts w:ascii="Times New Roman" w:hAnsi="Times New Roman"/>
        </w:rPr>
      </w:pPr>
      <w:r>
        <w:rPr>
          <w:rFonts w:ascii="Times New Roman" w:hAnsi="Times New Roman"/>
          <w:sz w:val="21"/>
        </w:rPr>
        <w:t>λήψης αποφάσεων ή ελέγχου σε αυτό καταδικαστεί με τελεσίδικη απόφαση για έναν</w:t>
      </w:r>
    </w:p>
    <w:p>
      <w:pPr>
        <w:pStyle w:val="Normal"/>
        <w:jc w:val="left"/>
        <w:rPr>
          <w:rFonts w:ascii="Times New Roman" w:hAnsi="Times New Roman"/>
        </w:rPr>
      </w:pPr>
      <w:r>
        <w:rPr>
          <w:rFonts w:ascii="Times New Roman" w:hAnsi="Times New Roman"/>
          <w:sz w:val="21"/>
        </w:rPr>
        <w:t>από τους λόγους που παρατίθενται στο σχετικό θεσμικό πλαίσιο, η οποία έχει εκδοθεί</w:t>
      </w:r>
    </w:p>
    <w:p>
      <w:pPr>
        <w:pStyle w:val="Normal"/>
        <w:jc w:val="left"/>
        <w:rPr>
          <w:rFonts w:ascii="Times New Roman" w:hAnsi="Times New Roman"/>
        </w:rPr>
      </w:pPr>
      <w:r>
        <w:rPr>
          <w:rFonts w:ascii="Times New Roman" w:hAnsi="Times New Roman"/>
          <w:sz w:val="21"/>
        </w:rPr>
        <w:t>πριν από πέντε έτη κατά το μέγιστο ή στην οποία έχει οριστεί απευθείας περίοδος</w:t>
      </w:r>
    </w:p>
    <w:p>
      <w:pPr>
        <w:pStyle w:val="Normal"/>
        <w:jc w:val="left"/>
        <w:rPr>
          <w:rFonts w:ascii="Times New Roman" w:hAnsi="Times New Roman"/>
        </w:rPr>
      </w:pPr>
      <w:r>
        <w:rPr>
          <w:rFonts w:ascii="Times New Roman" w:hAnsi="Times New Roman"/>
          <w:sz w:val="21"/>
        </w:rPr>
        <w:t>αποκλεισμού που εξακολουθεί να ισχύει;</w:t>
      </w:r>
    </w:p>
    <w:p>
      <w:pPr>
        <w:pStyle w:val="Normal"/>
        <w:jc w:val="left"/>
        <w:rPr>
          <w:rFonts w:ascii="Times New Roman" w:hAnsi="Times New Roman"/>
        </w:rPr>
      </w:pPr>
      <w:r>
        <w:rPr>
          <w:rFonts w:ascii="Times New Roman" w:hAnsi="Times New Roman"/>
          <w:sz w:val="21"/>
        </w:rPr>
        <w:t>Απάντηση:</w:t>
      </w:r>
    </w:p>
    <w:p>
      <w:pPr>
        <w:pStyle w:val="Normal"/>
        <w:jc w:val="left"/>
        <w:rPr>
          <w:rFonts w:ascii="Times New Roman" w:hAnsi="Times New Roman"/>
        </w:rPr>
      </w:pPr>
      <w:r>
        <w:rPr>
          <w:rFonts w:ascii="Times New Roman" w:hAnsi="Times New Roman"/>
          <w:sz w:val="21"/>
        </w:rPr>
        <w:t>Ναι / Όχι</w:t>
      </w:r>
    </w:p>
    <w:p>
      <w:pPr>
        <w:pStyle w:val="Normal"/>
        <w:jc w:val="left"/>
        <w:rPr>
          <w:rFonts w:ascii="Times New Roman" w:hAnsi="Times New Roman"/>
        </w:rPr>
      </w:pPr>
      <w:r>
        <w:rPr>
          <w:rFonts w:ascii="Times New Roman" w:hAnsi="Times New Roman"/>
          <w:sz w:val="21"/>
        </w:rPr>
        <w:t>Ημερομηνία της καταδίκης</w:t>
      </w:r>
    </w:p>
    <w:p>
      <w:pPr>
        <w:pStyle w:val="Normal"/>
        <w:jc w:val="left"/>
        <w:rPr>
          <w:rFonts w:ascii="Times New Roman" w:hAnsi="Times New Roman"/>
        </w:rPr>
      </w:pPr>
      <w:r>
        <w:rPr>
          <w:rFonts w:ascii="Times New Roman" w:hAnsi="Times New Roman"/>
          <w:sz w:val="21"/>
        </w:rPr>
        <w:t>..</w:t>
      </w:r>
    </w:p>
    <w:p>
      <w:pPr>
        <w:pStyle w:val="Normal"/>
        <w:jc w:val="left"/>
        <w:rPr>
          <w:rFonts w:ascii="Times New Roman" w:hAnsi="Times New Roman"/>
        </w:rPr>
      </w:pPr>
      <w:r>
        <w:rPr>
          <w:rFonts w:ascii="Times New Roman" w:hAnsi="Times New Roman"/>
          <w:sz w:val="21"/>
        </w:rPr>
        <w:t>Λόγος(-οι)</w:t>
      </w:r>
    </w:p>
    <w:p>
      <w:pPr>
        <w:pStyle w:val="Normal"/>
        <w:jc w:val="left"/>
        <w:rPr>
          <w:rFonts w:ascii="Times New Roman" w:hAnsi="Times New Roman"/>
        </w:rPr>
      </w:pPr>
      <w:r>
        <w:rPr>
          <w:rFonts w:ascii="Times New Roman" w:hAnsi="Times New Roman"/>
          <w:sz w:val="21"/>
        </w:rPr>
        <w:t>-</w:t>
      </w:r>
    </w:p>
    <w:p>
      <w:pPr>
        <w:pStyle w:val="Normal"/>
        <w:jc w:val="left"/>
        <w:rPr>
          <w:rFonts w:ascii="Times New Roman" w:hAnsi="Times New Roman"/>
        </w:rPr>
      </w:pPr>
      <w:r>
        <w:rPr>
          <w:rFonts w:ascii="Times New Roman" w:hAnsi="Times New Roman"/>
          <w:sz w:val="21"/>
        </w:rPr>
        <w:t>Προσδιορίστε ποιος έχει καταδικαστεί</w:t>
      </w:r>
    </w:p>
    <w:p>
      <w:pPr>
        <w:pStyle w:val="Normal"/>
        <w:jc w:val="left"/>
        <w:rPr>
          <w:rFonts w:ascii="Times New Roman" w:hAnsi="Times New Roman"/>
        </w:rPr>
      </w:pPr>
      <w:r>
        <w:rPr>
          <w:rFonts w:ascii="Times New Roman" w:hAnsi="Times New Roman"/>
          <w:sz w:val="21"/>
        </w:rPr>
        <w:t>-</w:t>
      </w:r>
    </w:p>
    <w:p>
      <w:pPr>
        <w:pStyle w:val="Normal"/>
        <w:jc w:val="left"/>
        <w:rPr>
          <w:rFonts w:ascii="Times New Roman" w:hAnsi="Times New Roman"/>
        </w:rPr>
      </w:pPr>
      <w:r>
        <w:rPr>
          <w:rFonts w:ascii="Times New Roman" w:hAnsi="Times New Roman"/>
          <w:sz w:val="21"/>
        </w:rPr>
        <w:t>Εφόσον καθορίζεται απευθείας στην καταδικαστική απόφαση, διάρκεια</w:t>
      </w:r>
    </w:p>
    <w:p>
      <w:pPr>
        <w:pStyle w:val="Normal"/>
        <w:jc w:val="left"/>
        <w:rPr>
          <w:rFonts w:ascii="Times New Roman" w:hAnsi="Times New Roman"/>
        </w:rPr>
      </w:pPr>
      <w:r>
        <w:rPr>
          <w:rFonts w:ascii="Times New Roman" w:hAnsi="Times New Roman"/>
          <w:sz w:val="21"/>
        </w:rPr>
        <w:t>της περιόδου αποκλεισμού και σχετικό(-ά) σημείο(-α)</w:t>
      </w:r>
    </w:p>
    <w:p>
      <w:pPr>
        <w:pStyle w:val="Normal"/>
        <w:jc w:val="left"/>
        <w:rPr>
          <w:rFonts w:ascii="Times New Roman" w:hAnsi="Times New Roman"/>
        </w:rPr>
      </w:pPr>
      <w:r>
        <w:rPr>
          <w:rFonts w:ascii="Times New Roman" w:hAnsi="Times New Roman"/>
          <w:sz w:val="21"/>
        </w:rPr>
        <w:t>-</w:t>
      </w:r>
    </w:p>
    <w:p>
      <w:pPr>
        <w:pStyle w:val="Normal"/>
        <w:jc w:val="left"/>
        <w:rPr>
          <w:rFonts w:ascii="Times New Roman" w:hAnsi="Times New Roman"/>
        </w:rPr>
      </w:pPr>
      <w:r>
        <w:rPr>
          <w:rFonts w:ascii="Times New Roman" w:hAnsi="Times New Roman"/>
          <w:sz w:val="21"/>
        </w:rPr>
        <w:t>Σε περίπτωση καταδικης, ο οικονομικός φορέας έχει λάβει μέτρα που</w:t>
      </w:r>
    </w:p>
    <w:p>
      <w:pPr>
        <w:pStyle w:val="Normal"/>
        <w:jc w:val="left"/>
        <w:rPr>
          <w:rFonts w:ascii="Times New Roman" w:hAnsi="Times New Roman"/>
        </w:rPr>
      </w:pPr>
      <w:r>
        <w:rPr>
          <w:rFonts w:ascii="Times New Roman" w:hAnsi="Times New Roman"/>
          <w:sz w:val="21"/>
        </w:rPr>
        <w:t>να αποδεικνύουν την αξιοπιστία του παρά την ύπαρξη σχετικού λόγου αποκλεισμού (“αυτοκάθαρση”);</w:t>
      </w:r>
    </w:p>
    <w:p>
      <w:pPr>
        <w:pStyle w:val="Normal"/>
        <w:jc w:val="left"/>
        <w:rPr>
          <w:rFonts w:ascii="Times New Roman" w:hAnsi="Times New Roman"/>
        </w:rPr>
      </w:pPr>
      <w:r>
        <w:rPr>
          <w:rFonts w:ascii="Times New Roman" w:hAnsi="Times New Roman"/>
          <w:sz w:val="21"/>
        </w:rPr>
        <w:t>Ναι / Όχι</w:t>
      </w:r>
    </w:p>
    <w:p>
      <w:pPr>
        <w:pStyle w:val="Normal"/>
        <w:jc w:val="left"/>
        <w:rPr>
          <w:rFonts w:ascii="Times New Roman" w:hAnsi="Times New Roman"/>
        </w:rPr>
      </w:pPr>
      <w:r>
        <w:rPr>
          <w:rFonts w:ascii="Times New Roman" w:hAnsi="Times New Roman"/>
          <w:sz w:val="21"/>
        </w:rPr>
        <w:t>Περιγράψτε τα μέτρα που λήφθηκαν</w:t>
      </w:r>
    </w:p>
    <w:p>
      <w:pPr>
        <w:pStyle w:val="Normal"/>
        <w:jc w:val="left"/>
        <w:rPr>
          <w:rFonts w:ascii="Times New Roman" w:hAnsi="Times New Roman"/>
        </w:rPr>
      </w:pPr>
      <w:r>
        <w:rPr>
          <w:rFonts w:ascii="Times New Roman" w:hAnsi="Times New Roman"/>
          <w:sz w:val="21"/>
        </w:rPr>
        <w:t>-</w:t>
      </w:r>
    </w:p>
    <w:p>
      <w:pPr>
        <w:pStyle w:val="Normal"/>
        <w:jc w:val="left"/>
        <w:rPr>
          <w:rFonts w:ascii="Times New Roman" w:hAnsi="Times New Roman"/>
        </w:rPr>
      </w:pPr>
      <w:r>
        <w:rPr>
          <w:rFonts w:ascii="Times New Roman" w:hAnsi="Times New Roman"/>
          <w:sz w:val="21"/>
        </w:rPr>
        <w:t>Εάν η σχετική τεκμηρίωση διατίθεται ηλεκτρονικά, αναφέρετε:</w:t>
      </w:r>
    </w:p>
    <w:p>
      <w:pPr>
        <w:pStyle w:val="Normal"/>
        <w:jc w:val="left"/>
        <w:rPr>
          <w:rFonts w:ascii="Times New Roman" w:hAnsi="Times New Roman"/>
        </w:rPr>
      </w:pPr>
      <w:r>
        <w:rPr>
          <w:rFonts w:ascii="Times New Roman" w:hAnsi="Times New Roman"/>
          <w:sz w:val="21"/>
        </w:rPr>
        <w:t>Ναι / Όχι</w:t>
      </w:r>
    </w:p>
    <w:p>
      <w:pPr>
        <w:pStyle w:val="Normal"/>
        <w:jc w:val="left"/>
        <w:rPr>
          <w:rFonts w:ascii="Times New Roman" w:hAnsi="Times New Roman"/>
        </w:rPr>
      </w:pPr>
      <w:r>
        <w:rPr>
          <w:rFonts w:ascii="Times New Roman" w:hAnsi="Times New Roman"/>
          <w:sz w:val="21"/>
        </w:rPr>
        <w:t>Διαδικτυακή Διεύθυνση</w:t>
      </w:r>
    </w:p>
    <w:p>
      <w:pPr>
        <w:pStyle w:val="Normal"/>
        <w:jc w:val="left"/>
        <w:rPr>
          <w:rFonts w:ascii="Times New Roman" w:hAnsi="Times New Roman"/>
        </w:rPr>
      </w:pPr>
      <w:r>
        <w:rPr>
          <w:rFonts w:ascii="Times New Roman" w:hAnsi="Times New Roman"/>
          <w:sz w:val="21"/>
        </w:rPr>
        <w:t>-</w:t>
      </w:r>
    </w:p>
    <w:p>
      <w:pPr>
        <w:pStyle w:val="Normal"/>
        <w:jc w:val="left"/>
        <w:rPr>
          <w:rFonts w:ascii="Times New Roman" w:hAnsi="Times New Roman"/>
        </w:rPr>
      </w:pPr>
      <w:r>
        <w:rPr>
          <w:rFonts w:ascii="Times New Roman" w:hAnsi="Times New Roman"/>
          <w:sz w:val="21"/>
        </w:rPr>
        <w:t>Επακριβή στοιχεία αναφοράς των εγγράφων</w:t>
      </w:r>
    </w:p>
    <w:p>
      <w:pPr>
        <w:pStyle w:val="Normal"/>
        <w:jc w:val="left"/>
        <w:rPr>
          <w:rFonts w:ascii="Times New Roman" w:hAnsi="Times New Roman"/>
        </w:rPr>
      </w:pPr>
      <w:r>
        <w:rPr>
          <w:rFonts w:ascii="Times New Roman" w:hAnsi="Times New Roman"/>
          <w:sz w:val="21"/>
        </w:rPr>
        <w:t>-</w:t>
      </w:r>
    </w:p>
    <w:p>
      <w:pPr>
        <w:pStyle w:val="Normal"/>
        <w:jc w:val="left"/>
        <w:rPr>
          <w:rFonts w:ascii="Times New Roman" w:hAnsi="Times New Roman"/>
        </w:rPr>
      </w:pPr>
      <w:r>
        <w:rPr>
          <w:rFonts w:ascii="Times New Roman" w:hAnsi="Times New Roman"/>
          <w:sz w:val="21"/>
        </w:rPr>
        <w:t>Αρχή ή Φορέας έκδοσης</w:t>
      </w:r>
    </w:p>
    <w:p>
      <w:pPr>
        <w:pStyle w:val="Normal"/>
        <w:jc w:val="left"/>
        <w:rPr>
          <w:rFonts w:ascii="Times New Roman" w:hAnsi="Times New Roman"/>
        </w:rPr>
      </w:pPr>
      <w:r>
        <w:rPr>
          <w:rFonts w:ascii="Times New Roman" w:hAnsi="Times New Roman"/>
          <w:sz w:val="21"/>
        </w:rPr>
        <w:t>-</w:t>
      </w:r>
    </w:p>
    <w:p>
      <w:pPr>
        <w:pStyle w:val="Normal"/>
        <w:jc w:val="left"/>
        <w:rPr>
          <w:rFonts w:ascii="Times New Roman" w:hAnsi="Times New Roman"/>
        </w:rPr>
      </w:pPr>
      <w:r>
        <w:rPr>
          <w:rFonts w:ascii="Times New Roman" w:hAnsi="Times New Roman"/>
          <w:sz w:val="21"/>
        </w:rPr>
        <w:t>Παιδική εργασία και άλλες μορφές εμπορίας ανθρώπων</w:t>
      </w:r>
    </w:p>
    <w:p>
      <w:pPr>
        <w:pStyle w:val="Normal"/>
        <w:jc w:val="left"/>
        <w:rPr>
          <w:rFonts w:ascii="Times New Roman" w:hAnsi="Times New Roman"/>
        </w:rPr>
      </w:pPr>
      <w:r>
        <w:rPr>
          <w:rFonts w:ascii="Times New Roman" w:hAnsi="Times New Roman"/>
          <w:sz w:val="21"/>
        </w:rPr>
        <w:t>Έχει ο ίδιος ο οικονομικός φορέας ή οποιοδήποτε πρόσωπο το οποίο είναι μέλος του</w:t>
      </w:r>
    </w:p>
    <w:p>
      <w:pPr>
        <w:pStyle w:val="Normal"/>
        <w:jc w:val="left"/>
        <w:rPr>
          <w:rFonts w:ascii="Times New Roman" w:hAnsi="Times New Roman"/>
        </w:rPr>
      </w:pPr>
      <w:r>
        <w:rPr>
          <w:rFonts w:ascii="Times New Roman" w:hAnsi="Times New Roman"/>
          <w:sz w:val="21"/>
        </w:rPr>
        <w:t>διοικητικού, διευθυντικού ή εποπτικού του οργάνου ή έχει εξουσία εκπροσώπησης,</w:t>
      </w:r>
    </w:p>
    <w:p>
      <w:pPr>
        <w:pStyle w:val="Normal"/>
        <w:jc w:val="left"/>
        <w:rPr>
          <w:rFonts w:ascii="Times New Roman" w:hAnsi="Times New Roman"/>
        </w:rPr>
      </w:pPr>
      <w:r>
        <w:rPr>
          <w:rFonts w:ascii="Times New Roman" w:hAnsi="Times New Roman"/>
          <w:sz w:val="21"/>
        </w:rPr>
        <w:t>λήψης αποφάσεων ή ελέγχου σε αυτό καταδικαστεί με τελεσίδικη απόφαση για έναν</w:t>
      </w:r>
    </w:p>
    <w:p>
      <w:pPr>
        <w:pStyle w:val="Normal"/>
        <w:jc w:val="left"/>
        <w:rPr>
          <w:rFonts w:ascii="Times New Roman" w:hAnsi="Times New Roman"/>
        </w:rPr>
      </w:pPr>
      <w:r>
        <w:rPr>
          <w:rFonts w:ascii="Times New Roman" w:hAnsi="Times New Roman"/>
          <w:sz w:val="21"/>
        </w:rPr>
        <w:t>από τους λόγους που παρατίθενται στο σχετικό θεσμικό πλαίσιο, η οποία έχει εκδοθεί</w:t>
      </w:r>
    </w:p>
    <w:p>
      <w:pPr>
        <w:pStyle w:val="Normal"/>
        <w:jc w:val="left"/>
        <w:rPr>
          <w:rFonts w:ascii="Times New Roman" w:hAnsi="Times New Roman"/>
        </w:rPr>
      </w:pPr>
      <w:r>
        <w:rPr>
          <w:rFonts w:ascii="Times New Roman" w:hAnsi="Times New Roman"/>
          <w:sz w:val="21"/>
        </w:rPr>
        <w:t>πριν από πέντε έτη κατά το μέγιστο ή στην οποία έχει οριστεί απευθείας περίοδος</w:t>
      </w:r>
    </w:p>
    <w:p>
      <w:pPr>
        <w:pStyle w:val="Normal"/>
        <w:jc w:val="left"/>
        <w:rPr>
          <w:rFonts w:ascii="Times New Roman" w:hAnsi="Times New Roman"/>
        </w:rPr>
      </w:pPr>
      <w:r>
        <w:rPr>
          <w:rFonts w:ascii="Times New Roman" w:hAnsi="Times New Roman"/>
          <w:sz w:val="21"/>
        </w:rPr>
        <w:t>αποκλεισμού που εξακολουθεί να ισχύει;</w:t>
      </w:r>
    </w:p>
    <w:p>
      <w:pPr>
        <w:pStyle w:val="Normal"/>
        <w:jc w:val="left"/>
        <w:rPr>
          <w:rFonts w:ascii="Times New Roman" w:hAnsi="Times New Roman"/>
        </w:rPr>
      </w:pPr>
      <w:r>
        <w:rPr>
          <w:rFonts w:ascii="Times New Roman" w:hAnsi="Times New Roman"/>
          <w:sz w:val="21"/>
        </w:rPr>
        <w:t>Απάντηση:</w:t>
      </w:r>
    </w:p>
    <w:p>
      <w:pPr>
        <w:pStyle w:val="Normal"/>
        <w:jc w:val="left"/>
        <w:rPr>
          <w:rFonts w:ascii="Times New Roman" w:hAnsi="Times New Roman"/>
        </w:rPr>
      </w:pPr>
      <w:r>
        <w:rPr>
          <w:rFonts w:ascii="Times New Roman" w:hAnsi="Times New Roman"/>
          <w:sz w:val="21"/>
        </w:rPr>
        <w:t>Ναι / Όχι</w:t>
      </w:r>
    </w:p>
    <w:p>
      <w:pPr>
        <w:pStyle w:val="Normal"/>
        <w:jc w:val="left"/>
        <w:rPr>
          <w:rFonts w:ascii="Times New Roman" w:hAnsi="Times New Roman"/>
        </w:rPr>
      </w:pPr>
      <w:r>
        <w:rPr>
          <w:rFonts w:ascii="Times New Roman" w:hAnsi="Times New Roman"/>
          <w:sz w:val="21"/>
        </w:rPr>
        <w:t>Ημερομηνία της καταδίκης</w:t>
      </w:r>
    </w:p>
    <w:p>
      <w:pPr>
        <w:pStyle w:val="Normal"/>
        <w:jc w:val="left"/>
        <w:rPr>
          <w:rFonts w:ascii="Times New Roman" w:hAnsi="Times New Roman"/>
        </w:rPr>
      </w:pPr>
      <w:r>
        <w:rPr>
          <w:rFonts w:ascii="Times New Roman" w:hAnsi="Times New Roman"/>
          <w:sz w:val="21"/>
        </w:rPr>
        <w:t>..</w:t>
      </w:r>
    </w:p>
    <w:p>
      <w:pPr>
        <w:pStyle w:val="Normal"/>
        <w:jc w:val="left"/>
        <w:rPr>
          <w:rFonts w:ascii="Times New Roman" w:hAnsi="Times New Roman"/>
        </w:rPr>
      </w:pPr>
      <w:r>
        <w:rPr>
          <w:rFonts w:ascii="Times New Roman" w:hAnsi="Times New Roman"/>
          <w:sz w:val="21"/>
        </w:rPr>
        <w:t>Λόγος(-οι)</w:t>
      </w:r>
    </w:p>
    <w:p>
      <w:pPr>
        <w:pStyle w:val="Normal"/>
        <w:jc w:val="left"/>
        <w:rPr>
          <w:rFonts w:ascii="Times New Roman" w:hAnsi="Times New Roman"/>
        </w:rPr>
      </w:pPr>
      <w:r>
        <w:rPr>
          <w:rFonts w:ascii="Times New Roman" w:hAnsi="Times New Roman"/>
          <w:sz w:val="21"/>
        </w:rPr>
        <w:t>-</w:t>
      </w:r>
    </w:p>
    <w:p>
      <w:pPr>
        <w:pStyle w:val="Normal"/>
        <w:jc w:val="left"/>
        <w:rPr>
          <w:rFonts w:ascii="Times New Roman" w:hAnsi="Times New Roman"/>
        </w:rPr>
      </w:pPr>
      <w:r>
        <w:rPr>
          <w:rFonts w:ascii="Times New Roman" w:hAnsi="Times New Roman"/>
          <w:sz w:val="21"/>
        </w:rPr>
        <w:t>Προσδιορίστε ποιος έχει καταδικαστεί</w:t>
      </w:r>
    </w:p>
    <w:p>
      <w:pPr>
        <w:pStyle w:val="Normal"/>
        <w:jc w:val="left"/>
        <w:rPr>
          <w:rFonts w:ascii="Times New Roman" w:hAnsi="Times New Roman"/>
        </w:rPr>
      </w:pPr>
      <w:r>
        <w:rPr>
          <w:rFonts w:ascii="Times New Roman" w:hAnsi="Times New Roman"/>
          <w:sz w:val="21"/>
        </w:rPr>
        <w:t>-</w:t>
      </w:r>
    </w:p>
    <w:p>
      <w:pPr>
        <w:pStyle w:val="Normal"/>
        <w:jc w:val="left"/>
        <w:rPr>
          <w:rFonts w:ascii="Times New Roman" w:hAnsi="Times New Roman"/>
        </w:rPr>
      </w:pPr>
      <w:r>
        <w:rPr>
          <w:rFonts w:ascii="Times New Roman" w:hAnsi="Times New Roman"/>
          <w:sz w:val="21"/>
        </w:rPr>
        <w:t>Εφόσον καθορίζεται απευθείας στην καταδικαστική απόφαση, διάρκεια</w:t>
      </w:r>
    </w:p>
    <w:p>
      <w:pPr>
        <w:pStyle w:val="Normal"/>
        <w:jc w:val="left"/>
        <w:rPr>
          <w:rFonts w:ascii="Times New Roman" w:hAnsi="Times New Roman"/>
        </w:rPr>
      </w:pPr>
      <w:r>
        <w:rPr>
          <w:rFonts w:ascii="Times New Roman" w:hAnsi="Times New Roman"/>
          <w:sz w:val="21"/>
        </w:rPr>
        <w:t>της περιόδου αποκλεισμού και σχετικό(-ά) σημείο(-α)</w:t>
      </w:r>
    </w:p>
    <w:p>
      <w:pPr>
        <w:pStyle w:val="Normal"/>
        <w:jc w:val="left"/>
        <w:rPr>
          <w:rFonts w:ascii="Times New Roman" w:hAnsi="Times New Roman"/>
        </w:rPr>
      </w:pPr>
      <w:r>
        <w:rPr>
          <w:rFonts w:ascii="Times New Roman" w:hAnsi="Times New Roman"/>
          <w:sz w:val="21"/>
        </w:rPr>
        <w:t>-</w:t>
      </w:r>
    </w:p>
    <w:p>
      <w:pPr>
        <w:pStyle w:val="Normal"/>
        <w:jc w:val="left"/>
        <w:rPr>
          <w:rFonts w:ascii="Times New Roman" w:hAnsi="Times New Roman"/>
        </w:rPr>
      </w:pPr>
      <w:r>
        <w:rPr>
          <w:rFonts w:ascii="Times New Roman" w:hAnsi="Times New Roman"/>
          <w:sz w:val="21"/>
        </w:rPr>
        <w:t>Σε περίπτωση καταδικης, ο οικονομικός φορέας έχει λάβει μέτρα που</w:t>
      </w:r>
    </w:p>
    <w:p>
      <w:pPr>
        <w:pStyle w:val="Normal"/>
        <w:jc w:val="left"/>
        <w:rPr>
          <w:rFonts w:ascii="Times New Roman" w:hAnsi="Times New Roman"/>
        </w:rPr>
      </w:pPr>
      <w:r>
        <w:rPr>
          <w:rFonts w:ascii="Times New Roman" w:hAnsi="Times New Roman"/>
          <w:sz w:val="21"/>
        </w:rPr>
        <w:t>να αποδεικνύουν την αξιοπιστία του παρά την ύπαρξη σχετικού λόγου αποκλεισμού (“αυτοκάθαρση”);</w:t>
      </w:r>
    </w:p>
    <w:p>
      <w:pPr>
        <w:pStyle w:val="Normal"/>
        <w:jc w:val="left"/>
        <w:rPr>
          <w:rFonts w:ascii="Times New Roman" w:hAnsi="Times New Roman"/>
        </w:rPr>
      </w:pPr>
      <w:r>
        <w:rPr>
          <w:rFonts w:ascii="Times New Roman" w:hAnsi="Times New Roman"/>
          <w:sz w:val="21"/>
        </w:rPr>
        <w:t>Ναι / Όχι</w:t>
      </w:r>
    </w:p>
    <w:p>
      <w:pPr>
        <w:pStyle w:val="Normal"/>
        <w:jc w:val="left"/>
        <w:rPr>
          <w:rFonts w:ascii="Times New Roman" w:hAnsi="Times New Roman"/>
        </w:rPr>
      </w:pPr>
      <w:r>
        <w:rPr>
          <w:rFonts w:ascii="Times New Roman" w:hAnsi="Times New Roman"/>
          <w:sz w:val="21"/>
        </w:rPr>
        <w:t>Περιγράψτε τα μέτρα που λήφθηκαν</w:t>
      </w:r>
    </w:p>
    <w:p>
      <w:pPr>
        <w:pStyle w:val="Normal"/>
        <w:jc w:val="left"/>
        <w:rPr>
          <w:rFonts w:ascii="Times New Roman" w:hAnsi="Times New Roman"/>
        </w:rPr>
      </w:pPr>
      <w:r>
        <w:rPr>
          <w:rFonts w:ascii="Times New Roman" w:hAnsi="Times New Roman"/>
          <w:sz w:val="21"/>
        </w:rPr>
        <w:t>-</w:t>
      </w:r>
    </w:p>
    <w:p>
      <w:pPr>
        <w:pStyle w:val="Normal"/>
        <w:jc w:val="left"/>
        <w:rPr>
          <w:rFonts w:ascii="Times New Roman" w:hAnsi="Times New Roman"/>
        </w:rPr>
      </w:pPr>
      <w:r>
        <w:rPr>
          <w:rFonts w:ascii="Times New Roman" w:hAnsi="Times New Roman"/>
          <w:sz w:val="21"/>
        </w:rPr>
        <w:t>Εάν η σχετική τεκμηρίωση διατίθεται ηλεκτρονικά, αναφέρετε:</w:t>
      </w:r>
    </w:p>
    <w:p>
      <w:pPr>
        <w:pStyle w:val="Normal"/>
        <w:jc w:val="left"/>
        <w:rPr>
          <w:rFonts w:ascii="Times New Roman" w:hAnsi="Times New Roman"/>
        </w:rPr>
      </w:pPr>
      <w:r>
        <w:rPr>
          <w:rFonts w:ascii="Times New Roman" w:hAnsi="Times New Roman"/>
          <w:sz w:val="21"/>
        </w:rPr>
        <w:t>Ναι / Όχι</w:t>
      </w:r>
    </w:p>
    <w:p>
      <w:pPr>
        <w:pStyle w:val="Normal"/>
        <w:jc w:val="left"/>
        <w:rPr>
          <w:rFonts w:ascii="Times New Roman" w:hAnsi="Times New Roman"/>
        </w:rPr>
      </w:pPr>
      <w:r>
        <w:rPr>
          <w:rFonts w:ascii="Times New Roman" w:hAnsi="Times New Roman"/>
          <w:sz w:val="21"/>
        </w:rPr>
        <w:t>Διαδικτυακή Διεύθυνση</w:t>
      </w:r>
    </w:p>
    <w:p>
      <w:pPr>
        <w:pStyle w:val="Normal"/>
        <w:jc w:val="left"/>
        <w:rPr>
          <w:rFonts w:ascii="Times New Roman" w:hAnsi="Times New Roman"/>
        </w:rPr>
      </w:pPr>
      <w:r>
        <w:rPr>
          <w:rFonts w:ascii="Times New Roman" w:hAnsi="Times New Roman"/>
          <w:sz w:val="21"/>
        </w:rPr>
        <w:t>-</w:t>
      </w:r>
    </w:p>
    <w:p>
      <w:pPr>
        <w:pStyle w:val="Normal"/>
        <w:jc w:val="left"/>
        <w:rPr>
          <w:rFonts w:ascii="Times New Roman" w:hAnsi="Times New Roman"/>
        </w:rPr>
      </w:pPr>
      <w:r>
        <w:rPr>
          <w:rFonts w:ascii="Times New Roman" w:hAnsi="Times New Roman"/>
          <w:sz w:val="21"/>
        </w:rPr>
        <w:t>Επακριβή στοιχεία αναφοράς των εγγράφων</w:t>
      </w:r>
    </w:p>
    <w:p>
      <w:pPr>
        <w:pStyle w:val="Normal"/>
        <w:jc w:val="left"/>
        <w:rPr>
          <w:rFonts w:ascii="Times New Roman" w:hAnsi="Times New Roman"/>
        </w:rPr>
      </w:pPr>
      <w:r>
        <w:rPr>
          <w:rFonts w:ascii="Times New Roman" w:hAnsi="Times New Roman"/>
          <w:sz w:val="21"/>
        </w:rPr>
        <w:t>-</w:t>
      </w:r>
    </w:p>
    <w:p>
      <w:pPr>
        <w:pStyle w:val="Normal"/>
        <w:jc w:val="left"/>
        <w:rPr>
          <w:rFonts w:ascii="Times New Roman" w:hAnsi="Times New Roman"/>
        </w:rPr>
      </w:pPr>
      <w:r>
        <w:rPr>
          <w:rFonts w:ascii="Times New Roman" w:hAnsi="Times New Roman"/>
          <w:sz w:val="21"/>
        </w:rPr>
        <w:t>Αρχή ή Φορέας έκδοσης</w:t>
      </w:r>
    </w:p>
    <w:p>
      <w:pPr>
        <w:pStyle w:val="Normal"/>
        <w:jc w:val="left"/>
        <w:rPr>
          <w:rFonts w:ascii="Times New Roman" w:hAnsi="Times New Roman"/>
        </w:rPr>
      </w:pPr>
      <w:r>
        <w:rPr>
          <w:rFonts w:ascii="Times New Roman" w:hAnsi="Times New Roman"/>
          <w:sz w:val="21"/>
        </w:rPr>
        <w:t>-</w:t>
      </w:r>
    </w:p>
    <w:p>
      <w:pPr>
        <w:pStyle w:val="Normal"/>
        <w:jc w:val="left"/>
        <w:rPr>
          <w:rFonts w:ascii="Times New Roman" w:hAnsi="Times New Roman"/>
        </w:rPr>
      </w:pPr>
      <w:r>
        <w:rPr>
          <w:rFonts w:ascii="Times New Roman" w:hAnsi="Times New Roman"/>
          <w:sz w:val="21"/>
        </w:rPr>
        <w:t>Β: Λόγοι που σχετίζονται με την καταβολή φόρων ή εισφορών κοινωνικής ασφάλισης</w:t>
      </w:r>
    </w:p>
    <w:p>
      <w:pPr>
        <w:pStyle w:val="Normal"/>
        <w:jc w:val="left"/>
        <w:rPr>
          <w:rFonts w:ascii="Times New Roman" w:hAnsi="Times New Roman"/>
        </w:rPr>
      </w:pPr>
      <w:r>
        <w:rPr>
          <w:rFonts w:ascii="Times New Roman" w:hAnsi="Times New Roman"/>
          <w:sz w:val="21"/>
        </w:rPr>
        <w:t>Καταβολή φόρων ή εισφορών κοινωνικής ασφάλισης:</w:t>
      </w:r>
    </w:p>
    <w:p>
      <w:pPr>
        <w:pStyle w:val="Normal"/>
        <w:jc w:val="left"/>
        <w:rPr>
          <w:rFonts w:ascii="Times New Roman" w:hAnsi="Times New Roman"/>
        </w:rPr>
      </w:pPr>
      <w:r>
        <w:rPr>
          <w:rFonts w:ascii="Times New Roman" w:hAnsi="Times New Roman"/>
          <w:sz w:val="21"/>
        </w:rPr>
        <w:t>Καταβολή φόρων</w:t>
      </w:r>
    </w:p>
    <w:p>
      <w:pPr>
        <w:pStyle w:val="Normal"/>
        <w:jc w:val="left"/>
        <w:rPr>
          <w:rFonts w:ascii="Times New Roman" w:hAnsi="Times New Roman"/>
        </w:rPr>
      </w:pPr>
      <w:r>
        <w:rPr>
          <w:rFonts w:ascii="Times New Roman" w:hAnsi="Times New Roman"/>
          <w:sz w:val="21"/>
        </w:rPr>
        <w:t>Ο οικονομικός φορέας έχει ανεκπλήρωτες υποχρεώσεις όσον αφορά την καταβολή</w:t>
      </w:r>
    </w:p>
    <w:p>
      <w:pPr>
        <w:pStyle w:val="Normal"/>
        <w:jc w:val="left"/>
        <w:rPr>
          <w:rFonts w:ascii="Times New Roman" w:hAnsi="Times New Roman"/>
        </w:rPr>
      </w:pPr>
      <w:r>
        <w:rPr>
          <w:rFonts w:ascii="Times New Roman" w:hAnsi="Times New Roman"/>
          <w:sz w:val="21"/>
        </w:rPr>
        <w:t>φόρων, τόσο στη χώρα στην οποία είναι εγκατεστημένος όσο και στο κράτος μέλος της</w:t>
      </w:r>
    </w:p>
    <w:p>
      <w:pPr>
        <w:pStyle w:val="Normal"/>
        <w:jc w:val="left"/>
        <w:rPr>
          <w:rFonts w:ascii="Times New Roman" w:hAnsi="Times New Roman"/>
        </w:rPr>
      </w:pPr>
      <w:r>
        <w:rPr>
          <w:rFonts w:ascii="Times New Roman" w:hAnsi="Times New Roman"/>
          <w:sz w:val="21"/>
        </w:rPr>
        <w:t>αναθέτουσας αρχής ή του αναθέτοντα φορέα, εάν είναι άλλο από τη χώρα εγκατάστασης;</w:t>
      </w:r>
    </w:p>
    <w:p>
      <w:pPr>
        <w:pStyle w:val="Normal"/>
        <w:jc w:val="left"/>
        <w:rPr>
          <w:rFonts w:ascii="Times New Roman" w:hAnsi="Times New Roman"/>
        </w:rPr>
      </w:pPr>
      <w:r>
        <w:rPr>
          <w:rFonts w:ascii="Times New Roman" w:hAnsi="Times New Roman"/>
          <w:sz w:val="21"/>
        </w:rPr>
        <w:t>Απάντηση:</w:t>
      </w:r>
    </w:p>
    <w:p>
      <w:pPr>
        <w:pStyle w:val="Normal"/>
        <w:jc w:val="left"/>
        <w:rPr>
          <w:rFonts w:ascii="Times New Roman" w:hAnsi="Times New Roman"/>
        </w:rPr>
      </w:pPr>
      <w:r>
        <w:rPr>
          <w:rFonts w:ascii="Times New Roman" w:hAnsi="Times New Roman"/>
          <w:sz w:val="21"/>
        </w:rPr>
        <w:t>Ναι / Όχι</w:t>
      </w:r>
    </w:p>
    <w:p>
      <w:pPr>
        <w:pStyle w:val="Normal"/>
        <w:jc w:val="left"/>
        <w:rPr>
          <w:rFonts w:ascii="Times New Roman" w:hAnsi="Times New Roman"/>
        </w:rPr>
      </w:pPr>
      <w:r>
        <w:rPr>
          <w:rFonts w:ascii="Times New Roman" w:hAnsi="Times New Roman"/>
          <w:sz w:val="21"/>
        </w:rPr>
        <w:t>Χώρα ή κράτος μέλος για το οποίο πρόκειται</w:t>
      </w:r>
    </w:p>
    <w:p>
      <w:pPr>
        <w:pStyle w:val="Normal"/>
        <w:jc w:val="left"/>
        <w:rPr>
          <w:rFonts w:ascii="Times New Roman" w:hAnsi="Times New Roman"/>
        </w:rPr>
      </w:pPr>
      <w:r>
        <w:rPr>
          <w:rFonts w:ascii="Times New Roman" w:hAnsi="Times New Roman"/>
          <w:sz w:val="21"/>
        </w:rPr>
        <w:t>-</w:t>
      </w:r>
    </w:p>
    <w:p>
      <w:pPr>
        <w:pStyle w:val="Normal"/>
        <w:jc w:val="left"/>
        <w:rPr>
          <w:rFonts w:ascii="Times New Roman" w:hAnsi="Times New Roman"/>
        </w:rPr>
      </w:pPr>
      <w:r>
        <w:rPr>
          <w:rFonts w:ascii="Times New Roman" w:hAnsi="Times New Roman"/>
          <w:sz w:val="21"/>
        </w:rPr>
        <w:t>Ενεχόμενο ποσό</w:t>
      </w:r>
    </w:p>
    <w:p>
      <w:pPr>
        <w:pStyle w:val="Normal"/>
        <w:jc w:val="left"/>
        <w:rPr>
          <w:rFonts w:ascii="Times New Roman" w:hAnsi="Times New Roman"/>
        </w:rPr>
      </w:pPr>
      <w:r>
        <w:rPr>
          <w:rFonts w:ascii="Times New Roman" w:hAnsi="Times New Roman"/>
          <w:sz w:val="21"/>
        </w:rPr>
        <w:t>Με άλλα μέσα; Διευκρινίστε:</w:t>
      </w:r>
    </w:p>
    <w:p>
      <w:pPr>
        <w:pStyle w:val="Normal"/>
        <w:jc w:val="left"/>
        <w:rPr>
          <w:rFonts w:ascii="Times New Roman" w:hAnsi="Times New Roman"/>
        </w:rPr>
      </w:pPr>
      <w:r>
        <w:rPr>
          <w:rFonts w:ascii="Times New Roman" w:hAnsi="Times New Roman"/>
          <w:sz w:val="21"/>
        </w:rPr>
        <w:t>Ναι / Όχι</w:t>
      </w:r>
    </w:p>
    <w:p>
      <w:pPr>
        <w:pStyle w:val="Normal"/>
        <w:jc w:val="left"/>
        <w:rPr>
          <w:rFonts w:ascii="Times New Roman" w:hAnsi="Times New Roman"/>
        </w:rPr>
      </w:pPr>
      <w:r>
        <w:rPr>
          <w:rFonts w:ascii="Times New Roman" w:hAnsi="Times New Roman"/>
          <w:sz w:val="21"/>
        </w:rPr>
        <w:t>Διευκρινίστε:</w:t>
      </w:r>
    </w:p>
    <w:p>
      <w:pPr>
        <w:pStyle w:val="Normal"/>
        <w:jc w:val="left"/>
        <w:rPr>
          <w:rFonts w:ascii="Times New Roman" w:hAnsi="Times New Roman"/>
        </w:rPr>
      </w:pPr>
      <w:r>
        <w:rPr>
          <w:rFonts w:ascii="Times New Roman" w:hAnsi="Times New Roman"/>
          <w:sz w:val="21"/>
        </w:rPr>
        <w:t>-</w:t>
      </w:r>
    </w:p>
    <w:p>
      <w:pPr>
        <w:pStyle w:val="Normal"/>
        <w:jc w:val="left"/>
        <w:rPr>
          <w:rFonts w:ascii="Times New Roman" w:hAnsi="Times New Roman"/>
        </w:rPr>
      </w:pPr>
      <w:r>
        <w:rPr>
          <w:rFonts w:ascii="Times New Roman" w:hAnsi="Times New Roman"/>
          <w:sz w:val="21"/>
        </w:rPr>
        <w:t>Ο οικονομικός φορέας έχει εκπληρώσει τις υποχρεώσεις του, είτε</w:t>
      </w:r>
    </w:p>
    <w:p>
      <w:pPr>
        <w:pStyle w:val="Normal"/>
        <w:jc w:val="left"/>
        <w:rPr>
          <w:rFonts w:ascii="Times New Roman" w:hAnsi="Times New Roman"/>
        </w:rPr>
      </w:pPr>
      <w:r>
        <w:rPr>
          <w:rFonts w:ascii="Times New Roman" w:hAnsi="Times New Roman"/>
          <w:sz w:val="21"/>
        </w:rPr>
        <w:t>καταβάλλοντας τους φόρους ή τις εισφορές κοινωνικής</w:t>
      </w:r>
    </w:p>
    <w:p>
      <w:pPr>
        <w:pStyle w:val="Normal"/>
        <w:jc w:val="left"/>
        <w:rPr>
          <w:rFonts w:ascii="Times New Roman" w:hAnsi="Times New Roman"/>
        </w:rPr>
      </w:pPr>
      <w:r>
        <w:rPr>
          <w:rFonts w:ascii="Times New Roman" w:hAnsi="Times New Roman"/>
          <w:sz w:val="21"/>
        </w:rPr>
        <w:t>ασφάλισης που οφείλει, συμπεριλαμβανομένων, κατά περίπτωση,</w:t>
      </w:r>
    </w:p>
    <w:p>
      <w:pPr>
        <w:pStyle w:val="Normal"/>
        <w:jc w:val="left"/>
        <w:rPr>
          <w:rFonts w:ascii="Times New Roman" w:hAnsi="Times New Roman"/>
        </w:rPr>
      </w:pPr>
      <w:r>
        <w:rPr>
          <w:rFonts w:ascii="Times New Roman" w:hAnsi="Times New Roman"/>
          <w:sz w:val="21"/>
        </w:rPr>
        <w:t>των δεδουλευμένων τόκων ή των προστίμων, είτε υπαγόμενος σε</w:t>
      </w:r>
    </w:p>
    <w:p>
      <w:pPr>
        <w:pStyle w:val="Normal"/>
        <w:jc w:val="left"/>
        <w:rPr>
          <w:rFonts w:ascii="Times New Roman" w:hAnsi="Times New Roman"/>
        </w:rPr>
      </w:pPr>
      <w:r>
        <w:rPr>
          <w:rFonts w:ascii="Times New Roman" w:hAnsi="Times New Roman"/>
          <w:sz w:val="21"/>
        </w:rPr>
        <w:t>δεσμευτικό διακανονισμό για την καταβολή τους;</w:t>
      </w:r>
    </w:p>
    <w:p>
      <w:pPr>
        <w:pStyle w:val="Normal"/>
        <w:jc w:val="left"/>
        <w:rPr>
          <w:rFonts w:ascii="Times New Roman" w:hAnsi="Times New Roman"/>
        </w:rPr>
      </w:pPr>
      <w:r>
        <w:rPr>
          <w:rFonts w:ascii="Times New Roman" w:hAnsi="Times New Roman"/>
          <w:sz w:val="21"/>
        </w:rPr>
        <w:t>Ναι / Όχι</w:t>
      </w:r>
    </w:p>
    <w:p>
      <w:pPr>
        <w:pStyle w:val="Normal"/>
        <w:jc w:val="left"/>
        <w:rPr>
          <w:rFonts w:ascii="Times New Roman" w:hAnsi="Times New Roman"/>
        </w:rPr>
      </w:pPr>
      <w:r>
        <w:rPr>
          <w:rFonts w:ascii="Times New Roman" w:hAnsi="Times New Roman"/>
          <w:sz w:val="21"/>
        </w:rPr>
        <w:t>Περιγράψτε τα μέτρα που λήφθηκαν</w:t>
      </w:r>
    </w:p>
    <w:p>
      <w:pPr>
        <w:pStyle w:val="Normal"/>
        <w:jc w:val="left"/>
        <w:rPr>
          <w:rFonts w:ascii="Times New Roman" w:hAnsi="Times New Roman"/>
        </w:rPr>
      </w:pPr>
      <w:r>
        <w:rPr>
          <w:rFonts w:ascii="Times New Roman" w:hAnsi="Times New Roman"/>
          <w:sz w:val="21"/>
        </w:rPr>
        <w:t>-</w:t>
      </w:r>
    </w:p>
    <w:p>
      <w:pPr>
        <w:pStyle w:val="Normal"/>
        <w:jc w:val="left"/>
        <w:rPr>
          <w:rFonts w:ascii="Times New Roman" w:hAnsi="Times New Roman"/>
        </w:rPr>
      </w:pPr>
      <w:r>
        <w:rPr>
          <w:rFonts w:ascii="Times New Roman" w:hAnsi="Times New Roman"/>
          <w:sz w:val="21"/>
        </w:rPr>
        <w:t>H εν λόγω απόφαση είναι τελεσίδικη και δεσμευτική;</w:t>
      </w:r>
    </w:p>
    <w:p>
      <w:pPr>
        <w:pStyle w:val="Normal"/>
        <w:jc w:val="left"/>
        <w:rPr>
          <w:rFonts w:ascii="Times New Roman" w:hAnsi="Times New Roman"/>
        </w:rPr>
      </w:pPr>
      <w:r>
        <w:rPr>
          <w:rFonts w:ascii="Times New Roman" w:hAnsi="Times New Roman"/>
          <w:sz w:val="21"/>
        </w:rPr>
        <w:t>Ναι / Όχι</w:t>
      </w:r>
    </w:p>
    <w:p>
      <w:pPr>
        <w:pStyle w:val="Normal"/>
        <w:jc w:val="left"/>
        <w:rPr>
          <w:rFonts w:ascii="Times New Roman" w:hAnsi="Times New Roman"/>
        </w:rPr>
      </w:pPr>
      <w:r>
        <w:rPr>
          <w:rFonts w:ascii="Times New Roman" w:hAnsi="Times New Roman"/>
          <w:sz w:val="21"/>
        </w:rPr>
        <w:t>..</w:t>
      </w:r>
    </w:p>
    <w:p>
      <w:pPr>
        <w:pStyle w:val="Normal"/>
        <w:jc w:val="left"/>
        <w:rPr>
          <w:rFonts w:ascii="Times New Roman" w:hAnsi="Times New Roman"/>
        </w:rPr>
      </w:pPr>
      <w:r>
        <w:rPr>
          <w:rFonts w:ascii="Times New Roman" w:hAnsi="Times New Roman"/>
          <w:sz w:val="21"/>
        </w:rPr>
        <w:t>Σε περίπτωση καταδικαστικής απόφασης, εφόσον ορίζεται</w:t>
      </w:r>
    </w:p>
    <w:p>
      <w:pPr>
        <w:pStyle w:val="Normal"/>
        <w:jc w:val="left"/>
        <w:rPr>
          <w:rFonts w:ascii="Times New Roman" w:hAnsi="Times New Roman"/>
        </w:rPr>
      </w:pPr>
      <w:r>
        <w:rPr>
          <w:rFonts w:ascii="Times New Roman" w:hAnsi="Times New Roman"/>
          <w:sz w:val="21"/>
        </w:rPr>
        <w:t>απευθείας σε αυτήν, η διάρκεια της περιόδου αποκλεισμού:</w:t>
      </w:r>
    </w:p>
    <w:p>
      <w:pPr>
        <w:pStyle w:val="Normal"/>
        <w:jc w:val="left"/>
        <w:rPr>
          <w:rFonts w:ascii="Times New Roman" w:hAnsi="Times New Roman"/>
        </w:rPr>
      </w:pPr>
      <w:r>
        <w:rPr>
          <w:rFonts w:ascii="Times New Roman" w:hAnsi="Times New Roman"/>
          <w:sz w:val="21"/>
        </w:rPr>
        <w:t>-</w:t>
      </w:r>
    </w:p>
    <w:p>
      <w:pPr>
        <w:pStyle w:val="Normal"/>
        <w:jc w:val="left"/>
        <w:rPr>
          <w:rFonts w:ascii="Times New Roman" w:hAnsi="Times New Roman"/>
        </w:rPr>
      </w:pPr>
      <w:r>
        <w:rPr>
          <w:rFonts w:ascii="Times New Roman" w:hAnsi="Times New Roman"/>
          <w:sz w:val="21"/>
        </w:rPr>
        <w:t>Εάν η σχετική τεκμηρίωση διατίθεται ηλεκτρονικά, αναφέρετε:</w:t>
      </w:r>
    </w:p>
    <w:p>
      <w:pPr>
        <w:pStyle w:val="Normal"/>
        <w:jc w:val="left"/>
        <w:rPr>
          <w:rFonts w:ascii="Times New Roman" w:hAnsi="Times New Roman"/>
        </w:rPr>
      </w:pPr>
      <w:r>
        <w:rPr>
          <w:rFonts w:ascii="Times New Roman" w:hAnsi="Times New Roman"/>
          <w:sz w:val="21"/>
        </w:rPr>
        <w:t>Ναι / Όχι</w:t>
      </w:r>
    </w:p>
    <w:p>
      <w:pPr>
        <w:pStyle w:val="Normal"/>
        <w:jc w:val="left"/>
        <w:rPr>
          <w:rFonts w:ascii="Times New Roman" w:hAnsi="Times New Roman"/>
        </w:rPr>
      </w:pPr>
      <w:r>
        <w:rPr>
          <w:rFonts w:ascii="Times New Roman" w:hAnsi="Times New Roman"/>
          <w:sz w:val="21"/>
        </w:rPr>
        <w:t>Διαδικτυακή Διεύθυνση</w:t>
      </w:r>
    </w:p>
    <w:p>
      <w:pPr>
        <w:pStyle w:val="Normal"/>
        <w:jc w:val="left"/>
        <w:rPr>
          <w:rFonts w:ascii="Times New Roman" w:hAnsi="Times New Roman"/>
        </w:rPr>
      </w:pPr>
      <w:r>
        <w:rPr>
          <w:rFonts w:ascii="Times New Roman" w:hAnsi="Times New Roman"/>
          <w:sz w:val="21"/>
        </w:rPr>
        <w:t>-</w:t>
      </w:r>
    </w:p>
    <w:p>
      <w:pPr>
        <w:pStyle w:val="Normal"/>
        <w:jc w:val="left"/>
        <w:rPr>
          <w:rFonts w:ascii="Times New Roman" w:hAnsi="Times New Roman"/>
        </w:rPr>
      </w:pPr>
      <w:r>
        <w:rPr>
          <w:rFonts w:ascii="Times New Roman" w:hAnsi="Times New Roman"/>
          <w:sz w:val="21"/>
        </w:rPr>
        <w:t>Επακριβή στοιχεία αναφοράς των εγγράφων</w:t>
      </w:r>
    </w:p>
    <w:p>
      <w:pPr>
        <w:pStyle w:val="Normal"/>
        <w:jc w:val="left"/>
        <w:rPr>
          <w:rFonts w:ascii="Times New Roman" w:hAnsi="Times New Roman"/>
        </w:rPr>
      </w:pPr>
      <w:r>
        <w:rPr>
          <w:rFonts w:ascii="Times New Roman" w:hAnsi="Times New Roman"/>
          <w:sz w:val="21"/>
        </w:rPr>
        <w:t>-</w:t>
      </w:r>
    </w:p>
    <w:p>
      <w:pPr>
        <w:pStyle w:val="Normal"/>
        <w:jc w:val="left"/>
        <w:rPr>
          <w:rFonts w:ascii="Times New Roman" w:hAnsi="Times New Roman"/>
        </w:rPr>
      </w:pPr>
      <w:r>
        <w:rPr>
          <w:rFonts w:ascii="Times New Roman" w:hAnsi="Times New Roman"/>
          <w:sz w:val="21"/>
        </w:rPr>
        <w:t>Αρχή ή Φορέας έκδοσης</w:t>
      </w:r>
    </w:p>
    <w:p>
      <w:pPr>
        <w:pStyle w:val="Normal"/>
        <w:jc w:val="left"/>
        <w:rPr>
          <w:rFonts w:ascii="Times New Roman" w:hAnsi="Times New Roman"/>
        </w:rPr>
      </w:pPr>
      <w:r>
        <w:rPr>
          <w:rFonts w:ascii="Times New Roman" w:hAnsi="Times New Roman"/>
          <w:sz w:val="21"/>
        </w:rPr>
        <w:t>-</w:t>
      </w:r>
    </w:p>
    <w:p>
      <w:pPr>
        <w:pStyle w:val="Normal"/>
        <w:jc w:val="left"/>
        <w:rPr>
          <w:rFonts w:ascii="Times New Roman" w:hAnsi="Times New Roman"/>
        </w:rPr>
      </w:pPr>
      <w:r>
        <w:rPr>
          <w:rFonts w:ascii="Times New Roman" w:hAnsi="Times New Roman"/>
          <w:sz w:val="21"/>
        </w:rPr>
        <w:t>Καταβολή εισφορών κοινωνικής ασφάλισης</w:t>
      </w:r>
    </w:p>
    <w:p>
      <w:pPr>
        <w:pStyle w:val="Normal"/>
        <w:jc w:val="left"/>
        <w:rPr>
          <w:rFonts w:ascii="Times New Roman" w:hAnsi="Times New Roman"/>
        </w:rPr>
      </w:pPr>
      <w:r>
        <w:rPr>
          <w:rFonts w:ascii="Times New Roman" w:hAnsi="Times New Roman"/>
          <w:sz w:val="21"/>
        </w:rPr>
        <w:t>Ο οικονομικός φορέας έχει ανεκπλήρωτες υποχρεώσεις όσον αφορά την καταβολή</w:t>
      </w:r>
    </w:p>
    <w:p>
      <w:pPr>
        <w:pStyle w:val="Normal"/>
        <w:jc w:val="left"/>
        <w:rPr>
          <w:rFonts w:ascii="Times New Roman" w:hAnsi="Times New Roman"/>
        </w:rPr>
      </w:pPr>
      <w:r>
        <w:rPr>
          <w:rFonts w:ascii="Times New Roman" w:hAnsi="Times New Roman"/>
          <w:sz w:val="21"/>
        </w:rPr>
        <w:t>εισφορών κοινωνικής ασφάλισης, τόσο στη χώρα στην οποία είναι εγκατεστημένος όσο</w:t>
      </w:r>
    </w:p>
    <w:p>
      <w:pPr>
        <w:pStyle w:val="Normal"/>
        <w:jc w:val="left"/>
        <w:rPr>
          <w:rFonts w:ascii="Times New Roman" w:hAnsi="Times New Roman"/>
        </w:rPr>
      </w:pPr>
      <w:r>
        <w:rPr>
          <w:rFonts w:ascii="Times New Roman" w:hAnsi="Times New Roman"/>
          <w:sz w:val="21"/>
        </w:rPr>
        <w:t>και στο κράτος μέλος της αναθέτουσας αρχής ή του αναθέτοντα φορέα, εάν είναι άλλο από τη χώρα εγκατάστασης;</w:t>
      </w:r>
    </w:p>
    <w:p>
      <w:pPr>
        <w:pStyle w:val="Normal"/>
        <w:jc w:val="left"/>
        <w:rPr>
          <w:rFonts w:ascii="Times New Roman" w:hAnsi="Times New Roman"/>
        </w:rPr>
      </w:pPr>
      <w:r>
        <w:rPr>
          <w:rFonts w:ascii="Times New Roman" w:hAnsi="Times New Roman"/>
          <w:sz w:val="21"/>
        </w:rPr>
        <w:t>Απάντηση:</w:t>
      </w:r>
    </w:p>
    <w:p>
      <w:pPr>
        <w:pStyle w:val="Normal"/>
        <w:jc w:val="left"/>
        <w:rPr>
          <w:rFonts w:ascii="Times New Roman" w:hAnsi="Times New Roman"/>
        </w:rPr>
      </w:pPr>
      <w:r>
        <w:rPr>
          <w:rFonts w:ascii="Times New Roman" w:hAnsi="Times New Roman"/>
          <w:sz w:val="21"/>
        </w:rPr>
        <w:t>Ναι / Όχι</w:t>
      </w:r>
    </w:p>
    <w:p>
      <w:pPr>
        <w:pStyle w:val="Normal"/>
        <w:jc w:val="left"/>
        <w:rPr>
          <w:rFonts w:ascii="Times New Roman" w:hAnsi="Times New Roman"/>
        </w:rPr>
      </w:pPr>
      <w:r>
        <w:rPr>
          <w:rFonts w:ascii="Times New Roman" w:hAnsi="Times New Roman"/>
          <w:sz w:val="21"/>
        </w:rPr>
        <w:t>Χώρα ή κράτος μέλος για το οποίο πρόκειται</w:t>
      </w:r>
    </w:p>
    <w:p>
      <w:pPr>
        <w:pStyle w:val="Normal"/>
        <w:jc w:val="left"/>
        <w:rPr>
          <w:rFonts w:ascii="Times New Roman" w:hAnsi="Times New Roman"/>
        </w:rPr>
      </w:pPr>
      <w:r>
        <w:rPr>
          <w:rFonts w:ascii="Times New Roman" w:hAnsi="Times New Roman"/>
          <w:sz w:val="21"/>
        </w:rPr>
        <w:t>-</w:t>
      </w:r>
    </w:p>
    <w:p>
      <w:pPr>
        <w:pStyle w:val="Normal"/>
        <w:jc w:val="left"/>
        <w:rPr>
          <w:rFonts w:ascii="Times New Roman" w:hAnsi="Times New Roman"/>
        </w:rPr>
      </w:pPr>
      <w:r>
        <w:rPr>
          <w:rFonts w:ascii="Times New Roman" w:hAnsi="Times New Roman"/>
          <w:sz w:val="21"/>
        </w:rPr>
        <w:t>Ενεχόμενο ποσό</w:t>
      </w:r>
    </w:p>
    <w:p>
      <w:pPr>
        <w:pStyle w:val="Normal"/>
        <w:jc w:val="left"/>
        <w:rPr>
          <w:rFonts w:ascii="Times New Roman" w:hAnsi="Times New Roman"/>
        </w:rPr>
      </w:pPr>
      <w:r>
        <w:rPr>
          <w:rFonts w:ascii="Times New Roman" w:hAnsi="Times New Roman"/>
          <w:sz w:val="21"/>
        </w:rPr>
        <w:t>Με άλλα μέσα; Διευκρινίστε:</w:t>
      </w:r>
    </w:p>
    <w:p>
      <w:pPr>
        <w:pStyle w:val="Normal"/>
        <w:jc w:val="left"/>
        <w:rPr>
          <w:rFonts w:ascii="Times New Roman" w:hAnsi="Times New Roman"/>
        </w:rPr>
      </w:pPr>
      <w:r>
        <w:rPr>
          <w:rFonts w:ascii="Times New Roman" w:hAnsi="Times New Roman"/>
          <w:sz w:val="21"/>
        </w:rPr>
        <w:t>Ναι / Όχι</w:t>
      </w:r>
    </w:p>
    <w:p>
      <w:pPr>
        <w:pStyle w:val="Normal"/>
        <w:jc w:val="left"/>
        <w:rPr>
          <w:rFonts w:ascii="Times New Roman" w:hAnsi="Times New Roman"/>
        </w:rPr>
      </w:pPr>
      <w:r>
        <w:rPr>
          <w:rFonts w:ascii="Times New Roman" w:hAnsi="Times New Roman"/>
          <w:sz w:val="21"/>
        </w:rPr>
        <w:t>Διευκρινίστε:</w:t>
      </w:r>
    </w:p>
    <w:p>
      <w:pPr>
        <w:pStyle w:val="Normal"/>
        <w:jc w:val="left"/>
        <w:rPr>
          <w:rFonts w:ascii="Times New Roman" w:hAnsi="Times New Roman"/>
        </w:rPr>
      </w:pPr>
      <w:r>
        <w:rPr>
          <w:rFonts w:ascii="Times New Roman" w:hAnsi="Times New Roman"/>
          <w:sz w:val="21"/>
        </w:rPr>
        <w:t>-</w:t>
      </w:r>
    </w:p>
    <w:p>
      <w:pPr>
        <w:pStyle w:val="Normal"/>
        <w:jc w:val="left"/>
        <w:rPr>
          <w:rFonts w:ascii="Times New Roman" w:hAnsi="Times New Roman"/>
        </w:rPr>
      </w:pPr>
      <w:r>
        <w:rPr>
          <w:rFonts w:ascii="Times New Roman" w:hAnsi="Times New Roman"/>
          <w:sz w:val="21"/>
        </w:rPr>
        <w:t>Ο οικονομικός φορέας έχει εκπληρώσει τις υποχρεώσεις του, είτε</w:t>
      </w:r>
    </w:p>
    <w:p>
      <w:pPr>
        <w:pStyle w:val="Normal"/>
        <w:jc w:val="left"/>
        <w:rPr>
          <w:rFonts w:ascii="Times New Roman" w:hAnsi="Times New Roman"/>
        </w:rPr>
      </w:pPr>
      <w:r>
        <w:rPr>
          <w:rFonts w:ascii="Times New Roman" w:hAnsi="Times New Roman"/>
          <w:sz w:val="21"/>
        </w:rPr>
        <w:t>καταβάλλοντας τους φόρους ή τις εισφορές κοινωνικής</w:t>
      </w:r>
    </w:p>
    <w:p>
      <w:pPr>
        <w:pStyle w:val="Normal"/>
        <w:jc w:val="left"/>
        <w:rPr>
          <w:rFonts w:ascii="Times New Roman" w:hAnsi="Times New Roman"/>
        </w:rPr>
      </w:pPr>
      <w:r>
        <w:rPr>
          <w:rFonts w:ascii="Times New Roman" w:hAnsi="Times New Roman"/>
          <w:sz w:val="21"/>
        </w:rPr>
        <w:t>ασφάλισης που οφείλει, συμπεριλαμβανομένων, κατά περίπτωση,</w:t>
      </w:r>
    </w:p>
    <w:p>
      <w:pPr>
        <w:pStyle w:val="Normal"/>
        <w:jc w:val="left"/>
        <w:rPr>
          <w:rFonts w:ascii="Times New Roman" w:hAnsi="Times New Roman"/>
        </w:rPr>
      </w:pPr>
      <w:r>
        <w:rPr>
          <w:rFonts w:ascii="Times New Roman" w:hAnsi="Times New Roman"/>
          <w:sz w:val="21"/>
        </w:rPr>
        <w:t>των δεδουλευμένων τόκων ή των προστίμων, είτε υπαγόμενος σε</w:t>
      </w:r>
    </w:p>
    <w:p>
      <w:pPr>
        <w:pStyle w:val="Normal"/>
        <w:jc w:val="left"/>
        <w:rPr>
          <w:rFonts w:ascii="Times New Roman" w:hAnsi="Times New Roman"/>
        </w:rPr>
      </w:pPr>
      <w:r>
        <w:rPr>
          <w:rFonts w:ascii="Times New Roman" w:hAnsi="Times New Roman"/>
          <w:sz w:val="21"/>
        </w:rPr>
        <w:t>δεσμευτικό διακανονισμό για την καταβολή τους;</w:t>
      </w:r>
    </w:p>
    <w:p>
      <w:pPr>
        <w:pStyle w:val="Normal"/>
        <w:jc w:val="left"/>
        <w:rPr>
          <w:rFonts w:ascii="Times New Roman" w:hAnsi="Times New Roman"/>
        </w:rPr>
      </w:pPr>
      <w:r>
        <w:rPr>
          <w:rFonts w:ascii="Times New Roman" w:hAnsi="Times New Roman"/>
          <w:sz w:val="21"/>
        </w:rPr>
        <w:t>Ναι / Όχι</w:t>
      </w:r>
    </w:p>
    <w:p>
      <w:pPr>
        <w:pStyle w:val="Normal"/>
        <w:jc w:val="left"/>
        <w:rPr>
          <w:rFonts w:ascii="Times New Roman" w:hAnsi="Times New Roman"/>
        </w:rPr>
      </w:pPr>
      <w:r>
        <w:rPr>
          <w:rFonts w:ascii="Times New Roman" w:hAnsi="Times New Roman"/>
          <w:sz w:val="21"/>
        </w:rPr>
        <w:t>Περιγράψτε τα μέτρα που λήφθηκαν</w:t>
      </w:r>
    </w:p>
    <w:p>
      <w:pPr>
        <w:pStyle w:val="Normal"/>
        <w:jc w:val="left"/>
        <w:rPr>
          <w:rFonts w:ascii="Times New Roman" w:hAnsi="Times New Roman"/>
        </w:rPr>
      </w:pPr>
      <w:r>
        <w:rPr>
          <w:rFonts w:ascii="Times New Roman" w:hAnsi="Times New Roman"/>
          <w:sz w:val="21"/>
        </w:rPr>
        <w:t>-</w:t>
      </w:r>
    </w:p>
    <w:p>
      <w:pPr>
        <w:pStyle w:val="Normal"/>
        <w:jc w:val="left"/>
        <w:rPr>
          <w:rFonts w:ascii="Times New Roman" w:hAnsi="Times New Roman"/>
        </w:rPr>
      </w:pPr>
      <w:r>
        <w:rPr>
          <w:rFonts w:ascii="Times New Roman" w:hAnsi="Times New Roman"/>
          <w:sz w:val="21"/>
        </w:rPr>
        <w:t>H εν λόγω απόφαση είναι τελεσίδικη και δεσμευτική;</w:t>
      </w:r>
    </w:p>
    <w:p>
      <w:pPr>
        <w:pStyle w:val="Normal"/>
        <w:jc w:val="left"/>
        <w:rPr>
          <w:rFonts w:ascii="Times New Roman" w:hAnsi="Times New Roman"/>
        </w:rPr>
      </w:pPr>
      <w:r>
        <w:rPr>
          <w:rFonts w:ascii="Times New Roman" w:hAnsi="Times New Roman"/>
          <w:sz w:val="21"/>
        </w:rPr>
        <w:t>Ναι / Όχι</w:t>
      </w:r>
    </w:p>
    <w:p>
      <w:pPr>
        <w:pStyle w:val="Normal"/>
        <w:jc w:val="left"/>
        <w:rPr>
          <w:rFonts w:ascii="Times New Roman" w:hAnsi="Times New Roman"/>
        </w:rPr>
      </w:pPr>
      <w:r>
        <w:rPr>
          <w:rFonts w:ascii="Times New Roman" w:hAnsi="Times New Roman"/>
          <w:sz w:val="21"/>
        </w:rPr>
        <w:t>..</w:t>
      </w:r>
    </w:p>
    <w:p>
      <w:pPr>
        <w:pStyle w:val="Normal"/>
        <w:jc w:val="left"/>
        <w:rPr>
          <w:rFonts w:ascii="Times New Roman" w:hAnsi="Times New Roman"/>
        </w:rPr>
      </w:pPr>
      <w:r>
        <w:rPr>
          <w:rFonts w:ascii="Times New Roman" w:hAnsi="Times New Roman"/>
          <w:sz w:val="21"/>
        </w:rPr>
        <w:t>Σε περίπτωση καταδικαστικής απόφασης, εφόσον ορίζεται</w:t>
      </w:r>
    </w:p>
    <w:p>
      <w:pPr>
        <w:pStyle w:val="Normal"/>
        <w:jc w:val="left"/>
        <w:rPr>
          <w:rFonts w:ascii="Times New Roman" w:hAnsi="Times New Roman"/>
        </w:rPr>
      </w:pPr>
      <w:r>
        <w:rPr>
          <w:rFonts w:ascii="Times New Roman" w:hAnsi="Times New Roman"/>
          <w:sz w:val="21"/>
        </w:rPr>
        <w:t>απευθείας σε αυτήν, η διάρκεια της περιόδου αποκλεισμού:</w:t>
      </w:r>
    </w:p>
    <w:p>
      <w:pPr>
        <w:pStyle w:val="Normal"/>
        <w:jc w:val="left"/>
        <w:rPr>
          <w:rFonts w:ascii="Times New Roman" w:hAnsi="Times New Roman"/>
        </w:rPr>
      </w:pPr>
      <w:r>
        <w:rPr>
          <w:rFonts w:ascii="Times New Roman" w:hAnsi="Times New Roman"/>
          <w:sz w:val="21"/>
        </w:rPr>
        <w:t>-</w:t>
      </w:r>
    </w:p>
    <w:p>
      <w:pPr>
        <w:pStyle w:val="Normal"/>
        <w:jc w:val="left"/>
        <w:rPr>
          <w:rFonts w:ascii="Times New Roman" w:hAnsi="Times New Roman"/>
        </w:rPr>
      </w:pPr>
      <w:r>
        <w:rPr>
          <w:rFonts w:ascii="Times New Roman" w:hAnsi="Times New Roman"/>
          <w:sz w:val="21"/>
        </w:rPr>
        <w:t>Εάν η σχετική τεκμηρίωση διατίθεται ηλεκτρονικά, αναφέρετε:</w:t>
      </w:r>
    </w:p>
    <w:p>
      <w:pPr>
        <w:pStyle w:val="Normal"/>
        <w:jc w:val="left"/>
        <w:rPr>
          <w:rFonts w:ascii="Times New Roman" w:hAnsi="Times New Roman"/>
        </w:rPr>
      </w:pPr>
      <w:r>
        <w:rPr>
          <w:rFonts w:ascii="Times New Roman" w:hAnsi="Times New Roman"/>
          <w:sz w:val="21"/>
        </w:rPr>
        <w:t>Ναι / Όχι</w:t>
      </w:r>
    </w:p>
    <w:p>
      <w:pPr>
        <w:pStyle w:val="Normal"/>
        <w:jc w:val="left"/>
        <w:rPr>
          <w:rFonts w:ascii="Times New Roman" w:hAnsi="Times New Roman"/>
        </w:rPr>
      </w:pPr>
      <w:r>
        <w:rPr>
          <w:rFonts w:ascii="Times New Roman" w:hAnsi="Times New Roman"/>
          <w:sz w:val="21"/>
        </w:rPr>
        <w:t>Διαδικτυακή Διεύθυνση</w:t>
      </w:r>
    </w:p>
    <w:p>
      <w:pPr>
        <w:pStyle w:val="Normal"/>
        <w:jc w:val="left"/>
        <w:rPr>
          <w:rFonts w:ascii="Times New Roman" w:hAnsi="Times New Roman"/>
        </w:rPr>
      </w:pPr>
      <w:r>
        <w:rPr>
          <w:rFonts w:ascii="Times New Roman" w:hAnsi="Times New Roman"/>
          <w:sz w:val="21"/>
        </w:rPr>
        <w:t>-</w:t>
      </w:r>
    </w:p>
    <w:p>
      <w:pPr>
        <w:pStyle w:val="Normal"/>
        <w:jc w:val="left"/>
        <w:rPr>
          <w:rFonts w:ascii="Times New Roman" w:hAnsi="Times New Roman"/>
        </w:rPr>
      </w:pPr>
      <w:r>
        <w:rPr>
          <w:rFonts w:ascii="Times New Roman" w:hAnsi="Times New Roman"/>
          <w:sz w:val="21"/>
        </w:rPr>
        <w:t>Επακριβή στοιχεία αναφοράς των εγγράφων</w:t>
      </w:r>
    </w:p>
    <w:p>
      <w:pPr>
        <w:pStyle w:val="Normal"/>
        <w:jc w:val="left"/>
        <w:rPr>
          <w:rFonts w:ascii="Times New Roman" w:hAnsi="Times New Roman"/>
        </w:rPr>
      </w:pPr>
      <w:r>
        <w:rPr>
          <w:rFonts w:ascii="Times New Roman" w:hAnsi="Times New Roman"/>
          <w:sz w:val="21"/>
        </w:rPr>
        <w:t>-</w:t>
      </w:r>
    </w:p>
    <w:p>
      <w:pPr>
        <w:pStyle w:val="Normal"/>
        <w:jc w:val="left"/>
        <w:rPr>
          <w:rFonts w:ascii="Times New Roman" w:hAnsi="Times New Roman"/>
        </w:rPr>
      </w:pPr>
      <w:r>
        <w:rPr>
          <w:rFonts w:ascii="Times New Roman" w:hAnsi="Times New Roman"/>
          <w:sz w:val="21"/>
        </w:rPr>
        <w:t>Αρχή ή Φορέας έκδοσης</w:t>
      </w:r>
    </w:p>
    <w:p>
      <w:pPr>
        <w:pStyle w:val="Normal"/>
        <w:jc w:val="left"/>
        <w:rPr>
          <w:rFonts w:ascii="Times New Roman" w:hAnsi="Times New Roman"/>
        </w:rPr>
      </w:pPr>
      <w:r>
        <w:rPr>
          <w:rFonts w:ascii="Times New Roman" w:hAnsi="Times New Roman"/>
          <w:sz w:val="21"/>
        </w:rPr>
        <w:t>-</w:t>
      </w:r>
    </w:p>
    <w:p>
      <w:pPr>
        <w:pStyle w:val="Normal"/>
        <w:jc w:val="left"/>
        <w:rPr>
          <w:rFonts w:ascii="Times New Roman" w:hAnsi="Times New Roman"/>
        </w:rPr>
      </w:pPr>
      <w:r>
        <w:rPr>
          <w:rFonts w:ascii="Times New Roman" w:hAnsi="Times New Roman"/>
          <w:sz w:val="21"/>
        </w:rPr>
        <w:t>Γ: Λόγοι που σχετίζονται με αφερεγγυότητα, σύγκρουση συμφερόντων ή επαγγελματικό παράπτωμα</w:t>
      </w:r>
    </w:p>
    <w:p>
      <w:pPr>
        <w:pStyle w:val="Normal"/>
        <w:jc w:val="left"/>
        <w:rPr>
          <w:rFonts w:ascii="Times New Roman" w:hAnsi="Times New Roman"/>
        </w:rPr>
      </w:pPr>
      <w:r>
        <w:rPr>
          <w:rFonts w:ascii="Times New Roman" w:hAnsi="Times New Roman"/>
          <w:sz w:val="21"/>
        </w:rPr>
        <w:t>Πληροφορίες σχετικά με πιθανή αφερεγγυότητα, σύγκρουση συμφερόντων ή επαγγελματικό παράπτωμα</w:t>
      </w:r>
    </w:p>
    <w:p>
      <w:pPr>
        <w:pStyle w:val="Normal"/>
        <w:jc w:val="left"/>
        <w:rPr>
          <w:rFonts w:ascii="Times New Roman" w:hAnsi="Times New Roman"/>
        </w:rPr>
      </w:pPr>
      <w:r>
        <w:rPr>
          <w:rFonts w:ascii="Times New Roman" w:hAnsi="Times New Roman"/>
          <w:sz w:val="21"/>
        </w:rPr>
        <w:t>Αθέτηση των υποχρεώσεων στον τομέα του περιβαλλοντικού δικαίου</w:t>
      </w:r>
    </w:p>
    <w:p>
      <w:pPr>
        <w:pStyle w:val="Normal"/>
        <w:jc w:val="left"/>
        <w:rPr>
          <w:rFonts w:ascii="Times New Roman" w:hAnsi="Times New Roman"/>
        </w:rPr>
      </w:pPr>
      <w:r>
        <w:rPr>
          <w:rFonts w:ascii="Times New Roman" w:hAnsi="Times New Roman"/>
          <w:sz w:val="21"/>
        </w:rPr>
        <w:t>Ο οικονομικός φορέας έχει, εν γνώσει του, αθετήσει τις υποχρεώσεις του στους τομείς</w:t>
      </w:r>
    </w:p>
    <w:p>
      <w:pPr>
        <w:pStyle w:val="Normal"/>
        <w:jc w:val="left"/>
        <w:rPr>
          <w:rFonts w:ascii="Times New Roman" w:hAnsi="Times New Roman"/>
        </w:rPr>
      </w:pPr>
      <w:r>
        <w:rPr>
          <w:rFonts w:ascii="Times New Roman" w:hAnsi="Times New Roman"/>
          <w:sz w:val="21"/>
        </w:rPr>
        <w:t>του περιβαλλοντικού δικαίου;</w:t>
      </w:r>
    </w:p>
    <w:p>
      <w:pPr>
        <w:pStyle w:val="Normal"/>
        <w:jc w:val="left"/>
        <w:rPr>
          <w:rFonts w:ascii="Times New Roman" w:hAnsi="Times New Roman"/>
        </w:rPr>
      </w:pPr>
      <w:r>
        <w:rPr>
          <w:rFonts w:ascii="Times New Roman" w:hAnsi="Times New Roman"/>
          <w:sz w:val="21"/>
        </w:rPr>
        <w:t>Απάντηση:</w:t>
      </w:r>
    </w:p>
    <w:p>
      <w:pPr>
        <w:pStyle w:val="Normal"/>
        <w:jc w:val="left"/>
        <w:rPr>
          <w:rFonts w:ascii="Times New Roman" w:hAnsi="Times New Roman"/>
        </w:rPr>
      </w:pPr>
      <w:r>
        <w:rPr>
          <w:rFonts w:ascii="Times New Roman" w:hAnsi="Times New Roman"/>
          <w:sz w:val="21"/>
        </w:rPr>
        <w:t>Ναι / Όχι</w:t>
      </w:r>
    </w:p>
    <w:p>
      <w:pPr>
        <w:pStyle w:val="Normal"/>
        <w:jc w:val="left"/>
        <w:rPr>
          <w:rFonts w:ascii="Times New Roman" w:hAnsi="Times New Roman"/>
        </w:rPr>
      </w:pPr>
      <w:r>
        <w:rPr>
          <w:rFonts w:ascii="Times New Roman" w:hAnsi="Times New Roman"/>
          <w:sz w:val="21"/>
        </w:rPr>
        <w:t>Περιγράψτε τα μέτρα που λήφθηκαν</w:t>
      </w:r>
    </w:p>
    <w:p>
      <w:pPr>
        <w:pStyle w:val="Normal"/>
        <w:jc w:val="left"/>
        <w:rPr>
          <w:rFonts w:ascii="Times New Roman" w:hAnsi="Times New Roman"/>
        </w:rPr>
      </w:pPr>
      <w:r>
        <w:rPr>
          <w:rFonts w:ascii="Times New Roman" w:hAnsi="Times New Roman"/>
          <w:sz w:val="21"/>
        </w:rPr>
        <w:t>-</w:t>
      </w:r>
    </w:p>
    <w:p>
      <w:pPr>
        <w:pStyle w:val="Normal"/>
        <w:jc w:val="left"/>
        <w:rPr>
          <w:rFonts w:ascii="Times New Roman" w:hAnsi="Times New Roman"/>
        </w:rPr>
      </w:pPr>
      <w:r>
        <w:rPr>
          <w:rFonts w:ascii="Times New Roman" w:hAnsi="Times New Roman"/>
          <w:sz w:val="21"/>
        </w:rPr>
        <w:t>Σε περίπτωση καταδικης, ο οικονομικός φορέας έχει λάβει μέτρα που</w:t>
      </w:r>
    </w:p>
    <w:p>
      <w:pPr>
        <w:pStyle w:val="Normal"/>
        <w:jc w:val="left"/>
        <w:rPr>
          <w:rFonts w:ascii="Times New Roman" w:hAnsi="Times New Roman"/>
        </w:rPr>
      </w:pPr>
      <w:r>
        <w:rPr>
          <w:rFonts w:ascii="Times New Roman" w:hAnsi="Times New Roman"/>
          <w:sz w:val="21"/>
        </w:rPr>
        <w:t>να αποδεικνύουν την αξιοπιστία του παρά την ύπαρξη σχετικού λόγου αποκλεισμού (“αυτοκάθαρση”);</w:t>
      </w:r>
    </w:p>
    <w:p>
      <w:pPr>
        <w:pStyle w:val="Normal"/>
        <w:jc w:val="left"/>
        <w:rPr>
          <w:rFonts w:ascii="Times New Roman" w:hAnsi="Times New Roman"/>
        </w:rPr>
      </w:pPr>
      <w:r>
        <w:rPr>
          <w:rFonts w:ascii="Times New Roman" w:hAnsi="Times New Roman"/>
          <w:sz w:val="21"/>
        </w:rPr>
        <w:t>Ναι / Όχι</w:t>
      </w:r>
    </w:p>
    <w:p>
      <w:pPr>
        <w:pStyle w:val="Normal"/>
        <w:jc w:val="left"/>
        <w:rPr>
          <w:rFonts w:ascii="Times New Roman" w:hAnsi="Times New Roman"/>
        </w:rPr>
      </w:pPr>
      <w:r>
        <w:rPr>
          <w:rFonts w:ascii="Times New Roman" w:hAnsi="Times New Roman"/>
          <w:sz w:val="21"/>
        </w:rPr>
        <w:t>Περιγράψτε τα μέτρα που λήφθηκαν</w:t>
      </w:r>
    </w:p>
    <w:p>
      <w:pPr>
        <w:pStyle w:val="Normal"/>
        <w:jc w:val="left"/>
        <w:rPr>
          <w:rFonts w:ascii="Times New Roman" w:hAnsi="Times New Roman"/>
        </w:rPr>
      </w:pPr>
      <w:r>
        <w:rPr>
          <w:rFonts w:ascii="Times New Roman" w:hAnsi="Times New Roman"/>
          <w:sz w:val="21"/>
        </w:rPr>
        <w:t>-</w:t>
      </w:r>
    </w:p>
    <w:p>
      <w:pPr>
        <w:pStyle w:val="Normal"/>
        <w:jc w:val="left"/>
        <w:rPr>
          <w:rFonts w:ascii="Times New Roman" w:hAnsi="Times New Roman"/>
        </w:rPr>
      </w:pPr>
      <w:r>
        <w:rPr>
          <w:rFonts w:ascii="Times New Roman" w:hAnsi="Times New Roman"/>
          <w:sz w:val="21"/>
        </w:rPr>
        <w:t>Εάν η σχετική τεκμηρίωση διατίθεται ηλεκτρονικά, αναφέρετε:</w:t>
      </w:r>
    </w:p>
    <w:p>
      <w:pPr>
        <w:pStyle w:val="Normal"/>
        <w:jc w:val="left"/>
        <w:rPr>
          <w:rFonts w:ascii="Times New Roman" w:hAnsi="Times New Roman"/>
        </w:rPr>
      </w:pPr>
      <w:r>
        <w:rPr>
          <w:rFonts w:ascii="Times New Roman" w:hAnsi="Times New Roman"/>
          <w:sz w:val="21"/>
        </w:rPr>
        <w:t>Ναι / Όχι</w:t>
      </w:r>
    </w:p>
    <w:p>
      <w:pPr>
        <w:pStyle w:val="Normal"/>
        <w:jc w:val="left"/>
        <w:rPr>
          <w:rFonts w:ascii="Times New Roman" w:hAnsi="Times New Roman"/>
        </w:rPr>
      </w:pPr>
      <w:r>
        <w:rPr>
          <w:rFonts w:ascii="Times New Roman" w:hAnsi="Times New Roman"/>
          <w:sz w:val="21"/>
        </w:rPr>
        <w:t>Διαδικτυακή Διεύθυνση</w:t>
      </w:r>
    </w:p>
    <w:p>
      <w:pPr>
        <w:pStyle w:val="Normal"/>
        <w:jc w:val="left"/>
        <w:rPr>
          <w:rFonts w:ascii="Times New Roman" w:hAnsi="Times New Roman"/>
        </w:rPr>
      </w:pPr>
      <w:r>
        <w:rPr>
          <w:rFonts w:ascii="Times New Roman" w:hAnsi="Times New Roman"/>
          <w:sz w:val="21"/>
        </w:rPr>
        <w:t>-</w:t>
      </w:r>
    </w:p>
    <w:p>
      <w:pPr>
        <w:pStyle w:val="Normal"/>
        <w:jc w:val="left"/>
        <w:rPr>
          <w:rFonts w:ascii="Times New Roman" w:hAnsi="Times New Roman"/>
        </w:rPr>
      </w:pPr>
      <w:r>
        <w:rPr>
          <w:rFonts w:ascii="Times New Roman" w:hAnsi="Times New Roman"/>
          <w:sz w:val="21"/>
        </w:rPr>
        <w:t>Επακριβή στοιχεία αναφοράς των εγγράφων</w:t>
      </w:r>
    </w:p>
    <w:p>
      <w:pPr>
        <w:pStyle w:val="Normal"/>
        <w:jc w:val="left"/>
        <w:rPr>
          <w:rFonts w:ascii="Times New Roman" w:hAnsi="Times New Roman"/>
        </w:rPr>
      </w:pPr>
      <w:r>
        <w:rPr>
          <w:rFonts w:ascii="Times New Roman" w:hAnsi="Times New Roman"/>
          <w:sz w:val="21"/>
        </w:rPr>
        <w:t>-</w:t>
      </w:r>
    </w:p>
    <w:p>
      <w:pPr>
        <w:pStyle w:val="Normal"/>
        <w:jc w:val="left"/>
        <w:rPr>
          <w:rFonts w:ascii="Times New Roman" w:hAnsi="Times New Roman"/>
        </w:rPr>
      </w:pPr>
      <w:r>
        <w:rPr>
          <w:rFonts w:ascii="Times New Roman" w:hAnsi="Times New Roman"/>
          <w:sz w:val="21"/>
        </w:rPr>
        <w:t>Αρχή ή Φορέας έκδοσης</w:t>
      </w:r>
    </w:p>
    <w:p>
      <w:pPr>
        <w:pStyle w:val="Normal"/>
        <w:jc w:val="left"/>
        <w:rPr>
          <w:rFonts w:ascii="Times New Roman" w:hAnsi="Times New Roman"/>
        </w:rPr>
      </w:pPr>
      <w:r>
        <w:rPr>
          <w:rFonts w:ascii="Times New Roman" w:hAnsi="Times New Roman"/>
          <w:sz w:val="21"/>
        </w:rPr>
        <w:t>-</w:t>
      </w:r>
    </w:p>
    <w:p>
      <w:pPr>
        <w:pStyle w:val="Normal"/>
        <w:jc w:val="left"/>
        <w:rPr>
          <w:rFonts w:ascii="Times New Roman" w:hAnsi="Times New Roman"/>
        </w:rPr>
      </w:pPr>
      <w:r>
        <w:rPr>
          <w:rFonts w:ascii="Times New Roman" w:hAnsi="Times New Roman"/>
          <w:sz w:val="21"/>
        </w:rPr>
        <w:t>Αθέτηση των υποχρεώσεων στον τομέα του κοινωνικού δικαίου</w:t>
      </w:r>
    </w:p>
    <w:p>
      <w:pPr>
        <w:pStyle w:val="Normal"/>
        <w:jc w:val="left"/>
        <w:rPr>
          <w:rFonts w:ascii="Times New Roman" w:hAnsi="Times New Roman"/>
        </w:rPr>
      </w:pPr>
      <w:r>
        <w:rPr>
          <w:rFonts w:ascii="Times New Roman" w:hAnsi="Times New Roman"/>
          <w:sz w:val="21"/>
        </w:rPr>
        <w:t>Ο οικονομικός φορέας έχει, εν γνώσει του, αθετήσει τις υποχρεώσεις του στους τομείς του κοινωνικού δικαίου;</w:t>
      </w:r>
    </w:p>
    <w:p>
      <w:pPr>
        <w:pStyle w:val="Normal"/>
        <w:jc w:val="left"/>
        <w:rPr>
          <w:rFonts w:ascii="Times New Roman" w:hAnsi="Times New Roman"/>
        </w:rPr>
      </w:pPr>
      <w:r>
        <w:rPr>
          <w:rFonts w:ascii="Times New Roman" w:hAnsi="Times New Roman"/>
          <w:sz w:val="21"/>
        </w:rPr>
        <w:t>Απάντηση:</w:t>
      </w:r>
    </w:p>
    <w:p>
      <w:pPr>
        <w:pStyle w:val="Normal"/>
        <w:jc w:val="left"/>
        <w:rPr>
          <w:rFonts w:ascii="Times New Roman" w:hAnsi="Times New Roman"/>
        </w:rPr>
      </w:pPr>
      <w:r>
        <w:rPr>
          <w:rFonts w:ascii="Times New Roman" w:hAnsi="Times New Roman"/>
          <w:sz w:val="21"/>
        </w:rPr>
        <w:t>Ναι / Όχι</w:t>
      </w:r>
    </w:p>
    <w:p>
      <w:pPr>
        <w:pStyle w:val="Normal"/>
        <w:jc w:val="left"/>
        <w:rPr>
          <w:rFonts w:ascii="Times New Roman" w:hAnsi="Times New Roman"/>
        </w:rPr>
      </w:pPr>
      <w:r>
        <w:rPr>
          <w:rFonts w:ascii="Times New Roman" w:hAnsi="Times New Roman"/>
          <w:sz w:val="21"/>
        </w:rPr>
        <w:t>Περιγράψτε τα μέτρα που λήφθηκαν</w:t>
      </w:r>
    </w:p>
    <w:p>
      <w:pPr>
        <w:pStyle w:val="Normal"/>
        <w:jc w:val="left"/>
        <w:rPr>
          <w:rFonts w:ascii="Times New Roman" w:hAnsi="Times New Roman"/>
        </w:rPr>
      </w:pPr>
      <w:r>
        <w:rPr>
          <w:rFonts w:ascii="Times New Roman" w:hAnsi="Times New Roman"/>
          <w:sz w:val="21"/>
        </w:rPr>
        <w:t>-</w:t>
      </w:r>
    </w:p>
    <w:p>
      <w:pPr>
        <w:pStyle w:val="Normal"/>
        <w:jc w:val="left"/>
        <w:rPr>
          <w:rFonts w:ascii="Times New Roman" w:hAnsi="Times New Roman"/>
        </w:rPr>
      </w:pPr>
      <w:r>
        <w:rPr>
          <w:rFonts w:ascii="Times New Roman" w:hAnsi="Times New Roman"/>
          <w:sz w:val="21"/>
        </w:rPr>
        <w:t>Σε περίπτωση καταδικης, ο οικονομικός φορέας έχει λάβει μέτρα που</w:t>
      </w:r>
    </w:p>
    <w:p>
      <w:pPr>
        <w:pStyle w:val="Normal"/>
        <w:jc w:val="left"/>
        <w:rPr>
          <w:rFonts w:ascii="Times New Roman" w:hAnsi="Times New Roman"/>
        </w:rPr>
      </w:pPr>
      <w:r>
        <w:rPr>
          <w:rFonts w:ascii="Times New Roman" w:hAnsi="Times New Roman"/>
          <w:sz w:val="21"/>
        </w:rPr>
        <w:t>να αποδεικνύουν την αξιοπιστία του παρά την ύπαρξη σχετικού λόγου</w:t>
      </w:r>
    </w:p>
    <w:p>
      <w:pPr>
        <w:pStyle w:val="Normal"/>
        <w:jc w:val="left"/>
        <w:rPr>
          <w:rFonts w:ascii="Times New Roman" w:hAnsi="Times New Roman"/>
        </w:rPr>
      </w:pPr>
      <w:r>
        <w:rPr>
          <w:rFonts w:ascii="Times New Roman" w:hAnsi="Times New Roman"/>
          <w:sz w:val="21"/>
        </w:rPr>
        <w:t>αποκλεισμού (“αυτοκάθαρση”);</w:t>
      </w:r>
    </w:p>
    <w:p>
      <w:pPr>
        <w:pStyle w:val="Normal"/>
        <w:jc w:val="left"/>
        <w:rPr>
          <w:rFonts w:ascii="Times New Roman" w:hAnsi="Times New Roman"/>
        </w:rPr>
      </w:pPr>
      <w:r>
        <w:rPr>
          <w:rFonts w:ascii="Times New Roman" w:hAnsi="Times New Roman"/>
          <w:sz w:val="21"/>
        </w:rPr>
        <w:t>Ναι / Όχι</w:t>
      </w:r>
    </w:p>
    <w:p>
      <w:pPr>
        <w:pStyle w:val="Normal"/>
        <w:jc w:val="left"/>
        <w:rPr>
          <w:rFonts w:ascii="Times New Roman" w:hAnsi="Times New Roman"/>
        </w:rPr>
      </w:pPr>
      <w:r>
        <w:rPr>
          <w:rFonts w:ascii="Times New Roman" w:hAnsi="Times New Roman"/>
          <w:sz w:val="21"/>
        </w:rPr>
        <w:t>Περιγράψτε τα μέτρα που λήφθηκαν</w:t>
      </w:r>
    </w:p>
    <w:p>
      <w:pPr>
        <w:pStyle w:val="Normal"/>
        <w:jc w:val="left"/>
        <w:rPr>
          <w:rFonts w:ascii="Times New Roman" w:hAnsi="Times New Roman"/>
        </w:rPr>
      </w:pPr>
      <w:r>
        <w:rPr>
          <w:rFonts w:ascii="Times New Roman" w:hAnsi="Times New Roman"/>
          <w:sz w:val="21"/>
        </w:rPr>
        <w:t>-</w:t>
      </w:r>
    </w:p>
    <w:p>
      <w:pPr>
        <w:pStyle w:val="Normal"/>
        <w:jc w:val="left"/>
        <w:rPr>
          <w:rFonts w:ascii="Times New Roman" w:hAnsi="Times New Roman"/>
        </w:rPr>
      </w:pPr>
      <w:r>
        <w:rPr>
          <w:rFonts w:ascii="Times New Roman" w:hAnsi="Times New Roman"/>
          <w:sz w:val="21"/>
        </w:rPr>
        <w:t>Εάν η σχετική τεκμηρίωση διατίθεται ηλεκτρονικά, αναφέρετε:</w:t>
      </w:r>
    </w:p>
    <w:p>
      <w:pPr>
        <w:pStyle w:val="Normal"/>
        <w:jc w:val="left"/>
        <w:rPr>
          <w:rFonts w:ascii="Times New Roman" w:hAnsi="Times New Roman"/>
        </w:rPr>
      </w:pPr>
      <w:r>
        <w:rPr>
          <w:rFonts w:ascii="Times New Roman" w:hAnsi="Times New Roman"/>
          <w:sz w:val="21"/>
        </w:rPr>
        <w:t>Ναι / Όχι</w:t>
      </w:r>
    </w:p>
    <w:p>
      <w:pPr>
        <w:pStyle w:val="Normal"/>
        <w:jc w:val="left"/>
        <w:rPr>
          <w:rFonts w:ascii="Times New Roman" w:hAnsi="Times New Roman"/>
        </w:rPr>
      </w:pPr>
      <w:r>
        <w:rPr>
          <w:rFonts w:ascii="Times New Roman" w:hAnsi="Times New Roman"/>
          <w:sz w:val="21"/>
        </w:rPr>
        <w:t>Διαδικτυακή Διεύθυνση</w:t>
      </w:r>
    </w:p>
    <w:p>
      <w:pPr>
        <w:pStyle w:val="Normal"/>
        <w:jc w:val="left"/>
        <w:rPr>
          <w:rFonts w:ascii="Times New Roman" w:hAnsi="Times New Roman"/>
        </w:rPr>
      </w:pPr>
      <w:r>
        <w:rPr>
          <w:rFonts w:ascii="Times New Roman" w:hAnsi="Times New Roman"/>
          <w:sz w:val="21"/>
        </w:rPr>
        <w:t>-</w:t>
      </w:r>
    </w:p>
    <w:p>
      <w:pPr>
        <w:pStyle w:val="Normal"/>
        <w:jc w:val="left"/>
        <w:rPr>
          <w:rFonts w:ascii="Times New Roman" w:hAnsi="Times New Roman"/>
        </w:rPr>
      </w:pPr>
      <w:r>
        <w:rPr>
          <w:rFonts w:ascii="Times New Roman" w:hAnsi="Times New Roman"/>
          <w:sz w:val="21"/>
        </w:rPr>
        <w:t>Επακριβή στοιχεία αναφοράς των εγγράφων</w:t>
      </w:r>
    </w:p>
    <w:p>
      <w:pPr>
        <w:pStyle w:val="Normal"/>
        <w:jc w:val="left"/>
        <w:rPr>
          <w:rFonts w:ascii="Times New Roman" w:hAnsi="Times New Roman"/>
        </w:rPr>
      </w:pPr>
      <w:r>
        <w:rPr>
          <w:rFonts w:ascii="Times New Roman" w:hAnsi="Times New Roman"/>
          <w:sz w:val="21"/>
        </w:rPr>
        <w:t>-</w:t>
      </w:r>
    </w:p>
    <w:p>
      <w:pPr>
        <w:pStyle w:val="Normal"/>
        <w:jc w:val="left"/>
        <w:rPr>
          <w:rFonts w:ascii="Times New Roman" w:hAnsi="Times New Roman"/>
        </w:rPr>
      </w:pPr>
      <w:r>
        <w:rPr>
          <w:rFonts w:ascii="Times New Roman" w:hAnsi="Times New Roman"/>
          <w:sz w:val="21"/>
        </w:rPr>
        <w:t>Αρχή ή Φορέας έκδοσης</w:t>
      </w:r>
    </w:p>
    <w:p>
      <w:pPr>
        <w:pStyle w:val="Normal"/>
        <w:jc w:val="left"/>
        <w:rPr>
          <w:rFonts w:ascii="Times New Roman" w:hAnsi="Times New Roman"/>
        </w:rPr>
      </w:pPr>
      <w:r>
        <w:rPr>
          <w:rFonts w:ascii="Times New Roman" w:hAnsi="Times New Roman"/>
          <w:sz w:val="21"/>
        </w:rPr>
        <w:t>-</w:t>
      </w:r>
    </w:p>
    <w:p>
      <w:pPr>
        <w:pStyle w:val="Normal"/>
        <w:jc w:val="left"/>
        <w:rPr>
          <w:rFonts w:ascii="Times New Roman" w:hAnsi="Times New Roman"/>
        </w:rPr>
      </w:pPr>
      <w:r>
        <w:rPr>
          <w:rFonts w:ascii="Times New Roman" w:hAnsi="Times New Roman"/>
          <w:sz w:val="21"/>
        </w:rPr>
        <w:t>Αθέτηση των υποχρεώσεων στον τομέα του εργατικού δικαίου</w:t>
      </w:r>
    </w:p>
    <w:p>
      <w:pPr>
        <w:pStyle w:val="Normal"/>
        <w:jc w:val="left"/>
        <w:rPr>
          <w:rFonts w:ascii="Times New Roman" w:hAnsi="Times New Roman"/>
        </w:rPr>
      </w:pPr>
      <w:r>
        <w:rPr>
          <w:rFonts w:ascii="Times New Roman" w:hAnsi="Times New Roman"/>
          <w:sz w:val="21"/>
        </w:rPr>
        <w:t>Ο οικονομικός φορέας έχει, εν γνώσει του, αθετήσει τις υποχρεώσεις του στους τομείς του εργατικού δικαίου;</w:t>
      </w:r>
    </w:p>
    <w:p>
      <w:pPr>
        <w:pStyle w:val="Normal"/>
        <w:jc w:val="left"/>
        <w:rPr>
          <w:rFonts w:ascii="Times New Roman" w:hAnsi="Times New Roman"/>
        </w:rPr>
      </w:pPr>
      <w:r>
        <w:rPr>
          <w:rFonts w:ascii="Times New Roman" w:hAnsi="Times New Roman"/>
          <w:sz w:val="21"/>
        </w:rPr>
        <w:t>Απάντηση:</w:t>
      </w:r>
    </w:p>
    <w:p>
      <w:pPr>
        <w:pStyle w:val="Normal"/>
        <w:jc w:val="left"/>
        <w:rPr>
          <w:rFonts w:ascii="Times New Roman" w:hAnsi="Times New Roman"/>
        </w:rPr>
      </w:pPr>
      <w:r>
        <w:rPr>
          <w:rFonts w:ascii="Times New Roman" w:hAnsi="Times New Roman"/>
          <w:sz w:val="21"/>
        </w:rPr>
        <w:t>Ναι / Όχι</w:t>
      </w:r>
    </w:p>
    <w:p>
      <w:pPr>
        <w:pStyle w:val="Normal"/>
        <w:jc w:val="left"/>
        <w:rPr>
          <w:rFonts w:ascii="Times New Roman" w:hAnsi="Times New Roman"/>
        </w:rPr>
      </w:pPr>
      <w:r>
        <w:rPr>
          <w:rFonts w:ascii="Times New Roman" w:hAnsi="Times New Roman"/>
          <w:sz w:val="21"/>
        </w:rPr>
        <w:t>Περιγράψτε τα μέτρα που λήφθηκαν</w:t>
      </w:r>
    </w:p>
    <w:p>
      <w:pPr>
        <w:pStyle w:val="Normal"/>
        <w:jc w:val="left"/>
        <w:rPr>
          <w:rFonts w:ascii="Times New Roman" w:hAnsi="Times New Roman"/>
        </w:rPr>
      </w:pPr>
      <w:r>
        <w:rPr>
          <w:rFonts w:ascii="Times New Roman" w:hAnsi="Times New Roman"/>
          <w:sz w:val="21"/>
        </w:rPr>
        <w:t>-</w:t>
      </w:r>
    </w:p>
    <w:p>
      <w:pPr>
        <w:pStyle w:val="Normal"/>
        <w:jc w:val="left"/>
        <w:rPr>
          <w:rFonts w:ascii="Times New Roman" w:hAnsi="Times New Roman"/>
        </w:rPr>
      </w:pPr>
      <w:r>
        <w:rPr>
          <w:rFonts w:ascii="Times New Roman" w:hAnsi="Times New Roman"/>
          <w:sz w:val="21"/>
        </w:rPr>
        <w:t>Σε περίπτωση καταδικης, ο οικονομικός φορέας έχει λάβει μέτρα που</w:t>
      </w:r>
    </w:p>
    <w:p>
      <w:pPr>
        <w:pStyle w:val="Normal"/>
        <w:jc w:val="left"/>
        <w:rPr>
          <w:rFonts w:ascii="Times New Roman" w:hAnsi="Times New Roman"/>
        </w:rPr>
      </w:pPr>
      <w:r>
        <w:rPr>
          <w:rFonts w:ascii="Times New Roman" w:hAnsi="Times New Roman"/>
          <w:sz w:val="21"/>
        </w:rPr>
        <w:t>να αποδεικνύουν την αξιοπιστία του παρά την ύπαρξη σχετικού λόγου αποκλεισμού (“αυτοκάθαρση”);</w:t>
      </w:r>
    </w:p>
    <w:p>
      <w:pPr>
        <w:pStyle w:val="Normal"/>
        <w:jc w:val="left"/>
        <w:rPr>
          <w:rFonts w:ascii="Times New Roman" w:hAnsi="Times New Roman"/>
        </w:rPr>
      </w:pPr>
      <w:r>
        <w:rPr>
          <w:rFonts w:ascii="Times New Roman" w:hAnsi="Times New Roman"/>
          <w:sz w:val="21"/>
        </w:rPr>
        <w:t>Ναι / Όχι</w:t>
      </w:r>
    </w:p>
    <w:p>
      <w:pPr>
        <w:pStyle w:val="Normal"/>
        <w:jc w:val="left"/>
        <w:rPr>
          <w:rFonts w:ascii="Times New Roman" w:hAnsi="Times New Roman"/>
        </w:rPr>
      </w:pPr>
      <w:r>
        <w:rPr>
          <w:rFonts w:ascii="Times New Roman" w:hAnsi="Times New Roman"/>
          <w:sz w:val="21"/>
        </w:rPr>
        <w:t>Περιγράψτε τα μέτρα που λήφθηκαν</w:t>
      </w:r>
    </w:p>
    <w:p>
      <w:pPr>
        <w:pStyle w:val="Normal"/>
        <w:jc w:val="left"/>
        <w:rPr>
          <w:rFonts w:ascii="Times New Roman" w:hAnsi="Times New Roman"/>
        </w:rPr>
      </w:pPr>
      <w:r>
        <w:rPr>
          <w:rFonts w:ascii="Times New Roman" w:hAnsi="Times New Roman"/>
          <w:sz w:val="21"/>
        </w:rPr>
        <w:t>-</w:t>
      </w:r>
    </w:p>
    <w:p>
      <w:pPr>
        <w:pStyle w:val="Normal"/>
        <w:jc w:val="left"/>
        <w:rPr>
          <w:rFonts w:ascii="Times New Roman" w:hAnsi="Times New Roman"/>
        </w:rPr>
      </w:pPr>
      <w:r>
        <w:rPr>
          <w:rFonts w:ascii="Times New Roman" w:hAnsi="Times New Roman"/>
          <w:sz w:val="21"/>
        </w:rPr>
        <w:t>Εάν η σχετική τεκμηρίωση διατίθεται ηλεκτρονικά, αναφέρετε:</w:t>
      </w:r>
    </w:p>
    <w:p>
      <w:pPr>
        <w:pStyle w:val="Normal"/>
        <w:jc w:val="left"/>
        <w:rPr>
          <w:rFonts w:ascii="Times New Roman" w:hAnsi="Times New Roman"/>
        </w:rPr>
      </w:pPr>
      <w:r>
        <w:rPr>
          <w:rFonts w:ascii="Times New Roman" w:hAnsi="Times New Roman"/>
          <w:sz w:val="21"/>
        </w:rPr>
        <w:t>Ναι / Όχι</w:t>
      </w:r>
    </w:p>
    <w:p>
      <w:pPr>
        <w:pStyle w:val="Normal"/>
        <w:jc w:val="left"/>
        <w:rPr>
          <w:rFonts w:ascii="Times New Roman" w:hAnsi="Times New Roman"/>
        </w:rPr>
      </w:pPr>
      <w:r>
        <w:rPr>
          <w:rFonts w:ascii="Times New Roman" w:hAnsi="Times New Roman"/>
          <w:sz w:val="21"/>
        </w:rPr>
        <w:t>Διαδικτυακή Διεύθυνση</w:t>
      </w:r>
    </w:p>
    <w:p>
      <w:pPr>
        <w:pStyle w:val="Normal"/>
        <w:jc w:val="left"/>
        <w:rPr>
          <w:rFonts w:ascii="Times New Roman" w:hAnsi="Times New Roman"/>
        </w:rPr>
      </w:pPr>
      <w:r>
        <w:rPr>
          <w:rFonts w:ascii="Times New Roman" w:hAnsi="Times New Roman"/>
          <w:sz w:val="21"/>
        </w:rPr>
        <w:t>-</w:t>
      </w:r>
    </w:p>
    <w:p>
      <w:pPr>
        <w:pStyle w:val="Normal"/>
        <w:jc w:val="left"/>
        <w:rPr>
          <w:rFonts w:ascii="Times New Roman" w:hAnsi="Times New Roman"/>
        </w:rPr>
      </w:pPr>
      <w:r>
        <w:rPr>
          <w:rFonts w:ascii="Times New Roman" w:hAnsi="Times New Roman"/>
          <w:sz w:val="21"/>
        </w:rPr>
        <w:t>Επακριβή στοιχεία αναφοράς των εγγράφων</w:t>
      </w:r>
    </w:p>
    <w:p>
      <w:pPr>
        <w:pStyle w:val="Normal"/>
        <w:jc w:val="left"/>
        <w:rPr>
          <w:rFonts w:ascii="Times New Roman" w:hAnsi="Times New Roman"/>
        </w:rPr>
      </w:pPr>
      <w:r>
        <w:rPr>
          <w:rFonts w:ascii="Times New Roman" w:hAnsi="Times New Roman"/>
          <w:sz w:val="21"/>
        </w:rPr>
        <w:t>-</w:t>
      </w:r>
    </w:p>
    <w:p>
      <w:pPr>
        <w:pStyle w:val="Normal"/>
        <w:jc w:val="left"/>
        <w:rPr>
          <w:rFonts w:ascii="Times New Roman" w:hAnsi="Times New Roman"/>
        </w:rPr>
      </w:pPr>
      <w:r>
        <w:rPr>
          <w:rFonts w:ascii="Times New Roman" w:hAnsi="Times New Roman"/>
          <w:sz w:val="21"/>
        </w:rPr>
        <w:t>Αρχή ή Φορέας έκδοσης</w:t>
      </w:r>
    </w:p>
    <w:p>
      <w:pPr>
        <w:pStyle w:val="Normal"/>
        <w:jc w:val="left"/>
        <w:rPr>
          <w:rFonts w:ascii="Times New Roman" w:hAnsi="Times New Roman"/>
        </w:rPr>
      </w:pPr>
      <w:r>
        <w:rPr>
          <w:rFonts w:ascii="Times New Roman" w:hAnsi="Times New Roman"/>
          <w:sz w:val="21"/>
        </w:rPr>
        <w:t>-</w:t>
      </w:r>
    </w:p>
    <w:p>
      <w:pPr>
        <w:pStyle w:val="Normal"/>
        <w:jc w:val="left"/>
        <w:rPr>
          <w:rFonts w:ascii="Times New Roman" w:hAnsi="Times New Roman"/>
        </w:rPr>
      </w:pPr>
      <w:r>
        <w:rPr>
          <w:rFonts w:ascii="Times New Roman" w:hAnsi="Times New Roman"/>
          <w:sz w:val="21"/>
        </w:rPr>
        <w:t>Πτώχευση</w:t>
      </w:r>
    </w:p>
    <w:p>
      <w:pPr>
        <w:pStyle w:val="Normal"/>
        <w:jc w:val="left"/>
        <w:rPr>
          <w:rFonts w:ascii="Times New Roman" w:hAnsi="Times New Roman"/>
        </w:rPr>
      </w:pPr>
      <w:r>
        <w:rPr>
          <w:rFonts w:ascii="Times New Roman" w:hAnsi="Times New Roman"/>
          <w:sz w:val="21"/>
        </w:rPr>
        <w:t>Ο οικονομικός φορέας τελεί υπό πτώχευση;</w:t>
      </w:r>
    </w:p>
    <w:p>
      <w:pPr>
        <w:pStyle w:val="Normal"/>
        <w:jc w:val="left"/>
        <w:rPr>
          <w:rFonts w:ascii="Times New Roman" w:hAnsi="Times New Roman"/>
        </w:rPr>
      </w:pPr>
      <w:r>
        <w:rPr>
          <w:rFonts w:ascii="Times New Roman" w:hAnsi="Times New Roman"/>
          <w:sz w:val="21"/>
        </w:rPr>
        <w:t>Απάντηση:</w:t>
      </w:r>
    </w:p>
    <w:p>
      <w:pPr>
        <w:pStyle w:val="Normal"/>
        <w:jc w:val="left"/>
        <w:rPr>
          <w:rFonts w:ascii="Times New Roman" w:hAnsi="Times New Roman"/>
        </w:rPr>
      </w:pPr>
      <w:r>
        <w:rPr>
          <w:rFonts w:ascii="Times New Roman" w:hAnsi="Times New Roman"/>
          <w:sz w:val="21"/>
        </w:rPr>
        <w:t>Ναι / Όχι</w:t>
      </w:r>
    </w:p>
    <w:p>
      <w:pPr>
        <w:pStyle w:val="Normal"/>
        <w:jc w:val="left"/>
        <w:rPr>
          <w:rFonts w:ascii="Times New Roman" w:hAnsi="Times New Roman"/>
        </w:rPr>
      </w:pPr>
      <w:r>
        <w:rPr>
          <w:rFonts w:ascii="Times New Roman" w:hAnsi="Times New Roman"/>
          <w:sz w:val="21"/>
        </w:rPr>
        <w:t>Παρακαλώ αναφέρετε λεπτομερείς πληροφορίες</w:t>
      </w:r>
    </w:p>
    <w:p>
      <w:pPr>
        <w:pStyle w:val="Normal"/>
        <w:jc w:val="left"/>
        <w:rPr>
          <w:rFonts w:ascii="Times New Roman" w:hAnsi="Times New Roman"/>
        </w:rPr>
      </w:pPr>
      <w:r>
        <w:rPr>
          <w:rFonts w:ascii="Times New Roman" w:hAnsi="Times New Roman"/>
          <w:sz w:val="21"/>
        </w:rPr>
        <w:t>-</w:t>
      </w:r>
    </w:p>
    <w:p>
      <w:pPr>
        <w:pStyle w:val="Normal"/>
        <w:jc w:val="left"/>
        <w:rPr>
          <w:rFonts w:ascii="Times New Roman" w:hAnsi="Times New Roman"/>
        </w:rPr>
      </w:pPr>
      <w:r>
        <w:rPr>
          <w:rFonts w:ascii="Times New Roman" w:hAnsi="Times New Roman"/>
          <w:sz w:val="21"/>
        </w:rPr>
        <w:t>Διευκρινίστε τους λόγους για τους οποίους, ωστόσο, μπορείτε να</w:t>
      </w:r>
    </w:p>
    <w:p>
      <w:pPr>
        <w:pStyle w:val="Normal"/>
        <w:jc w:val="left"/>
        <w:rPr>
          <w:rFonts w:ascii="Times New Roman" w:hAnsi="Times New Roman"/>
        </w:rPr>
      </w:pPr>
      <w:r>
        <w:rPr>
          <w:rFonts w:ascii="Times New Roman" w:hAnsi="Times New Roman"/>
          <w:sz w:val="21"/>
        </w:rPr>
        <w:t>εκτελέσετε τη σύμβαση. Οι πληροφορίες αυτές δεν είναι απαραίτητο</w:t>
      </w:r>
    </w:p>
    <w:p>
      <w:pPr>
        <w:pStyle w:val="Normal"/>
        <w:jc w:val="left"/>
        <w:rPr>
          <w:rFonts w:ascii="Times New Roman" w:hAnsi="Times New Roman"/>
        </w:rPr>
      </w:pPr>
      <w:r>
        <w:rPr>
          <w:rFonts w:ascii="Times New Roman" w:hAnsi="Times New Roman"/>
          <w:sz w:val="21"/>
        </w:rPr>
        <w:t>να παρασχεθούν εάν ο αποκλεισμός των οικονομικών φορέων στην</w:t>
      </w:r>
    </w:p>
    <w:p>
      <w:pPr>
        <w:pStyle w:val="Normal"/>
        <w:jc w:val="left"/>
        <w:rPr>
          <w:rFonts w:ascii="Times New Roman" w:hAnsi="Times New Roman"/>
        </w:rPr>
      </w:pPr>
      <w:r>
        <w:rPr>
          <w:rFonts w:ascii="Times New Roman" w:hAnsi="Times New Roman"/>
          <w:sz w:val="21"/>
        </w:rPr>
        <w:t>παρούσα περίπτωση έχει καταστεί υποχρεωτικός βάσει του</w:t>
      </w:r>
    </w:p>
    <w:p>
      <w:pPr>
        <w:pStyle w:val="Normal"/>
        <w:jc w:val="left"/>
        <w:rPr>
          <w:rFonts w:ascii="Times New Roman" w:hAnsi="Times New Roman"/>
        </w:rPr>
      </w:pPr>
      <w:r>
        <w:rPr>
          <w:rFonts w:ascii="Times New Roman" w:hAnsi="Times New Roman"/>
          <w:sz w:val="21"/>
        </w:rPr>
        <w:t>εφαρμοστέου εθνικού δικαίου χωρίς δυνατότητα παρέκκλισης όταν ο</w:t>
      </w:r>
    </w:p>
    <w:p>
      <w:pPr>
        <w:pStyle w:val="Normal"/>
        <w:jc w:val="left"/>
        <w:rPr>
          <w:rFonts w:ascii="Times New Roman" w:hAnsi="Times New Roman"/>
        </w:rPr>
      </w:pPr>
      <w:r>
        <w:rPr>
          <w:rFonts w:ascii="Times New Roman" w:hAnsi="Times New Roman"/>
          <w:sz w:val="21"/>
        </w:rPr>
        <w:t>οικονομικός φορέας είναι, ωστόσο, σε θέση να εκτελέσει τη σύμβαση.</w:t>
      </w:r>
    </w:p>
    <w:p>
      <w:pPr>
        <w:pStyle w:val="Normal"/>
        <w:jc w:val="left"/>
        <w:rPr>
          <w:rFonts w:ascii="Times New Roman" w:hAnsi="Times New Roman"/>
        </w:rPr>
      </w:pPr>
      <w:r>
        <w:rPr>
          <w:rFonts w:ascii="Times New Roman" w:hAnsi="Times New Roman"/>
          <w:sz w:val="21"/>
        </w:rPr>
        <w:t>-</w:t>
      </w:r>
    </w:p>
    <w:p>
      <w:pPr>
        <w:pStyle w:val="Normal"/>
        <w:jc w:val="left"/>
        <w:rPr>
          <w:rFonts w:ascii="Times New Roman" w:hAnsi="Times New Roman"/>
        </w:rPr>
      </w:pPr>
      <w:r>
        <w:rPr>
          <w:rFonts w:ascii="Times New Roman" w:hAnsi="Times New Roman"/>
          <w:sz w:val="21"/>
        </w:rPr>
        <w:t>Εάν η σχετική τεκμηρίωση διατίθεται ηλεκτρονικά, αναφέρετε:</w:t>
      </w:r>
    </w:p>
    <w:p>
      <w:pPr>
        <w:pStyle w:val="Normal"/>
        <w:jc w:val="left"/>
        <w:rPr>
          <w:rFonts w:ascii="Times New Roman" w:hAnsi="Times New Roman"/>
        </w:rPr>
      </w:pPr>
      <w:r>
        <w:rPr>
          <w:rFonts w:ascii="Times New Roman" w:hAnsi="Times New Roman"/>
          <w:sz w:val="21"/>
        </w:rPr>
        <w:t>Ναι / Όχι</w:t>
      </w:r>
    </w:p>
    <w:p>
      <w:pPr>
        <w:pStyle w:val="Normal"/>
        <w:jc w:val="left"/>
        <w:rPr>
          <w:rFonts w:ascii="Times New Roman" w:hAnsi="Times New Roman"/>
        </w:rPr>
      </w:pPr>
      <w:r>
        <w:rPr>
          <w:rFonts w:ascii="Times New Roman" w:hAnsi="Times New Roman"/>
          <w:sz w:val="21"/>
        </w:rPr>
        <w:t>Διαδικτυακή Διεύθυνση</w:t>
      </w:r>
    </w:p>
    <w:p>
      <w:pPr>
        <w:pStyle w:val="Normal"/>
        <w:jc w:val="left"/>
        <w:rPr>
          <w:rFonts w:ascii="Times New Roman" w:hAnsi="Times New Roman"/>
        </w:rPr>
      </w:pPr>
      <w:r>
        <w:rPr>
          <w:rFonts w:ascii="Times New Roman" w:hAnsi="Times New Roman"/>
          <w:sz w:val="21"/>
        </w:rPr>
        <w:t>-</w:t>
      </w:r>
    </w:p>
    <w:p>
      <w:pPr>
        <w:pStyle w:val="Normal"/>
        <w:jc w:val="left"/>
        <w:rPr>
          <w:rFonts w:ascii="Times New Roman" w:hAnsi="Times New Roman"/>
        </w:rPr>
      </w:pPr>
      <w:r>
        <w:rPr>
          <w:rFonts w:ascii="Times New Roman" w:hAnsi="Times New Roman"/>
          <w:sz w:val="21"/>
        </w:rPr>
        <w:t>Επακριβή στοιχεία αναφοράς των εγγράφων</w:t>
      </w:r>
    </w:p>
    <w:p>
      <w:pPr>
        <w:pStyle w:val="Normal"/>
        <w:jc w:val="left"/>
        <w:rPr>
          <w:rFonts w:ascii="Times New Roman" w:hAnsi="Times New Roman"/>
        </w:rPr>
      </w:pPr>
      <w:r>
        <w:rPr>
          <w:rFonts w:ascii="Times New Roman" w:hAnsi="Times New Roman"/>
          <w:sz w:val="21"/>
        </w:rPr>
        <w:t>-</w:t>
      </w:r>
    </w:p>
    <w:p>
      <w:pPr>
        <w:pStyle w:val="Normal"/>
        <w:jc w:val="left"/>
        <w:rPr>
          <w:rFonts w:ascii="Times New Roman" w:hAnsi="Times New Roman"/>
        </w:rPr>
      </w:pPr>
      <w:r>
        <w:rPr>
          <w:rFonts w:ascii="Times New Roman" w:hAnsi="Times New Roman"/>
          <w:sz w:val="21"/>
        </w:rPr>
        <w:t>Αρχή ή Φορέας έκδοσης</w:t>
      </w:r>
    </w:p>
    <w:p>
      <w:pPr>
        <w:pStyle w:val="Normal"/>
        <w:jc w:val="left"/>
        <w:rPr>
          <w:rFonts w:ascii="Times New Roman" w:hAnsi="Times New Roman"/>
        </w:rPr>
      </w:pPr>
      <w:r>
        <w:rPr>
          <w:rFonts w:ascii="Times New Roman" w:hAnsi="Times New Roman"/>
          <w:sz w:val="21"/>
        </w:rPr>
        <w:t>-</w:t>
      </w:r>
    </w:p>
    <w:p>
      <w:pPr>
        <w:pStyle w:val="Normal"/>
        <w:jc w:val="left"/>
        <w:rPr>
          <w:rFonts w:ascii="Times New Roman" w:hAnsi="Times New Roman"/>
        </w:rPr>
      </w:pPr>
      <w:r>
        <w:rPr>
          <w:rFonts w:ascii="Times New Roman" w:hAnsi="Times New Roman"/>
          <w:sz w:val="21"/>
        </w:rPr>
        <w:t>Διαδικασία εξυγίανσης ή ειδικής εκκαθάρισης</w:t>
      </w:r>
    </w:p>
    <w:p>
      <w:pPr>
        <w:pStyle w:val="Normal"/>
        <w:jc w:val="left"/>
        <w:rPr>
          <w:rFonts w:ascii="Times New Roman" w:hAnsi="Times New Roman"/>
        </w:rPr>
      </w:pPr>
      <w:r>
        <w:rPr>
          <w:rFonts w:ascii="Times New Roman" w:hAnsi="Times New Roman"/>
          <w:sz w:val="21"/>
        </w:rPr>
        <w:t>Έχει υπαχθεί ο οικονομικός φορέας σε διαδικασία εξυγίανσης ή ειδικής εκκαθάρισης;</w:t>
      </w:r>
    </w:p>
    <w:p>
      <w:pPr>
        <w:pStyle w:val="Normal"/>
        <w:jc w:val="left"/>
        <w:rPr>
          <w:rFonts w:ascii="Times New Roman" w:hAnsi="Times New Roman"/>
        </w:rPr>
      </w:pPr>
      <w:r>
        <w:rPr>
          <w:rFonts w:ascii="Times New Roman" w:hAnsi="Times New Roman"/>
          <w:sz w:val="21"/>
        </w:rPr>
        <w:t>Απάντηση:</w:t>
      </w:r>
    </w:p>
    <w:p>
      <w:pPr>
        <w:pStyle w:val="Normal"/>
        <w:jc w:val="left"/>
        <w:rPr>
          <w:rFonts w:ascii="Times New Roman" w:hAnsi="Times New Roman"/>
        </w:rPr>
      </w:pPr>
      <w:r>
        <w:rPr>
          <w:rFonts w:ascii="Times New Roman" w:hAnsi="Times New Roman"/>
          <w:sz w:val="21"/>
        </w:rPr>
        <w:t>Ναι / Όχι</w:t>
      </w:r>
    </w:p>
    <w:p>
      <w:pPr>
        <w:pStyle w:val="Normal"/>
        <w:jc w:val="left"/>
        <w:rPr>
          <w:rFonts w:ascii="Times New Roman" w:hAnsi="Times New Roman"/>
        </w:rPr>
      </w:pPr>
      <w:r>
        <w:rPr>
          <w:rFonts w:ascii="Times New Roman" w:hAnsi="Times New Roman"/>
          <w:sz w:val="21"/>
        </w:rPr>
        <w:t>Παρακαλώ αναφέρετε λεπτομερείς πληροφορίες</w:t>
      </w:r>
    </w:p>
    <w:p>
      <w:pPr>
        <w:pStyle w:val="Normal"/>
        <w:jc w:val="left"/>
        <w:rPr>
          <w:rFonts w:ascii="Times New Roman" w:hAnsi="Times New Roman"/>
        </w:rPr>
      </w:pPr>
      <w:r>
        <w:rPr>
          <w:rFonts w:ascii="Times New Roman" w:hAnsi="Times New Roman"/>
          <w:sz w:val="21"/>
        </w:rPr>
        <w:t>-</w:t>
      </w:r>
    </w:p>
    <w:p>
      <w:pPr>
        <w:pStyle w:val="Normal"/>
        <w:jc w:val="left"/>
        <w:rPr>
          <w:rFonts w:ascii="Times New Roman" w:hAnsi="Times New Roman"/>
        </w:rPr>
      </w:pPr>
      <w:r>
        <w:rPr>
          <w:rFonts w:ascii="Times New Roman" w:hAnsi="Times New Roman"/>
          <w:sz w:val="21"/>
        </w:rPr>
        <w:t>Διευκρινίστε τους λόγους για τους οποίους, ωστόσο, μπορείτε να</w:t>
      </w:r>
    </w:p>
    <w:p>
      <w:pPr>
        <w:pStyle w:val="Normal"/>
        <w:jc w:val="left"/>
        <w:rPr>
          <w:rFonts w:ascii="Times New Roman" w:hAnsi="Times New Roman"/>
        </w:rPr>
      </w:pPr>
      <w:r>
        <w:rPr>
          <w:rFonts w:ascii="Times New Roman" w:hAnsi="Times New Roman"/>
          <w:sz w:val="21"/>
        </w:rPr>
        <w:t>εκτελέσετε τη σύμβαση. Οι πληροφορίες αυτές δεν είναι απαραίτητο</w:t>
      </w:r>
    </w:p>
    <w:p>
      <w:pPr>
        <w:pStyle w:val="Normal"/>
        <w:jc w:val="left"/>
        <w:rPr>
          <w:rFonts w:ascii="Times New Roman" w:hAnsi="Times New Roman"/>
        </w:rPr>
      </w:pPr>
      <w:r>
        <w:rPr>
          <w:rFonts w:ascii="Times New Roman" w:hAnsi="Times New Roman"/>
          <w:sz w:val="21"/>
        </w:rPr>
        <w:t>να παρασχεθούν εάν ο αποκλεισμός των οικονομικών φορέων στην</w:t>
      </w:r>
    </w:p>
    <w:p>
      <w:pPr>
        <w:pStyle w:val="Normal"/>
        <w:jc w:val="left"/>
        <w:rPr>
          <w:rFonts w:ascii="Times New Roman" w:hAnsi="Times New Roman"/>
        </w:rPr>
      </w:pPr>
      <w:r>
        <w:rPr>
          <w:rFonts w:ascii="Times New Roman" w:hAnsi="Times New Roman"/>
          <w:sz w:val="21"/>
        </w:rPr>
        <w:t>παρούσα περίπτωση έχει καταστεί υποχρεωτικός βάσει του</w:t>
      </w:r>
    </w:p>
    <w:p>
      <w:pPr>
        <w:pStyle w:val="Normal"/>
        <w:jc w:val="left"/>
        <w:rPr>
          <w:rFonts w:ascii="Times New Roman" w:hAnsi="Times New Roman"/>
        </w:rPr>
      </w:pPr>
      <w:r>
        <w:rPr>
          <w:rFonts w:ascii="Times New Roman" w:hAnsi="Times New Roman"/>
          <w:sz w:val="21"/>
        </w:rPr>
        <w:t>εφαρμοστέου εθνικού δικαίου χωρίς δυνατότητα παρέκκλισης όταν ο</w:t>
      </w:r>
    </w:p>
    <w:p>
      <w:pPr>
        <w:pStyle w:val="Normal"/>
        <w:jc w:val="left"/>
        <w:rPr>
          <w:rFonts w:ascii="Times New Roman" w:hAnsi="Times New Roman"/>
        </w:rPr>
      </w:pPr>
      <w:r>
        <w:rPr>
          <w:rFonts w:ascii="Times New Roman" w:hAnsi="Times New Roman"/>
          <w:sz w:val="21"/>
        </w:rPr>
        <w:t>οικονομικός φορέας είναι, ωστόσο, σε θέση να εκτελέσει τη σύμβαση.</w:t>
      </w:r>
    </w:p>
    <w:p>
      <w:pPr>
        <w:pStyle w:val="Normal"/>
        <w:jc w:val="left"/>
        <w:rPr>
          <w:rFonts w:ascii="Times New Roman" w:hAnsi="Times New Roman"/>
        </w:rPr>
      </w:pPr>
      <w:r>
        <w:rPr>
          <w:rFonts w:ascii="Times New Roman" w:hAnsi="Times New Roman"/>
          <w:sz w:val="21"/>
        </w:rPr>
        <w:t>-</w:t>
      </w:r>
    </w:p>
    <w:p>
      <w:pPr>
        <w:pStyle w:val="Normal"/>
        <w:jc w:val="left"/>
        <w:rPr>
          <w:rFonts w:ascii="Times New Roman" w:hAnsi="Times New Roman"/>
        </w:rPr>
      </w:pPr>
      <w:r>
        <w:rPr>
          <w:rFonts w:ascii="Times New Roman" w:hAnsi="Times New Roman"/>
          <w:sz w:val="21"/>
        </w:rPr>
        <w:t>Εάν η σχετική τεκμηρίωση διατίθεται ηλεκτρονικά, αναφέρετε:</w:t>
      </w:r>
    </w:p>
    <w:p>
      <w:pPr>
        <w:pStyle w:val="Normal"/>
        <w:jc w:val="left"/>
        <w:rPr>
          <w:rFonts w:ascii="Times New Roman" w:hAnsi="Times New Roman"/>
        </w:rPr>
      </w:pPr>
      <w:r>
        <w:rPr>
          <w:rFonts w:ascii="Times New Roman" w:hAnsi="Times New Roman"/>
          <w:sz w:val="21"/>
        </w:rPr>
        <w:t>Ναι / Όχι</w:t>
      </w:r>
    </w:p>
    <w:p>
      <w:pPr>
        <w:pStyle w:val="Normal"/>
        <w:jc w:val="left"/>
        <w:rPr>
          <w:rFonts w:ascii="Times New Roman" w:hAnsi="Times New Roman"/>
        </w:rPr>
      </w:pPr>
      <w:r>
        <w:rPr>
          <w:rFonts w:ascii="Times New Roman" w:hAnsi="Times New Roman"/>
          <w:sz w:val="21"/>
        </w:rPr>
        <w:t>Διαδικτυακή Διεύθυνση</w:t>
      </w:r>
    </w:p>
    <w:p>
      <w:pPr>
        <w:pStyle w:val="Normal"/>
        <w:jc w:val="left"/>
        <w:rPr>
          <w:rFonts w:ascii="Times New Roman" w:hAnsi="Times New Roman"/>
        </w:rPr>
      </w:pPr>
      <w:r>
        <w:rPr>
          <w:rFonts w:ascii="Times New Roman" w:hAnsi="Times New Roman"/>
          <w:sz w:val="21"/>
        </w:rPr>
        <w:t>-</w:t>
      </w:r>
    </w:p>
    <w:p>
      <w:pPr>
        <w:pStyle w:val="Normal"/>
        <w:jc w:val="left"/>
        <w:rPr>
          <w:rFonts w:ascii="Times New Roman" w:hAnsi="Times New Roman"/>
        </w:rPr>
      </w:pPr>
      <w:r>
        <w:rPr>
          <w:rFonts w:ascii="Times New Roman" w:hAnsi="Times New Roman"/>
          <w:sz w:val="21"/>
        </w:rPr>
        <w:t>Επακριβή στοιχεία αναφοράς των εγγράφων</w:t>
      </w:r>
    </w:p>
    <w:p>
      <w:pPr>
        <w:pStyle w:val="Normal"/>
        <w:jc w:val="left"/>
        <w:rPr>
          <w:rFonts w:ascii="Times New Roman" w:hAnsi="Times New Roman"/>
        </w:rPr>
      </w:pPr>
      <w:r>
        <w:rPr>
          <w:rFonts w:ascii="Times New Roman" w:hAnsi="Times New Roman"/>
          <w:sz w:val="21"/>
        </w:rPr>
        <w:t>-</w:t>
      </w:r>
    </w:p>
    <w:p>
      <w:pPr>
        <w:pStyle w:val="Normal"/>
        <w:jc w:val="left"/>
        <w:rPr>
          <w:rFonts w:ascii="Times New Roman" w:hAnsi="Times New Roman"/>
        </w:rPr>
      </w:pPr>
      <w:r>
        <w:rPr>
          <w:rFonts w:ascii="Times New Roman" w:hAnsi="Times New Roman"/>
          <w:sz w:val="21"/>
        </w:rPr>
        <w:t>Αρχή ή Φορέας έκδοσης</w:t>
      </w:r>
    </w:p>
    <w:p>
      <w:pPr>
        <w:pStyle w:val="Normal"/>
        <w:jc w:val="left"/>
        <w:rPr>
          <w:rFonts w:ascii="Times New Roman" w:hAnsi="Times New Roman"/>
        </w:rPr>
      </w:pPr>
      <w:r>
        <w:rPr>
          <w:rFonts w:ascii="Times New Roman" w:hAnsi="Times New Roman"/>
          <w:sz w:val="21"/>
        </w:rPr>
        <w:t>-</w:t>
      </w:r>
    </w:p>
    <w:p>
      <w:pPr>
        <w:pStyle w:val="Normal"/>
        <w:jc w:val="left"/>
        <w:rPr>
          <w:rFonts w:ascii="Times New Roman" w:hAnsi="Times New Roman"/>
        </w:rPr>
      </w:pPr>
      <w:r>
        <w:rPr>
          <w:rFonts w:ascii="Times New Roman" w:hAnsi="Times New Roman"/>
          <w:sz w:val="21"/>
        </w:rPr>
        <w:t>Διαδικασία πτωχευτικού συμβιβασμού</w:t>
      </w:r>
    </w:p>
    <w:p>
      <w:pPr>
        <w:pStyle w:val="Normal"/>
        <w:jc w:val="left"/>
        <w:rPr>
          <w:rFonts w:ascii="Times New Roman" w:hAnsi="Times New Roman"/>
        </w:rPr>
      </w:pPr>
      <w:r>
        <w:rPr>
          <w:rFonts w:ascii="Times New Roman" w:hAnsi="Times New Roman"/>
          <w:sz w:val="21"/>
        </w:rPr>
        <w:t>Έχει υπαχθεί ο οικονομικός φορέας σε διαδικασία πτωχευτικού συμβιβασμού;</w:t>
      </w:r>
    </w:p>
    <w:p>
      <w:pPr>
        <w:pStyle w:val="Normal"/>
        <w:jc w:val="left"/>
        <w:rPr>
          <w:rFonts w:ascii="Times New Roman" w:hAnsi="Times New Roman"/>
        </w:rPr>
      </w:pPr>
      <w:r>
        <w:rPr>
          <w:rFonts w:ascii="Times New Roman" w:hAnsi="Times New Roman"/>
          <w:sz w:val="21"/>
        </w:rPr>
        <w:t>Απάντηση:</w:t>
      </w:r>
    </w:p>
    <w:p>
      <w:pPr>
        <w:pStyle w:val="Normal"/>
        <w:jc w:val="left"/>
        <w:rPr>
          <w:rFonts w:ascii="Times New Roman" w:hAnsi="Times New Roman"/>
        </w:rPr>
      </w:pPr>
      <w:r>
        <w:rPr>
          <w:rFonts w:ascii="Times New Roman" w:hAnsi="Times New Roman"/>
          <w:sz w:val="21"/>
        </w:rPr>
        <w:t>Ναι / Όχι</w:t>
      </w:r>
    </w:p>
    <w:p>
      <w:pPr>
        <w:pStyle w:val="Normal"/>
        <w:jc w:val="left"/>
        <w:rPr>
          <w:rFonts w:ascii="Times New Roman" w:hAnsi="Times New Roman"/>
        </w:rPr>
      </w:pPr>
      <w:r>
        <w:rPr>
          <w:rFonts w:ascii="Times New Roman" w:hAnsi="Times New Roman"/>
          <w:sz w:val="21"/>
        </w:rPr>
        <w:t>Παρακαλώ αναφέρετε λεπτομερείς πληροφορίες</w:t>
      </w:r>
    </w:p>
    <w:p>
      <w:pPr>
        <w:pStyle w:val="Normal"/>
        <w:jc w:val="left"/>
        <w:rPr>
          <w:rFonts w:ascii="Times New Roman" w:hAnsi="Times New Roman"/>
        </w:rPr>
      </w:pPr>
      <w:r>
        <w:rPr>
          <w:rFonts w:ascii="Times New Roman" w:hAnsi="Times New Roman"/>
          <w:sz w:val="21"/>
        </w:rPr>
        <w:t>-</w:t>
      </w:r>
    </w:p>
    <w:p>
      <w:pPr>
        <w:pStyle w:val="Normal"/>
        <w:jc w:val="left"/>
        <w:rPr>
          <w:rFonts w:ascii="Times New Roman" w:hAnsi="Times New Roman"/>
        </w:rPr>
      </w:pPr>
      <w:r>
        <w:rPr>
          <w:rFonts w:ascii="Times New Roman" w:hAnsi="Times New Roman"/>
          <w:sz w:val="21"/>
        </w:rPr>
        <w:t>Διευκρινίστε τους λόγους για τους οποίους, ωστόσο, μπορείτε να</w:t>
      </w:r>
    </w:p>
    <w:p>
      <w:pPr>
        <w:pStyle w:val="Normal"/>
        <w:jc w:val="left"/>
        <w:rPr>
          <w:rFonts w:ascii="Times New Roman" w:hAnsi="Times New Roman"/>
        </w:rPr>
      </w:pPr>
      <w:r>
        <w:rPr>
          <w:rFonts w:ascii="Times New Roman" w:hAnsi="Times New Roman"/>
          <w:sz w:val="21"/>
        </w:rPr>
        <w:t>εκτελέσετε τη σύμβαση. Οι πληροφορίες αυτές δεν είναι απαραίτητο</w:t>
      </w:r>
    </w:p>
    <w:p>
      <w:pPr>
        <w:pStyle w:val="Normal"/>
        <w:jc w:val="left"/>
        <w:rPr>
          <w:rFonts w:ascii="Times New Roman" w:hAnsi="Times New Roman"/>
        </w:rPr>
      </w:pPr>
      <w:r>
        <w:rPr>
          <w:rFonts w:ascii="Times New Roman" w:hAnsi="Times New Roman"/>
          <w:sz w:val="21"/>
        </w:rPr>
        <w:t>να παρασχεθούν εάν ο αποκλεισμός των οικονομικών φορέων στην</w:t>
      </w:r>
    </w:p>
    <w:p>
      <w:pPr>
        <w:pStyle w:val="Normal"/>
        <w:jc w:val="left"/>
        <w:rPr>
          <w:rFonts w:ascii="Times New Roman" w:hAnsi="Times New Roman"/>
        </w:rPr>
      </w:pPr>
      <w:r>
        <w:rPr>
          <w:rFonts w:ascii="Times New Roman" w:hAnsi="Times New Roman"/>
          <w:sz w:val="21"/>
        </w:rPr>
        <w:t>παρούσα περίπτωση έχει καταστεί υποχρεωτικός βάσει του</w:t>
      </w:r>
    </w:p>
    <w:p>
      <w:pPr>
        <w:pStyle w:val="Normal"/>
        <w:jc w:val="left"/>
        <w:rPr>
          <w:rFonts w:ascii="Times New Roman" w:hAnsi="Times New Roman"/>
        </w:rPr>
      </w:pPr>
      <w:r>
        <w:rPr>
          <w:rFonts w:ascii="Times New Roman" w:hAnsi="Times New Roman"/>
          <w:sz w:val="21"/>
        </w:rPr>
        <w:t>εφαρμοστέου εθνικού δικαίου χωρίς δυνατότητα παρέκκλισης όταν ο</w:t>
      </w:r>
    </w:p>
    <w:p>
      <w:pPr>
        <w:pStyle w:val="Normal"/>
        <w:jc w:val="left"/>
        <w:rPr>
          <w:rFonts w:ascii="Times New Roman" w:hAnsi="Times New Roman"/>
        </w:rPr>
      </w:pPr>
      <w:r>
        <w:rPr>
          <w:rFonts w:ascii="Times New Roman" w:hAnsi="Times New Roman"/>
          <w:sz w:val="21"/>
        </w:rPr>
        <w:t>οικονομικός φορέας είναι, ωστόσο, σε θέση να εκτελέσει τη σύμβαση.</w:t>
      </w:r>
    </w:p>
    <w:p>
      <w:pPr>
        <w:pStyle w:val="Normal"/>
        <w:jc w:val="left"/>
        <w:rPr>
          <w:rFonts w:ascii="Times New Roman" w:hAnsi="Times New Roman"/>
        </w:rPr>
      </w:pPr>
      <w:r>
        <w:rPr>
          <w:rFonts w:ascii="Times New Roman" w:hAnsi="Times New Roman"/>
          <w:sz w:val="21"/>
        </w:rPr>
        <w:t>-</w:t>
      </w:r>
    </w:p>
    <w:p>
      <w:pPr>
        <w:pStyle w:val="Normal"/>
        <w:jc w:val="left"/>
        <w:rPr>
          <w:rFonts w:ascii="Times New Roman" w:hAnsi="Times New Roman"/>
        </w:rPr>
      </w:pPr>
      <w:r>
        <w:rPr>
          <w:rFonts w:ascii="Times New Roman" w:hAnsi="Times New Roman"/>
          <w:sz w:val="21"/>
        </w:rPr>
        <w:t>Εάν η σχετική τεκμηρίωση διατίθεται ηλεκτρονικά, αναφέρετε:</w:t>
      </w:r>
    </w:p>
    <w:p>
      <w:pPr>
        <w:pStyle w:val="Normal"/>
        <w:jc w:val="left"/>
        <w:rPr>
          <w:rFonts w:ascii="Times New Roman" w:hAnsi="Times New Roman"/>
        </w:rPr>
      </w:pPr>
      <w:r>
        <w:rPr>
          <w:rFonts w:ascii="Times New Roman" w:hAnsi="Times New Roman"/>
          <w:sz w:val="21"/>
        </w:rPr>
        <w:t>Ναι / Όχι</w:t>
      </w:r>
    </w:p>
    <w:p>
      <w:pPr>
        <w:pStyle w:val="Normal"/>
        <w:jc w:val="left"/>
        <w:rPr>
          <w:rFonts w:ascii="Times New Roman" w:hAnsi="Times New Roman"/>
        </w:rPr>
      </w:pPr>
      <w:r>
        <w:rPr>
          <w:rFonts w:ascii="Times New Roman" w:hAnsi="Times New Roman"/>
          <w:sz w:val="21"/>
        </w:rPr>
        <w:t>Διαδικτυακή Διεύθυνση</w:t>
      </w:r>
    </w:p>
    <w:p>
      <w:pPr>
        <w:pStyle w:val="Normal"/>
        <w:jc w:val="left"/>
        <w:rPr>
          <w:rFonts w:ascii="Times New Roman" w:hAnsi="Times New Roman"/>
        </w:rPr>
      </w:pPr>
      <w:r>
        <w:rPr>
          <w:rFonts w:ascii="Times New Roman" w:hAnsi="Times New Roman"/>
          <w:sz w:val="21"/>
        </w:rPr>
        <w:t>-</w:t>
      </w:r>
    </w:p>
    <w:p>
      <w:pPr>
        <w:pStyle w:val="Normal"/>
        <w:jc w:val="left"/>
        <w:rPr>
          <w:rFonts w:ascii="Times New Roman" w:hAnsi="Times New Roman"/>
        </w:rPr>
      </w:pPr>
      <w:r>
        <w:rPr>
          <w:rFonts w:ascii="Times New Roman" w:hAnsi="Times New Roman"/>
          <w:sz w:val="21"/>
        </w:rPr>
        <w:t>Επακριβή στοιχεία αναφοράς των εγγράφων</w:t>
      </w:r>
    </w:p>
    <w:p>
      <w:pPr>
        <w:pStyle w:val="Normal"/>
        <w:jc w:val="left"/>
        <w:rPr>
          <w:rFonts w:ascii="Times New Roman" w:hAnsi="Times New Roman"/>
        </w:rPr>
      </w:pPr>
      <w:r>
        <w:rPr>
          <w:rFonts w:ascii="Times New Roman" w:hAnsi="Times New Roman"/>
          <w:sz w:val="21"/>
        </w:rPr>
        <w:t>-</w:t>
      </w:r>
    </w:p>
    <w:p>
      <w:pPr>
        <w:pStyle w:val="Normal"/>
        <w:jc w:val="left"/>
        <w:rPr>
          <w:rFonts w:ascii="Times New Roman" w:hAnsi="Times New Roman"/>
        </w:rPr>
      </w:pPr>
      <w:r>
        <w:rPr>
          <w:rFonts w:ascii="Times New Roman" w:hAnsi="Times New Roman"/>
          <w:sz w:val="21"/>
        </w:rPr>
        <w:t>Αρχή ή Φορέας έκδοσης</w:t>
      </w:r>
    </w:p>
    <w:p>
      <w:pPr>
        <w:pStyle w:val="Normal"/>
        <w:jc w:val="left"/>
        <w:rPr>
          <w:rFonts w:ascii="Times New Roman" w:hAnsi="Times New Roman"/>
        </w:rPr>
      </w:pPr>
      <w:r>
        <w:rPr>
          <w:rFonts w:ascii="Times New Roman" w:hAnsi="Times New Roman"/>
          <w:sz w:val="21"/>
        </w:rPr>
        <w:t>-</w:t>
      </w:r>
    </w:p>
    <w:p>
      <w:pPr>
        <w:pStyle w:val="Normal"/>
        <w:jc w:val="left"/>
        <w:rPr>
          <w:rFonts w:ascii="Times New Roman" w:hAnsi="Times New Roman"/>
        </w:rPr>
      </w:pPr>
      <w:r>
        <w:rPr>
          <w:rFonts w:ascii="Times New Roman" w:hAnsi="Times New Roman"/>
          <w:sz w:val="21"/>
        </w:rPr>
        <w:t>Ανάλογη κατάσταση προβλεπόμενη σε εθνικές νομοθετικές και κανονιστικές διατάξεις</w:t>
      </w:r>
    </w:p>
    <w:p>
      <w:pPr>
        <w:pStyle w:val="Normal"/>
        <w:jc w:val="left"/>
        <w:rPr>
          <w:rFonts w:ascii="Times New Roman" w:hAnsi="Times New Roman"/>
        </w:rPr>
      </w:pPr>
      <w:r>
        <w:rPr>
          <w:rFonts w:ascii="Times New Roman" w:hAnsi="Times New Roman"/>
          <w:sz w:val="21"/>
        </w:rPr>
        <w:t>Βρίσκεται ο οικονομικός φορέας σε οποιαδήποτε ανάλογη κατάσταση προκύπτουσα από</w:t>
      </w:r>
    </w:p>
    <w:p>
      <w:pPr>
        <w:pStyle w:val="Normal"/>
        <w:jc w:val="left"/>
        <w:rPr>
          <w:rFonts w:ascii="Times New Roman" w:hAnsi="Times New Roman"/>
        </w:rPr>
      </w:pPr>
      <w:r>
        <w:rPr>
          <w:rFonts w:ascii="Times New Roman" w:hAnsi="Times New Roman"/>
          <w:sz w:val="21"/>
        </w:rPr>
        <w:t>παρόμοια διαδικασία προβλεπόμενη σε εθνικές νομοθετικές και κανονιστικές διατάξεις;</w:t>
      </w:r>
    </w:p>
    <w:p>
      <w:pPr>
        <w:pStyle w:val="Normal"/>
        <w:jc w:val="left"/>
        <w:rPr>
          <w:rFonts w:ascii="Times New Roman" w:hAnsi="Times New Roman"/>
        </w:rPr>
      </w:pPr>
      <w:r>
        <w:rPr>
          <w:rFonts w:ascii="Times New Roman" w:hAnsi="Times New Roman"/>
          <w:sz w:val="21"/>
        </w:rPr>
        <w:t>Απάντηση:</w:t>
      </w:r>
    </w:p>
    <w:p>
      <w:pPr>
        <w:pStyle w:val="Normal"/>
        <w:jc w:val="left"/>
        <w:rPr>
          <w:rFonts w:ascii="Times New Roman" w:hAnsi="Times New Roman"/>
        </w:rPr>
      </w:pPr>
      <w:r>
        <w:rPr>
          <w:rFonts w:ascii="Times New Roman" w:hAnsi="Times New Roman"/>
          <w:sz w:val="21"/>
        </w:rPr>
        <w:t>Ναι / Όχι</w:t>
      </w:r>
    </w:p>
    <w:p>
      <w:pPr>
        <w:pStyle w:val="Normal"/>
        <w:jc w:val="left"/>
        <w:rPr>
          <w:rFonts w:ascii="Times New Roman" w:hAnsi="Times New Roman"/>
        </w:rPr>
      </w:pPr>
      <w:r>
        <w:rPr>
          <w:rFonts w:ascii="Times New Roman" w:hAnsi="Times New Roman"/>
          <w:sz w:val="21"/>
        </w:rPr>
        <w:t>Παρακαλώ αναφέρετε λεπτομερείς πληροφορίες</w:t>
      </w:r>
    </w:p>
    <w:p>
      <w:pPr>
        <w:pStyle w:val="Normal"/>
        <w:jc w:val="left"/>
        <w:rPr>
          <w:rFonts w:ascii="Times New Roman" w:hAnsi="Times New Roman"/>
        </w:rPr>
      </w:pPr>
      <w:r>
        <w:rPr>
          <w:rFonts w:ascii="Times New Roman" w:hAnsi="Times New Roman"/>
          <w:sz w:val="21"/>
        </w:rPr>
        <w:t>-</w:t>
      </w:r>
    </w:p>
    <w:p>
      <w:pPr>
        <w:pStyle w:val="Normal"/>
        <w:jc w:val="left"/>
        <w:rPr>
          <w:rFonts w:ascii="Times New Roman" w:hAnsi="Times New Roman"/>
        </w:rPr>
      </w:pPr>
      <w:r>
        <w:rPr>
          <w:rFonts w:ascii="Times New Roman" w:hAnsi="Times New Roman"/>
          <w:sz w:val="21"/>
        </w:rPr>
        <w:t>Διευκρινίστε τους λόγους για τους οποίους, ωστόσο, μπορείτε να</w:t>
      </w:r>
    </w:p>
    <w:p>
      <w:pPr>
        <w:pStyle w:val="Normal"/>
        <w:jc w:val="left"/>
        <w:rPr>
          <w:rFonts w:ascii="Times New Roman" w:hAnsi="Times New Roman"/>
        </w:rPr>
      </w:pPr>
      <w:r>
        <w:rPr>
          <w:rFonts w:ascii="Times New Roman" w:hAnsi="Times New Roman"/>
          <w:sz w:val="21"/>
        </w:rPr>
        <w:t>εκτελέσετε τη σύμβαση. Οι πληροφορίες αυτές δεν είναι απαραίτητο</w:t>
      </w:r>
    </w:p>
    <w:p>
      <w:pPr>
        <w:pStyle w:val="Normal"/>
        <w:jc w:val="left"/>
        <w:rPr>
          <w:rFonts w:ascii="Times New Roman" w:hAnsi="Times New Roman"/>
        </w:rPr>
      </w:pPr>
      <w:r>
        <w:rPr>
          <w:rFonts w:ascii="Times New Roman" w:hAnsi="Times New Roman"/>
          <w:sz w:val="21"/>
        </w:rPr>
        <w:t>να παρασχεθούν εάν ο αποκλεισμός των οικονομικών φορέων στην</w:t>
      </w:r>
    </w:p>
    <w:p>
      <w:pPr>
        <w:pStyle w:val="Normal"/>
        <w:jc w:val="left"/>
        <w:rPr>
          <w:rFonts w:ascii="Times New Roman" w:hAnsi="Times New Roman"/>
        </w:rPr>
      </w:pPr>
      <w:r>
        <w:rPr>
          <w:rFonts w:ascii="Times New Roman" w:hAnsi="Times New Roman"/>
          <w:sz w:val="21"/>
        </w:rPr>
        <w:t>παρούσα περίπτωση έχει καταστεί υποχρεωτικός βάσει του</w:t>
      </w:r>
    </w:p>
    <w:p>
      <w:pPr>
        <w:pStyle w:val="Normal"/>
        <w:jc w:val="left"/>
        <w:rPr>
          <w:rFonts w:ascii="Times New Roman" w:hAnsi="Times New Roman"/>
        </w:rPr>
      </w:pPr>
      <w:r>
        <w:rPr>
          <w:rFonts w:ascii="Times New Roman" w:hAnsi="Times New Roman"/>
          <w:sz w:val="21"/>
        </w:rPr>
        <w:t>εφαρμοστέου εθνικού δικαίου χωρίς δυνατότητα παρέκκλισης όταν ο</w:t>
      </w:r>
    </w:p>
    <w:p>
      <w:pPr>
        <w:pStyle w:val="Normal"/>
        <w:jc w:val="left"/>
        <w:rPr>
          <w:rFonts w:ascii="Times New Roman" w:hAnsi="Times New Roman"/>
        </w:rPr>
      </w:pPr>
      <w:r>
        <w:rPr>
          <w:rFonts w:ascii="Times New Roman" w:hAnsi="Times New Roman"/>
          <w:sz w:val="21"/>
        </w:rPr>
        <w:t>οικονομικός φορέας είναι, ωστόσο, σε θέση να εκτελέσει τη σύμβαση.</w:t>
      </w:r>
    </w:p>
    <w:p>
      <w:pPr>
        <w:pStyle w:val="Normal"/>
        <w:jc w:val="left"/>
        <w:rPr>
          <w:rFonts w:ascii="Times New Roman" w:hAnsi="Times New Roman"/>
        </w:rPr>
      </w:pPr>
      <w:r>
        <w:rPr>
          <w:rFonts w:ascii="Times New Roman" w:hAnsi="Times New Roman"/>
          <w:sz w:val="21"/>
        </w:rPr>
        <w:t>-</w:t>
      </w:r>
    </w:p>
    <w:p>
      <w:pPr>
        <w:pStyle w:val="Normal"/>
        <w:jc w:val="left"/>
        <w:rPr>
          <w:rFonts w:ascii="Times New Roman" w:hAnsi="Times New Roman"/>
        </w:rPr>
      </w:pPr>
      <w:r>
        <w:rPr>
          <w:rFonts w:ascii="Times New Roman" w:hAnsi="Times New Roman"/>
          <w:sz w:val="21"/>
        </w:rPr>
        <w:t>Εάν η σχετική τεκμηρίωση διατίθεται ηλεκτρονικά, αναφέρετε:</w:t>
      </w:r>
    </w:p>
    <w:p>
      <w:pPr>
        <w:pStyle w:val="Normal"/>
        <w:jc w:val="left"/>
        <w:rPr>
          <w:rFonts w:ascii="Times New Roman" w:hAnsi="Times New Roman"/>
        </w:rPr>
      </w:pPr>
      <w:r>
        <w:rPr>
          <w:rFonts w:ascii="Times New Roman" w:hAnsi="Times New Roman"/>
          <w:sz w:val="21"/>
        </w:rPr>
        <w:t>Ναι / Όχι</w:t>
      </w:r>
    </w:p>
    <w:p>
      <w:pPr>
        <w:pStyle w:val="Normal"/>
        <w:jc w:val="left"/>
        <w:rPr>
          <w:rFonts w:ascii="Times New Roman" w:hAnsi="Times New Roman"/>
        </w:rPr>
      </w:pPr>
      <w:r>
        <w:rPr>
          <w:rFonts w:ascii="Times New Roman" w:hAnsi="Times New Roman"/>
          <w:sz w:val="21"/>
        </w:rPr>
        <w:t>Διαδικτυακή Διεύθυνση</w:t>
      </w:r>
    </w:p>
    <w:p>
      <w:pPr>
        <w:pStyle w:val="Normal"/>
        <w:jc w:val="left"/>
        <w:rPr>
          <w:rFonts w:ascii="Times New Roman" w:hAnsi="Times New Roman"/>
        </w:rPr>
      </w:pPr>
      <w:r>
        <w:rPr>
          <w:rFonts w:ascii="Times New Roman" w:hAnsi="Times New Roman"/>
          <w:sz w:val="21"/>
        </w:rPr>
        <w:t>-</w:t>
      </w:r>
    </w:p>
    <w:p>
      <w:pPr>
        <w:pStyle w:val="Normal"/>
        <w:jc w:val="left"/>
        <w:rPr>
          <w:rFonts w:ascii="Times New Roman" w:hAnsi="Times New Roman"/>
        </w:rPr>
      </w:pPr>
      <w:r>
        <w:rPr>
          <w:rFonts w:ascii="Times New Roman" w:hAnsi="Times New Roman"/>
          <w:sz w:val="21"/>
        </w:rPr>
        <w:t>Επακριβή στοιχεία αναφοράς των εγγράφων</w:t>
      </w:r>
    </w:p>
    <w:p>
      <w:pPr>
        <w:pStyle w:val="Normal"/>
        <w:jc w:val="left"/>
        <w:rPr>
          <w:rFonts w:ascii="Times New Roman" w:hAnsi="Times New Roman"/>
        </w:rPr>
      </w:pPr>
      <w:r>
        <w:rPr>
          <w:rFonts w:ascii="Times New Roman" w:hAnsi="Times New Roman"/>
          <w:sz w:val="21"/>
        </w:rPr>
        <w:t>-</w:t>
      </w:r>
    </w:p>
    <w:p>
      <w:pPr>
        <w:pStyle w:val="Normal"/>
        <w:jc w:val="left"/>
        <w:rPr>
          <w:rFonts w:ascii="Times New Roman" w:hAnsi="Times New Roman"/>
        </w:rPr>
      </w:pPr>
      <w:r>
        <w:rPr>
          <w:rFonts w:ascii="Times New Roman" w:hAnsi="Times New Roman"/>
          <w:sz w:val="21"/>
        </w:rPr>
        <w:t>Αρχή ή Φορέας έκδοσης</w:t>
      </w:r>
    </w:p>
    <w:p>
      <w:pPr>
        <w:pStyle w:val="Normal"/>
        <w:jc w:val="left"/>
        <w:rPr>
          <w:rFonts w:ascii="Times New Roman" w:hAnsi="Times New Roman"/>
        </w:rPr>
      </w:pPr>
      <w:r>
        <w:rPr>
          <w:rFonts w:ascii="Times New Roman" w:hAnsi="Times New Roman"/>
          <w:sz w:val="21"/>
        </w:rPr>
        <w:t>-</w:t>
      </w:r>
    </w:p>
    <w:p>
      <w:pPr>
        <w:pStyle w:val="Normal"/>
        <w:jc w:val="left"/>
        <w:rPr>
          <w:rFonts w:ascii="Times New Roman" w:hAnsi="Times New Roman"/>
        </w:rPr>
      </w:pPr>
      <w:r>
        <w:rPr>
          <w:rFonts w:ascii="Times New Roman" w:hAnsi="Times New Roman"/>
          <w:sz w:val="21"/>
        </w:rPr>
        <w:t>Υπό αναγκαστική διαχείριση από εκκαθαριστή ή από το δικαστήριο</w:t>
      </w:r>
    </w:p>
    <w:p>
      <w:pPr>
        <w:pStyle w:val="Normal"/>
        <w:jc w:val="left"/>
        <w:rPr>
          <w:rFonts w:ascii="Times New Roman" w:hAnsi="Times New Roman"/>
        </w:rPr>
      </w:pPr>
      <w:r>
        <w:rPr>
          <w:rFonts w:ascii="Times New Roman" w:hAnsi="Times New Roman"/>
          <w:sz w:val="21"/>
        </w:rPr>
        <w:t>Tελεί ο οικονομικός φορέας υπό αναγκαστική διαχείριση από εκκαθαριστή ή από το δικαστήριο;</w:t>
      </w:r>
    </w:p>
    <w:p>
      <w:pPr>
        <w:pStyle w:val="Normal"/>
        <w:jc w:val="left"/>
        <w:rPr>
          <w:rFonts w:ascii="Times New Roman" w:hAnsi="Times New Roman"/>
        </w:rPr>
      </w:pPr>
      <w:r>
        <w:rPr>
          <w:rFonts w:ascii="Times New Roman" w:hAnsi="Times New Roman"/>
          <w:sz w:val="21"/>
        </w:rPr>
        <w:t>Απάντηση:</w:t>
      </w:r>
    </w:p>
    <w:p>
      <w:pPr>
        <w:pStyle w:val="Normal"/>
        <w:jc w:val="left"/>
        <w:rPr>
          <w:rFonts w:ascii="Times New Roman" w:hAnsi="Times New Roman"/>
        </w:rPr>
      </w:pPr>
      <w:r>
        <w:rPr>
          <w:rFonts w:ascii="Times New Roman" w:hAnsi="Times New Roman"/>
          <w:sz w:val="21"/>
        </w:rPr>
        <w:t>Ναι / Όχι</w:t>
      </w:r>
    </w:p>
    <w:p>
      <w:pPr>
        <w:pStyle w:val="Normal"/>
        <w:jc w:val="left"/>
        <w:rPr>
          <w:rFonts w:ascii="Times New Roman" w:hAnsi="Times New Roman"/>
        </w:rPr>
      </w:pPr>
      <w:r>
        <w:rPr>
          <w:rFonts w:ascii="Times New Roman" w:hAnsi="Times New Roman"/>
          <w:sz w:val="21"/>
        </w:rPr>
        <w:t>Παρακαλώ αναφέρετε λεπτομερείς πληροφορίες</w:t>
      </w:r>
    </w:p>
    <w:p>
      <w:pPr>
        <w:pStyle w:val="Normal"/>
        <w:jc w:val="left"/>
        <w:rPr>
          <w:rFonts w:ascii="Times New Roman" w:hAnsi="Times New Roman"/>
        </w:rPr>
      </w:pPr>
      <w:r>
        <w:rPr>
          <w:rFonts w:ascii="Times New Roman" w:hAnsi="Times New Roman"/>
          <w:sz w:val="21"/>
        </w:rPr>
        <w:t>-</w:t>
      </w:r>
    </w:p>
    <w:p>
      <w:pPr>
        <w:pStyle w:val="Normal"/>
        <w:jc w:val="left"/>
        <w:rPr>
          <w:rFonts w:ascii="Times New Roman" w:hAnsi="Times New Roman"/>
        </w:rPr>
      </w:pPr>
      <w:r>
        <w:rPr>
          <w:rFonts w:ascii="Times New Roman" w:hAnsi="Times New Roman"/>
          <w:sz w:val="21"/>
        </w:rPr>
        <w:t>Διευκρινίστε τους λόγους για τους οποίους, ωστόσο, μπορείτε να</w:t>
      </w:r>
    </w:p>
    <w:p>
      <w:pPr>
        <w:pStyle w:val="Normal"/>
        <w:jc w:val="left"/>
        <w:rPr>
          <w:rFonts w:ascii="Times New Roman" w:hAnsi="Times New Roman"/>
        </w:rPr>
      </w:pPr>
      <w:r>
        <w:rPr>
          <w:rFonts w:ascii="Times New Roman" w:hAnsi="Times New Roman"/>
          <w:sz w:val="21"/>
        </w:rPr>
        <w:t>εκτελέσετε τη σύμβαση. Οι πληροφορίες αυτές δεν είναι απαραίτητο</w:t>
      </w:r>
    </w:p>
    <w:p>
      <w:pPr>
        <w:pStyle w:val="Normal"/>
        <w:jc w:val="left"/>
        <w:rPr>
          <w:rFonts w:ascii="Times New Roman" w:hAnsi="Times New Roman"/>
        </w:rPr>
      </w:pPr>
      <w:r>
        <w:rPr>
          <w:rFonts w:ascii="Times New Roman" w:hAnsi="Times New Roman"/>
          <w:sz w:val="21"/>
        </w:rPr>
        <w:t>να παρασχεθούν εάν ο αποκλεισμός των οικονομικών φορέων στην</w:t>
      </w:r>
    </w:p>
    <w:p>
      <w:pPr>
        <w:pStyle w:val="Normal"/>
        <w:jc w:val="left"/>
        <w:rPr>
          <w:rFonts w:ascii="Times New Roman" w:hAnsi="Times New Roman"/>
        </w:rPr>
      </w:pPr>
      <w:r>
        <w:rPr>
          <w:rFonts w:ascii="Times New Roman" w:hAnsi="Times New Roman"/>
          <w:sz w:val="21"/>
        </w:rPr>
        <w:t>παρούσα περίπτωση έχει καταστεί υποχρεωτικός βάσει του</w:t>
      </w:r>
    </w:p>
    <w:p>
      <w:pPr>
        <w:pStyle w:val="Normal"/>
        <w:jc w:val="left"/>
        <w:rPr>
          <w:rFonts w:ascii="Times New Roman" w:hAnsi="Times New Roman"/>
        </w:rPr>
      </w:pPr>
      <w:r>
        <w:rPr>
          <w:rFonts w:ascii="Times New Roman" w:hAnsi="Times New Roman"/>
          <w:sz w:val="21"/>
        </w:rPr>
        <w:t>εφαρμοστέου εθνικού δικαίου χωρίς δυνατότητα παρέκκλισης όταν ο</w:t>
      </w:r>
    </w:p>
    <w:p>
      <w:pPr>
        <w:pStyle w:val="Normal"/>
        <w:jc w:val="left"/>
        <w:rPr>
          <w:rFonts w:ascii="Times New Roman" w:hAnsi="Times New Roman"/>
        </w:rPr>
      </w:pPr>
      <w:r>
        <w:rPr>
          <w:rFonts w:ascii="Times New Roman" w:hAnsi="Times New Roman"/>
          <w:sz w:val="21"/>
        </w:rPr>
        <w:t>οικονομικός φορέας είναι, ωστόσο, σε θέση να εκτελέσει τη σύμβαση.</w:t>
      </w:r>
    </w:p>
    <w:p>
      <w:pPr>
        <w:pStyle w:val="Normal"/>
        <w:jc w:val="left"/>
        <w:rPr>
          <w:rFonts w:ascii="Times New Roman" w:hAnsi="Times New Roman"/>
        </w:rPr>
      </w:pPr>
      <w:r>
        <w:rPr>
          <w:rFonts w:ascii="Times New Roman" w:hAnsi="Times New Roman"/>
          <w:sz w:val="21"/>
        </w:rPr>
        <w:t>-</w:t>
      </w:r>
    </w:p>
    <w:p>
      <w:pPr>
        <w:pStyle w:val="Normal"/>
        <w:jc w:val="left"/>
        <w:rPr>
          <w:rFonts w:ascii="Times New Roman" w:hAnsi="Times New Roman"/>
        </w:rPr>
      </w:pPr>
      <w:r>
        <w:rPr>
          <w:rFonts w:ascii="Times New Roman" w:hAnsi="Times New Roman"/>
          <w:sz w:val="21"/>
        </w:rPr>
        <w:t>Εάν η σχετική τεκμηρίωση διατίθεται ηλεκτρονικά, αναφέρετε:</w:t>
      </w:r>
    </w:p>
    <w:p>
      <w:pPr>
        <w:pStyle w:val="Normal"/>
        <w:jc w:val="left"/>
        <w:rPr>
          <w:rFonts w:ascii="Times New Roman" w:hAnsi="Times New Roman"/>
        </w:rPr>
      </w:pPr>
      <w:r>
        <w:rPr>
          <w:rFonts w:ascii="Times New Roman" w:hAnsi="Times New Roman"/>
          <w:sz w:val="21"/>
        </w:rPr>
        <w:t>Ναι / Όχι</w:t>
      </w:r>
    </w:p>
    <w:p>
      <w:pPr>
        <w:pStyle w:val="Normal"/>
        <w:jc w:val="left"/>
        <w:rPr>
          <w:rFonts w:ascii="Times New Roman" w:hAnsi="Times New Roman"/>
        </w:rPr>
      </w:pPr>
      <w:r>
        <w:rPr>
          <w:rFonts w:ascii="Times New Roman" w:hAnsi="Times New Roman"/>
          <w:sz w:val="21"/>
        </w:rPr>
        <w:t>Διαδικτυακή Διεύθυνση</w:t>
      </w:r>
    </w:p>
    <w:p>
      <w:pPr>
        <w:pStyle w:val="Normal"/>
        <w:jc w:val="left"/>
        <w:rPr>
          <w:rFonts w:ascii="Times New Roman" w:hAnsi="Times New Roman"/>
        </w:rPr>
      </w:pPr>
      <w:r>
        <w:rPr>
          <w:rFonts w:ascii="Times New Roman" w:hAnsi="Times New Roman"/>
          <w:sz w:val="21"/>
        </w:rPr>
        <w:t>-</w:t>
      </w:r>
    </w:p>
    <w:p>
      <w:pPr>
        <w:pStyle w:val="Normal"/>
        <w:jc w:val="left"/>
        <w:rPr>
          <w:rFonts w:ascii="Times New Roman" w:hAnsi="Times New Roman"/>
        </w:rPr>
      </w:pPr>
      <w:r>
        <w:rPr>
          <w:rFonts w:ascii="Times New Roman" w:hAnsi="Times New Roman"/>
          <w:sz w:val="21"/>
        </w:rPr>
        <w:t>Επακριβή στοιχεία αναφοράς των εγγράφων</w:t>
      </w:r>
    </w:p>
    <w:p>
      <w:pPr>
        <w:pStyle w:val="Normal"/>
        <w:jc w:val="left"/>
        <w:rPr>
          <w:rFonts w:ascii="Times New Roman" w:hAnsi="Times New Roman"/>
        </w:rPr>
      </w:pPr>
      <w:r>
        <w:rPr>
          <w:rFonts w:ascii="Times New Roman" w:hAnsi="Times New Roman"/>
          <w:sz w:val="21"/>
        </w:rPr>
        <w:t>-</w:t>
      </w:r>
    </w:p>
    <w:p>
      <w:pPr>
        <w:pStyle w:val="Normal"/>
        <w:jc w:val="left"/>
        <w:rPr>
          <w:rFonts w:ascii="Times New Roman" w:hAnsi="Times New Roman"/>
        </w:rPr>
      </w:pPr>
      <w:r>
        <w:rPr>
          <w:rFonts w:ascii="Times New Roman" w:hAnsi="Times New Roman"/>
          <w:sz w:val="21"/>
        </w:rPr>
        <w:t>Αρχή ή Φορέας έκδοσης</w:t>
      </w:r>
    </w:p>
    <w:p>
      <w:pPr>
        <w:pStyle w:val="Normal"/>
        <w:jc w:val="left"/>
        <w:rPr>
          <w:rFonts w:ascii="Times New Roman" w:hAnsi="Times New Roman"/>
        </w:rPr>
      </w:pPr>
      <w:r>
        <w:rPr>
          <w:rFonts w:ascii="Times New Roman" w:hAnsi="Times New Roman"/>
          <w:sz w:val="21"/>
        </w:rPr>
        <w:t>-</w:t>
      </w:r>
    </w:p>
    <w:p>
      <w:pPr>
        <w:pStyle w:val="Normal"/>
        <w:jc w:val="left"/>
        <w:rPr>
          <w:rFonts w:ascii="Times New Roman" w:hAnsi="Times New Roman"/>
        </w:rPr>
      </w:pPr>
      <w:r>
        <w:rPr>
          <w:rFonts w:ascii="Times New Roman" w:hAnsi="Times New Roman"/>
          <w:sz w:val="21"/>
        </w:rPr>
        <w:t>Αναστολή επιχειρηματικών δραστηριοτήτων</w:t>
      </w:r>
    </w:p>
    <w:p>
      <w:pPr>
        <w:pStyle w:val="Normal"/>
        <w:jc w:val="left"/>
        <w:rPr>
          <w:rFonts w:ascii="Times New Roman" w:hAnsi="Times New Roman"/>
        </w:rPr>
      </w:pPr>
      <w:r>
        <w:rPr>
          <w:rFonts w:ascii="Times New Roman" w:hAnsi="Times New Roman"/>
          <w:sz w:val="21"/>
        </w:rPr>
        <w:t>Έχουν ανασταλεί οι επιχειρηματικές δραστηριότητες του οικονομικού φορέα;</w:t>
      </w:r>
    </w:p>
    <w:p>
      <w:pPr>
        <w:pStyle w:val="Normal"/>
        <w:jc w:val="left"/>
        <w:rPr>
          <w:rFonts w:ascii="Times New Roman" w:hAnsi="Times New Roman"/>
        </w:rPr>
      </w:pPr>
      <w:r>
        <w:rPr>
          <w:rFonts w:ascii="Times New Roman" w:hAnsi="Times New Roman"/>
          <w:sz w:val="21"/>
        </w:rPr>
        <w:t>Απάντηση:</w:t>
      </w:r>
    </w:p>
    <w:p>
      <w:pPr>
        <w:pStyle w:val="Normal"/>
        <w:jc w:val="left"/>
        <w:rPr>
          <w:rFonts w:ascii="Times New Roman" w:hAnsi="Times New Roman"/>
        </w:rPr>
      </w:pPr>
      <w:r>
        <w:rPr>
          <w:rFonts w:ascii="Times New Roman" w:hAnsi="Times New Roman"/>
          <w:sz w:val="21"/>
        </w:rPr>
        <w:t>Ναι / Όχι</w:t>
      </w:r>
    </w:p>
    <w:p>
      <w:pPr>
        <w:pStyle w:val="Normal"/>
        <w:jc w:val="left"/>
        <w:rPr>
          <w:rFonts w:ascii="Times New Roman" w:hAnsi="Times New Roman"/>
        </w:rPr>
      </w:pPr>
      <w:r>
        <w:rPr>
          <w:rFonts w:ascii="Times New Roman" w:hAnsi="Times New Roman"/>
          <w:sz w:val="21"/>
        </w:rPr>
        <w:t>Παρακαλώ αναφέρετε λεπτομερείς πληροφορίες</w:t>
      </w:r>
    </w:p>
    <w:p>
      <w:pPr>
        <w:pStyle w:val="Normal"/>
        <w:jc w:val="left"/>
        <w:rPr>
          <w:rFonts w:ascii="Times New Roman" w:hAnsi="Times New Roman"/>
        </w:rPr>
      </w:pPr>
      <w:r>
        <w:rPr>
          <w:rFonts w:ascii="Times New Roman" w:hAnsi="Times New Roman"/>
          <w:sz w:val="21"/>
        </w:rPr>
        <w:t>-</w:t>
      </w:r>
    </w:p>
    <w:p>
      <w:pPr>
        <w:pStyle w:val="Normal"/>
        <w:jc w:val="left"/>
        <w:rPr>
          <w:rFonts w:ascii="Times New Roman" w:hAnsi="Times New Roman"/>
        </w:rPr>
      </w:pPr>
      <w:r>
        <w:rPr>
          <w:rFonts w:ascii="Times New Roman" w:hAnsi="Times New Roman"/>
          <w:sz w:val="21"/>
        </w:rPr>
        <w:t>Διευκρινίστε τους λόγους για τους οποίους, ωστόσο, μπορείτε να</w:t>
      </w:r>
    </w:p>
    <w:p>
      <w:pPr>
        <w:pStyle w:val="Normal"/>
        <w:jc w:val="left"/>
        <w:rPr>
          <w:rFonts w:ascii="Times New Roman" w:hAnsi="Times New Roman"/>
        </w:rPr>
      </w:pPr>
      <w:r>
        <w:rPr>
          <w:rFonts w:ascii="Times New Roman" w:hAnsi="Times New Roman"/>
          <w:sz w:val="21"/>
        </w:rPr>
        <w:t>εκτελέσετε τη σύμβαση. Οι πληροφορίες αυτές δεν είναι απαραίτητο</w:t>
      </w:r>
    </w:p>
    <w:p>
      <w:pPr>
        <w:pStyle w:val="Normal"/>
        <w:jc w:val="left"/>
        <w:rPr>
          <w:rFonts w:ascii="Times New Roman" w:hAnsi="Times New Roman"/>
        </w:rPr>
      </w:pPr>
      <w:r>
        <w:rPr>
          <w:rFonts w:ascii="Times New Roman" w:hAnsi="Times New Roman"/>
          <w:sz w:val="21"/>
        </w:rPr>
        <w:t>να παρασχεθούν εάν ο αποκλεισμός των οικονομικών φορέων στην</w:t>
      </w:r>
    </w:p>
    <w:p>
      <w:pPr>
        <w:pStyle w:val="Normal"/>
        <w:jc w:val="left"/>
        <w:rPr>
          <w:rFonts w:ascii="Times New Roman" w:hAnsi="Times New Roman"/>
        </w:rPr>
      </w:pPr>
      <w:r>
        <w:rPr>
          <w:rFonts w:ascii="Times New Roman" w:hAnsi="Times New Roman"/>
          <w:sz w:val="21"/>
        </w:rPr>
        <w:t>παρούσα περίπτωση έχει καταστεί υποχρεωτικός βάσει του</w:t>
      </w:r>
    </w:p>
    <w:p>
      <w:pPr>
        <w:pStyle w:val="Normal"/>
        <w:jc w:val="left"/>
        <w:rPr>
          <w:rFonts w:ascii="Times New Roman" w:hAnsi="Times New Roman"/>
        </w:rPr>
      </w:pPr>
      <w:r>
        <w:rPr>
          <w:rFonts w:ascii="Times New Roman" w:hAnsi="Times New Roman"/>
          <w:sz w:val="21"/>
        </w:rPr>
        <w:t>εφαρμοστέου εθνικού δικαίου χωρίς δυνατότητα παρέκκλισης όταν ο</w:t>
      </w:r>
    </w:p>
    <w:p>
      <w:pPr>
        <w:pStyle w:val="Normal"/>
        <w:jc w:val="left"/>
        <w:rPr>
          <w:rFonts w:ascii="Times New Roman" w:hAnsi="Times New Roman"/>
        </w:rPr>
      </w:pPr>
      <w:r>
        <w:rPr>
          <w:rFonts w:ascii="Times New Roman" w:hAnsi="Times New Roman"/>
          <w:sz w:val="21"/>
        </w:rPr>
        <w:t>οικονομικός φορέας είναι, ωστόσο, σε θέση να εκτελέσει τη σύμβαση.</w:t>
      </w:r>
    </w:p>
    <w:p>
      <w:pPr>
        <w:pStyle w:val="Normal"/>
        <w:jc w:val="left"/>
        <w:rPr>
          <w:rFonts w:ascii="Times New Roman" w:hAnsi="Times New Roman"/>
        </w:rPr>
      </w:pPr>
      <w:r>
        <w:rPr>
          <w:rFonts w:ascii="Times New Roman" w:hAnsi="Times New Roman"/>
          <w:sz w:val="21"/>
        </w:rPr>
        <w:t>-</w:t>
      </w:r>
    </w:p>
    <w:p>
      <w:pPr>
        <w:pStyle w:val="Normal"/>
        <w:jc w:val="left"/>
        <w:rPr>
          <w:rFonts w:ascii="Times New Roman" w:hAnsi="Times New Roman"/>
        </w:rPr>
      </w:pPr>
      <w:r>
        <w:rPr>
          <w:rFonts w:ascii="Times New Roman" w:hAnsi="Times New Roman"/>
          <w:sz w:val="21"/>
        </w:rPr>
        <w:t>Εάν η σχετική τεκμηρίωση διατίθεται ηλεκτρονικά, αναφέρετε:</w:t>
      </w:r>
    </w:p>
    <w:p>
      <w:pPr>
        <w:pStyle w:val="Normal"/>
        <w:jc w:val="left"/>
        <w:rPr>
          <w:rFonts w:ascii="Times New Roman" w:hAnsi="Times New Roman"/>
        </w:rPr>
      </w:pPr>
      <w:r>
        <w:rPr>
          <w:rFonts w:ascii="Times New Roman" w:hAnsi="Times New Roman"/>
          <w:sz w:val="21"/>
        </w:rPr>
        <w:t>Ναι / Όχι</w:t>
      </w:r>
    </w:p>
    <w:p>
      <w:pPr>
        <w:pStyle w:val="Normal"/>
        <w:jc w:val="left"/>
        <w:rPr>
          <w:rFonts w:ascii="Times New Roman" w:hAnsi="Times New Roman"/>
        </w:rPr>
      </w:pPr>
      <w:r>
        <w:rPr>
          <w:rFonts w:ascii="Times New Roman" w:hAnsi="Times New Roman"/>
          <w:sz w:val="21"/>
        </w:rPr>
        <w:t>Διαδικτυακή Διεύθυνση</w:t>
      </w:r>
    </w:p>
    <w:p>
      <w:pPr>
        <w:pStyle w:val="Normal"/>
        <w:jc w:val="left"/>
        <w:rPr>
          <w:rFonts w:ascii="Times New Roman" w:hAnsi="Times New Roman"/>
        </w:rPr>
      </w:pPr>
      <w:r>
        <w:rPr>
          <w:rFonts w:ascii="Times New Roman" w:hAnsi="Times New Roman"/>
          <w:sz w:val="21"/>
        </w:rPr>
        <w:t>-</w:t>
      </w:r>
    </w:p>
    <w:p>
      <w:pPr>
        <w:pStyle w:val="Normal"/>
        <w:jc w:val="left"/>
        <w:rPr>
          <w:rFonts w:ascii="Times New Roman" w:hAnsi="Times New Roman"/>
        </w:rPr>
      </w:pPr>
      <w:r>
        <w:rPr>
          <w:rFonts w:ascii="Times New Roman" w:hAnsi="Times New Roman"/>
          <w:sz w:val="21"/>
        </w:rPr>
        <w:t>Επακριβή στοιχεία αναφοράς των εγγράφων</w:t>
      </w:r>
    </w:p>
    <w:p>
      <w:pPr>
        <w:pStyle w:val="Normal"/>
        <w:jc w:val="left"/>
        <w:rPr>
          <w:rFonts w:ascii="Times New Roman" w:hAnsi="Times New Roman"/>
        </w:rPr>
      </w:pPr>
      <w:r>
        <w:rPr>
          <w:rFonts w:ascii="Times New Roman" w:hAnsi="Times New Roman"/>
          <w:sz w:val="21"/>
        </w:rPr>
        <w:t>-</w:t>
      </w:r>
    </w:p>
    <w:p>
      <w:pPr>
        <w:pStyle w:val="Normal"/>
        <w:jc w:val="left"/>
        <w:rPr>
          <w:rFonts w:ascii="Times New Roman" w:hAnsi="Times New Roman"/>
        </w:rPr>
      </w:pPr>
      <w:r>
        <w:rPr>
          <w:rFonts w:ascii="Times New Roman" w:hAnsi="Times New Roman"/>
          <w:sz w:val="21"/>
        </w:rPr>
        <w:t>Αρχή ή Φορέας έκδοσης</w:t>
      </w:r>
    </w:p>
    <w:p>
      <w:pPr>
        <w:pStyle w:val="Normal"/>
        <w:jc w:val="left"/>
        <w:rPr>
          <w:rFonts w:ascii="Times New Roman" w:hAnsi="Times New Roman"/>
        </w:rPr>
      </w:pPr>
      <w:r>
        <w:rPr>
          <w:rFonts w:ascii="Times New Roman" w:hAnsi="Times New Roman"/>
          <w:sz w:val="21"/>
        </w:rPr>
        <w:t>-</w:t>
      </w:r>
    </w:p>
    <w:p>
      <w:pPr>
        <w:pStyle w:val="Normal"/>
        <w:jc w:val="left"/>
        <w:rPr>
          <w:rFonts w:ascii="Times New Roman" w:hAnsi="Times New Roman"/>
        </w:rPr>
      </w:pPr>
      <w:r>
        <w:rPr>
          <w:rFonts w:ascii="Times New Roman" w:hAnsi="Times New Roman"/>
          <w:sz w:val="21"/>
        </w:rPr>
        <w:t>Ένοχος σοβαρού επαγγελματικού παραπτώματος</w:t>
      </w:r>
    </w:p>
    <w:p>
      <w:pPr>
        <w:pStyle w:val="Normal"/>
        <w:jc w:val="left"/>
        <w:rPr>
          <w:rFonts w:ascii="Times New Roman" w:hAnsi="Times New Roman"/>
        </w:rPr>
      </w:pPr>
      <w:r>
        <w:rPr>
          <w:rFonts w:ascii="Times New Roman" w:hAnsi="Times New Roman"/>
          <w:sz w:val="21"/>
        </w:rPr>
        <w:t>Έχει διαπράξει ο οικονομικός φορέας σοβαρό επαγγελματικό παράπτωμα;</w:t>
      </w:r>
    </w:p>
    <w:p>
      <w:pPr>
        <w:pStyle w:val="Normal"/>
        <w:jc w:val="left"/>
        <w:rPr>
          <w:rFonts w:ascii="Times New Roman" w:hAnsi="Times New Roman"/>
        </w:rPr>
      </w:pPr>
      <w:r>
        <w:rPr>
          <w:rFonts w:ascii="Times New Roman" w:hAnsi="Times New Roman"/>
          <w:sz w:val="21"/>
        </w:rPr>
        <w:t>Απάντηση:</w:t>
      </w:r>
    </w:p>
    <w:p>
      <w:pPr>
        <w:pStyle w:val="Normal"/>
        <w:jc w:val="left"/>
        <w:rPr>
          <w:rFonts w:ascii="Times New Roman" w:hAnsi="Times New Roman"/>
        </w:rPr>
      </w:pPr>
      <w:r>
        <w:rPr>
          <w:rFonts w:ascii="Times New Roman" w:hAnsi="Times New Roman"/>
          <w:sz w:val="21"/>
        </w:rPr>
        <w:t>Ναι / Όχι</w:t>
      </w:r>
    </w:p>
    <w:p>
      <w:pPr>
        <w:pStyle w:val="Normal"/>
        <w:jc w:val="left"/>
        <w:rPr>
          <w:rFonts w:ascii="Times New Roman" w:hAnsi="Times New Roman"/>
        </w:rPr>
      </w:pPr>
      <w:r>
        <w:rPr>
          <w:rFonts w:ascii="Times New Roman" w:hAnsi="Times New Roman"/>
          <w:sz w:val="21"/>
        </w:rPr>
        <w:t>Παρακαλώ αναφέρετε λεπτομερείς πληροφορίες</w:t>
      </w:r>
    </w:p>
    <w:p>
      <w:pPr>
        <w:pStyle w:val="Normal"/>
        <w:jc w:val="left"/>
        <w:rPr>
          <w:rFonts w:ascii="Times New Roman" w:hAnsi="Times New Roman"/>
        </w:rPr>
      </w:pPr>
      <w:r>
        <w:rPr>
          <w:rFonts w:ascii="Times New Roman" w:hAnsi="Times New Roman"/>
          <w:sz w:val="21"/>
        </w:rPr>
        <w:t>-</w:t>
      </w:r>
    </w:p>
    <w:p>
      <w:pPr>
        <w:pStyle w:val="Normal"/>
        <w:jc w:val="left"/>
        <w:rPr>
          <w:rFonts w:ascii="Times New Roman" w:hAnsi="Times New Roman"/>
        </w:rPr>
      </w:pPr>
      <w:r>
        <w:rPr>
          <w:rFonts w:ascii="Times New Roman" w:hAnsi="Times New Roman"/>
          <w:sz w:val="21"/>
        </w:rPr>
        <w:t>Σε περίπτωση καταδικης, ο οικονομικός φορέας έχει λάβει μέτρα που</w:t>
      </w:r>
    </w:p>
    <w:p>
      <w:pPr>
        <w:pStyle w:val="Normal"/>
        <w:jc w:val="left"/>
        <w:rPr>
          <w:rFonts w:ascii="Times New Roman" w:hAnsi="Times New Roman"/>
        </w:rPr>
      </w:pPr>
      <w:r>
        <w:rPr>
          <w:rFonts w:ascii="Times New Roman" w:hAnsi="Times New Roman"/>
          <w:sz w:val="21"/>
        </w:rPr>
        <w:t>να αποδεικνύουν την αξιοπιστία του παρά την ύπαρξη σχετικού λόγου αποκλεισμού (“αυτοκάθαρση”);</w:t>
      </w:r>
    </w:p>
    <w:p>
      <w:pPr>
        <w:pStyle w:val="Normal"/>
        <w:jc w:val="left"/>
        <w:rPr>
          <w:rFonts w:ascii="Times New Roman" w:hAnsi="Times New Roman"/>
        </w:rPr>
      </w:pPr>
      <w:r>
        <w:rPr>
          <w:rFonts w:ascii="Times New Roman" w:hAnsi="Times New Roman"/>
          <w:sz w:val="21"/>
        </w:rPr>
        <w:t>Ναι / Όχι</w:t>
      </w:r>
    </w:p>
    <w:p>
      <w:pPr>
        <w:pStyle w:val="Normal"/>
        <w:jc w:val="left"/>
        <w:rPr>
          <w:rFonts w:ascii="Times New Roman" w:hAnsi="Times New Roman"/>
        </w:rPr>
      </w:pPr>
      <w:r>
        <w:rPr>
          <w:rFonts w:ascii="Times New Roman" w:hAnsi="Times New Roman"/>
          <w:sz w:val="21"/>
        </w:rPr>
        <w:t>Περιγράψτε τα μέτρα που λήφθηκαν</w:t>
      </w:r>
    </w:p>
    <w:p>
      <w:pPr>
        <w:pStyle w:val="Normal"/>
        <w:jc w:val="left"/>
        <w:rPr>
          <w:rFonts w:ascii="Times New Roman" w:hAnsi="Times New Roman"/>
        </w:rPr>
      </w:pPr>
      <w:r>
        <w:rPr>
          <w:rFonts w:ascii="Times New Roman" w:hAnsi="Times New Roman"/>
          <w:sz w:val="21"/>
        </w:rPr>
        <w:t>-</w:t>
      </w:r>
    </w:p>
    <w:p>
      <w:pPr>
        <w:pStyle w:val="Normal"/>
        <w:jc w:val="left"/>
        <w:rPr>
          <w:rFonts w:ascii="Times New Roman" w:hAnsi="Times New Roman"/>
        </w:rPr>
      </w:pPr>
      <w:r>
        <w:rPr>
          <w:rFonts w:ascii="Times New Roman" w:hAnsi="Times New Roman"/>
          <w:sz w:val="21"/>
        </w:rPr>
        <w:t>Εάν η σχετική τεκμηρίωση διατίθεται ηλεκτρονικά, αναφέρετε:</w:t>
      </w:r>
    </w:p>
    <w:p>
      <w:pPr>
        <w:pStyle w:val="Normal"/>
        <w:jc w:val="left"/>
        <w:rPr>
          <w:rFonts w:ascii="Times New Roman" w:hAnsi="Times New Roman"/>
        </w:rPr>
      </w:pPr>
      <w:r>
        <w:rPr>
          <w:rFonts w:ascii="Times New Roman" w:hAnsi="Times New Roman"/>
          <w:sz w:val="21"/>
        </w:rPr>
        <w:t>Ναι / Όχι</w:t>
      </w:r>
    </w:p>
    <w:p>
      <w:pPr>
        <w:pStyle w:val="Normal"/>
        <w:jc w:val="left"/>
        <w:rPr>
          <w:rFonts w:ascii="Times New Roman" w:hAnsi="Times New Roman"/>
        </w:rPr>
      </w:pPr>
      <w:r>
        <w:rPr>
          <w:rFonts w:ascii="Times New Roman" w:hAnsi="Times New Roman"/>
          <w:sz w:val="21"/>
        </w:rPr>
        <w:t>Διαδικτυακή Διεύθυνση</w:t>
      </w:r>
    </w:p>
    <w:p>
      <w:pPr>
        <w:pStyle w:val="Normal"/>
        <w:jc w:val="left"/>
        <w:rPr>
          <w:rFonts w:ascii="Times New Roman" w:hAnsi="Times New Roman"/>
        </w:rPr>
      </w:pPr>
      <w:r>
        <w:rPr>
          <w:rFonts w:ascii="Times New Roman" w:hAnsi="Times New Roman"/>
          <w:sz w:val="21"/>
        </w:rPr>
        <w:t>-</w:t>
      </w:r>
    </w:p>
    <w:p>
      <w:pPr>
        <w:pStyle w:val="Normal"/>
        <w:jc w:val="left"/>
        <w:rPr>
          <w:rFonts w:ascii="Times New Roman" w:hAnsi="Times New Roman"/>
        </w:rPr>
      </w:pPr>
      <w:r>
        <w:rPr>
          <w:rFonts w:ascii="Times New Roman" w:hAnsi="Times New Roman"/>
          <w:sz w:val="21"/>
        </w:rPr>
        <w:t>Επακριβή στοιχεία αναφοράς των εγγράφων</w:t>
      </w:r>
    </w:p>
    <w:p>
      <w:pPr>
        <w:pStyle w:val="Normal"/>
        <w:jc w:val="left"/>
        <w:rPr>
          <w:rFonts w:ascii="Times New Roman" w:hAnsi="Times New Roman"/>
        </w:rPr>
      </w:pPr>
      <w:r>
        <w:rPr>
          <w:rFonts w:ascii="Times New Roman" w:hAnsi="Times New Roman"/>
          <w:sz w:val="21"/>
        </w:rPr>
        <w:t>-</w:t>
      </w:r>
    </w:p>
    <w:p>
      <w:pPr>
        <w:pStyle w:val="Normal"/>
        <w:jc w:val="left"/>
        <w:rPr>
          <w:rFonts w:ascii="Times New Roman" w:hAnsi="Times New Roman"/>
        </w:rPr>
      </w:pPr>
      <w:r>
        <w:rPr>
          <w:rFonts w:ascii="Times New Roman" w:hAnsi="Times New Roman"/>
          <w:sz w:val="21"/>
        </w:rPr>
        <w:t>Αρχή ή Φορέας έκδοσης</w:t>
      </w:r>
    </w:p>
    <w:p>
      <w:pPr>
        <w:pStyle w:val="Normal"/>
        <w:jc w:val="left"/>
        <w:rPr>
          <w:rFonts w:ascii="Times New Roman" w:hAnsi="Times New Roman"/>
        </w:rPr>
      </w:pPr>
      <w:r>
        <w:rPr>
          <w:rFonts w:ascii="Times New Roman" w:hAnsi="Times New Roman"/>
          <w:sz w:val="21"/>
        </w:rPr>
        <w:t>-</w:t>
      </w:r>
    </w:p>
    <w:p>
      <w:pPr>
        <w:pStyle w:val="Normal"/>
        <w:jc w:val="left"/>
        <w:rPr>
          <w:rFonts w:ascii="Times New Roman" w:hAnsi="Times New Roman"/>
        </w:rPr>
      </w:pPr>
      <w:r>
        <w:rPr>
          <w:rFonts w:ascii="Times New Roman" w:hAnsi="Times New Roman"/>
          <w:sz w:val="21"/>
        </w:rPr>
        <w:t>Συμφωνίες με άλλους οικονομικούς φορείς με στόχο τη στρέβλωση του ανταγωνισμού</w:t>
      </w:r>
    </w:p>
    <w:p>
      <w:pPr>
        <w:pStyle w:val="Normal"/>
        <w:jc w:val="left"/>
        <w:rPr>
          <w:sz w:val="21"/>
        </w:rPr>
      </w:pPr>
      <w:r>
        <w:rPr>
          <w:sz w:val="21"/>
        </w:rPr>
      </w:r>
    </w:p>
    <w:p>
      <w:pPr>
        <w:pStyle w:val="Normal"/>
        <w:jc w:val="left"/>
        <w:rPr>
          <w:rFonts w:ascii="Times New Roman" w:hAnsi="Times New Roman"/>
        </w:rPr>
      </w:pPr>
      <w:r>
        <w:rPr>
          <w:rFonts w:ascii="Times New Roman" w:hAnsi="Times New Roman"/>
          <w:sz w:val="21"/>
        </w:rPr>
        <w:t>Έχει συνάψει ο οικονομικός φορέας συμφωνίες με άλλους οικονομικούς φορείς με</w:t>
      </w:r>
    </w:p>
    <w:p>
      <w:pPr>
        <w:pStyle w:val="Normal"/>
        <w:jc w:val="left"/>
        <w:rPr>
          <w:rFonts w:ascii="Times New Roman" w:hAnsi="Times New Roman"/>
        </w:rPr>
      </w:pPr>
      <w:r>
        <w:rPr>
          <w:rFonts w:ascii="Times New Roman" w:hAnsi="Times New Roman"/>
          <w:sz w:val="21"/>
        </w:rPr>
        <w:t>σκοπό τη στρέβλωση του ανταγωνισμού;</w:t>
      </w:r>
    </w:p>
    <w:p>
      <w:pPr>
        <w:pStyle w:val="Normal"/>
        <w:jc w:val="left"/>
        <w:rPr>
          <w:rFonts w:ascii="Times New Roman" w:hAnsi="Times New Roman"/>
        </w:rPr>
      </w:pPr>
      <w:r>
        <w:rPr>
          <w:rFonts w:ascii="Times New Roman" w:hAnsi="Times New Roman"/>
          <w:sz w:val="21"/>
        </w:rPr>
        <w:t>Απάντηση:</w:t>
      </w:r>
    </w:p>
    <w:p>
      <w:pPr>
        <w:pStyle w:val="Normal"/>
        <w:jc w:val="left"/>
        <w:rPr>
          <w:rFonts w:ascii="Times New Roman" w:hAnsi="Times New Roman"/>
        </w:rPr>
      </w:pPr>
      <w:r>
        <w:rPr>
          <w:rFonts w:ascii="Times New Roman" w:hAnsi="Times New Roman"/>
          <w:sz w:val="21"/>
        </w:rPr>
        <w:t>Ναι / Όχι</w:t>
      </w:r>
    </w:p>
    <w:p>
      <w:pPr>
        <w:pStyle w:val="Normal"/>
        <w:jc w:val="left"/>
        <w:rPr>
          <w:rFonts w:ascii="Times New Roman" w:hAnsi="Times New Roman"/>
        </w:rPr>
      </w:pPr>
      <w:r>
        <w:rPr>
          <w:rFonts w:ascii="Times New Roman" w:hAnsi="Times New Roman"/>
          <w:sz w:val="21"/>
        </w:rPr>
        <w:t>Παρακαλώ αναφέρετε λεπτομερείς πληροφορίες</w:t>
      </w:r>
    </w:p>
    <w:p>
      <w:pPr>
        <w:pStyle w:val="Normal"/>
        <w:jc w:val="left"/>
        <w:rPr>
          <w:rFonts w:ascii="Times New Roman" w:hAnsi="Times New Roman"/>
        </w:rPr>
      </w:pPr>
      <w:r>
        <w:rPr>
          <w:rFonts w:ascii="Times New Roman" w:hAnsi="Times New Roman"/>
          <w:sz w:val="21"/>
        </w:rPr>
        <w:t>-</w:t>
      </w:r>
    </w:p>
    <w:p>
      <w:pPr>
        <w:pStyle w:val="Normal"/>
        <w:jc w:val="left"/>
        <w:rPr>
          <w:rFonts w:ascii="Times New Roman" w:hAnsi="Times New Roman"/>
        </w:rPr>
      </w:pPr>
      <w:r>
        <w:rPr>
          <w:rFonts w:ascii="Times New Roman" w:hAnsi="Times New Roman"/>
          <w:sz w:val="21"/>
        </w:rPr>
        <w:t>Σε περίπτωση καταδικης, ο οικονομικός φορέας έχει λάβει μέτρα που</w:t>
      </w:r>
    </w:p>
    <w:p>
      <w:pPr>
        <w:pStyle w:val="Normal"/>
        <w:jc w:val="left"/>
        <w:rPr>
          <w:rFonts w:ascii="Times New Roman" w:hAnsi="Times New Roman"/>
        </w:rPr>
      </w:pPr>
      <w:r>
        <w:rPr>
          <w:rFonts w:ascii="Times New Roman" w:hAnsi="Times New Roman"/>
          <w:sz w:val="21"/>
        </w:rPr>
        <w:t>να αποδεικνύουν την αξιοπιστία του παρά την ύπαρξη σχετικού λόγου αποκλεισμού (“αυτοκάθαρση”);</w:t>
      </w:r>
    </w:p>
    <w:p>
      <w:pPr>
        <w:pStyle w:val="Normal"/>
        <w:jc w:val="left"/>
        <w:rPr>
          <w:rFonts w:ascii="Times New Roman" w:hAnsi="Times New Roman"/>
        </w:rPr>
      </w:pPr>
      <w:r>
        <w:rPr>
          <w:rFonts w:ascii="Times New Roman" w:hAnsi="Times New Roman"/>
          <w:sz w:val="21"/>
        </w:rPr>
        <w:t>Ναι / Όχι</w:t>
      </w:r>
    </w:p>
    <w:p>
      <w:pPr>
        <w:pStyle w:val="Normal"/>
        <w:jc w:val="left"/>
        <w:rPr>
          <w:rFonts w:ascii="Times New Roman" w:hAnsi="Times New Roman"/>
        </w:rPr>
      </w:pPr>
      <w:r>
        <w:rPr>
          <w:rFonts w:ascii="Times New Roman" w:hAnsi="Times New Roman"/>
          <w:sz w:val="21"/>
        </w:rPr>
        <w:t>Περιγράψτε τα μέτρα που λήφθηκαν</w:t>
      </w:r>
    </w:p>
    <w:p>
      <w:pPr>
        <w:pStyle w:val="Normal"/>
        <w:jc w:val="left"/>
        <w:rPr>
          <w:rFonts w:ascii="Times New Roman" w:hAnsi="Times New Roman"/>
        </w:rPr>
      </w:pPr>
      <w:r>
        <w:rPr>
          <w:rFonts w:ascii="Times New Roman" w:hAnsi="Times New Roman"/>
          <w:sz w:val="21"/>
        </w:rPr>
        <w:t>-</w:t>
      </w:r>
    </w:p>
    <w:p>
      <w:pPr>
        <w:pStyle w:val="Normal"/>
        <w:jc w:val="left"/>
        <w:rPr>
          <w:rFonts w:ascii="Times New Roman" w:hAnsi="Times New Roman"/>
        </w:rPr>
      </w:pPr>
      <w:r>
        <w:rPr>
          <w:rFonts w:ascii="Times New Roman" w:hAnsi="Times New Roman"/>
          <w:sz w:val="21"/>
        </w:rPr>
        <w:t>Εάν η σχετική τεκμηρίωση διατίθεται ηλεκτρονικά, αναφέρετε:</w:t>
      </w:r>
    </w:p>
    <w:p>
      <w:pPr>
        <w:pStyle w:val="Normal"/>
        <w:jc w:val="left"/>
        <w:rPr>
          <w:rFonts w:ascii="Times New Roman" w:hAnsi="Times New Roman"/>
        </w:rPr>
      </w:pPr>
      <w:r>
        <w:rPr>
          <w:rFonts w:ascii="Times New Roman" w:hAnsi="Times New Roman"/>
          <w:sz w:val="21"/>
        </w:rPr>
        <w:t>Ναι / Όχι</w:t>
      </w:r>
    </w:p>
    <w:p>
      <w:pPr>
        <w:pStyle w:val="Normal"/>
        <w:jc w:val="left"/>
        <w:rPr>
          <w:rFonts w:ascii="Times New Roman" w:hAnsi="Times New Roman"/>
        </w:rPr>
      </w:pPr>
      <w:r>
        <w:rPr>
          <w:rFonts w:ascii="Times New Roman" w:hAnsi="Times New Roman"/>
          <w:sz w:val="21"/>
        </w:rPr>
        <w:t>Διαδικτυακή Διεύθυνση</w:t>
      </w:r>
    </w:p>
    <w:p>
      <w:pPr>
        <w:pStyle w:val="Normal"/>
        <w:jc w:val="left"/>
        <w:rPr>
          <w:rFonts w:ascii="Times New Roman" w:hAnsi="Times New Roman"/>
        </w:rPr>
      </w:pPr>
      <w:r>
        <w:rPr>
          <w:rFonts w:ascii="Times New Roman" w:hAnsi="Times New Roman"/>
          <w:sz w:val="21"/>
        </w:rPr>
        <w:t>-</w:t>
      </w:r>
    </w:p>
    <w:p>
      <w:pPr>
        <w:pStyle w:val="Normal"/>
        <w:jc w:val="left"/>
        <w:rPr>
          <w:rFonts w:ascii="Times New Roman" w:hAnsi="Times New Roman"/>
        </w:rPr>
      </w:pPr>
      <w:r>
        <w:rPr>
          <w:rFonts w:ascii="Times New Roman" w:hAnsi="Times New Roman"/>
          <w:sz w:val="21"/>
        </w:rPr>
        <w:t>Επακριβή στοιχεία αναφοράς των εγγράφων</w:t>
      </w:r>
    </w:p>
    <w:p>
      <w:pPr>
        <w:pStyle w:val="Normal"/>
        <w:jc w:val="left"/>
        <w:rPr>
          <w:rFonts w:ascii="Times New Roman" w:hAnsi="Times New Roman"/>
        </w:rPr>
      </w:pPr>
      <w:r>
        <w:rPr>
          <w:rFonts w:ascii="Times New Roman" w:hAnsi="Times New Roman"/>
          <w:sz w:val="21"/>
        </w:rPr>
        <w:t>-</w:t>
      </w:r>
    </w:p>
    <w:p>
      <w:pPr>
        <w:pStyle w:val="Normal"/>
        <w:jc w:val="left"/>
        <w:rPr>
          <w:rFonts w:ascii="Times New Roman" w:hAnsi="Times New Roman"/>
        </w:rPr>
      </w:pPr>
      <w:r>
        <w:rPr>
          <w:rFonts w:ascii="Times New Roman" w:hAnsi="Times New Roman"/>
          <w:sz w:val="21"/>
        </w:rPr>
        <w:t>Αρχή ή Φορέας έκδοσης</w:t>
      </w:r>
    </w:p>
    <w:p>
      <w:pPr>
        <w:pStyle w:val="Normal"/>
        <w:jc w:val="left"/>
        <w:rPr>
          <w:rFonts w:ascii="Times New Roman" w:hAnsi="Times New Roman"/>
        </w:rPr>
      </w:pPr>
      <w:r>
        <w:rPr>
          <w:rFonts w:ascii="Times New Roman" w:hAnsi="Times New Roman"/>
          <w:sz w:val="21"/>
        </w:rPr>
        <w:t>-</w:t>
      </w:r>
    </w:p>
    <w:p>
      <w:pPr>
        <w:pStyle w:val="Normal"/>
        <w:jc w:val="left"/>
        <w:rPr>
          <w:rFonts w:ascii="Times New Roman" w:hAnsi="Times New Roman"/>
        </w:rPr>
      </w:pPr>
      <w:r>
        <w:rPr>
          <w:rFonts w:ascii="Times New Roman" w:hAnsi="Times New Roman"/>
          <w:sz w:val="21"/>
        </w:rPr>
        <w:t>Σύγκρουση συμφερόντων λόγω της συμμετοχής του στη διαδικασία σύναψης σύμβασης</w:t>
      </w:r>
    </w:p>
    <w:p>
      <w:pPr>
        <w:pStyle w:val="Normal"/>
        <w:jc w:val="left"/>
        <w:rPr>
          <w:rFonts w:ascii="Times New Roman" w:hAnsi="Times New Roman"/>
        </w:rPr>
      </w:pPr>
      <w:r>
        <w:rPr>
          <w:rFonts w:ascii="Times New Roman" w:hAnsi="Times New Roman"/>
          <w:sz w:val="21"/>
        </w:rPr>
        <w:t>Γνωρίζει ο οικονομικός φορέας την ύπαρξη τυχόν σύγκρουσης συμφερόντων λόγω της</w:t>
      </w:r>
    </w:p>
    <w:p>
      <w:pPr>
        <w:pStyle w:val="Normal"/>
        <w:jc w:val="left"/>
        <w:rPr>
          <w:rFonts w:ascii="Times New Roman" w:hAnsi="Times New Roman"/>
        </w:rPr>
      </w:pPr>
      <w:r>
        <w:rPr>
          <w:rFonts w:ascii="Times New Roman" w:hAnsi="Times New Roman"/>
          <w:sz w:val="21"/>
        </w:rPr>
        <w:t>συμμετοχής του στη διαδικασία σύναψης σύμβασης;</w:t>
      </w:r>
    </w:p>
    <w:p>
      <w:pPr>
        <w:pStyle w:val="Normal"/>
        <w:jc w:val="left"/>
        <w:rPr>
          <w:rFonts w:ascii="Times New Roman" w:hAnsi="Times New Roman"/>
        </w:rPr>
      </w:pPr>
      <w:r>
        <w:rPr>
          <w:rFonts w:ascii="Times New Roman" w:hAnsi="Times New Roman"/>
          <w:sz w:val="21"/>
        </w:rPr>
        <w:t>Απάντηση:</w:t>
      </w:r>
    </w:p>
    <w:p>
      <w:pPr>
        <w:pStyle w:val="Normal"/>
        <w:jc w:val="left"/>
        <w:rPr>
          <w:rFonts w:ascii="Times New Roman" w:hAnsi="Times New Roman"/>
        </w:rPr>
      </w:pPr>
      <w:r>
        <w:rPr>
          <w:rFonts w:ascii="Times New Roman" w:hAnsi="Times New Roman"/>
          <w:sz w:val="21"/>
        </w:rPr>
        <w:t>Ναι / Όχι</w:t>
      </w:r>
    </w:p>
    <w:p>
      <w:pPr>
        <w:pStyle w:val="Normal"/>
        <w:jc w:val="left"/>
        <w:rPr>
          <w:rFonts w:ascii="Times New Roman" w:hAnsi="Times New Roman"/>
        </w:rPr>
      </w:pPr>
      <w:r>
        <w:rPr>
          <w:rFonts w:ascii="Times New Roman" w:hAnsi="Times New Roman"/>
          <w:sz w:val="21"/>
        </w:rPr>
        <w:t>Παρακαλώ αναφέρετε λεπτομερείς πληροφορίες</w:t>
      </w:r>
    </w:p>
    <w:p>
      <w:pPr>
        <w:pStyle w:val="Normal"/>
        <w:jc w:val="left"/>
        <w:rPr>
          <w:rFonts w:ascii="Times New Roman" w:hAnsi="Times New Roman"/>
        </w:rPr>
      </w:pPr>
      <w:r>
        <w:rPr>
          <w:rFonts w:ascii="Times New Roman" w:hAnsi="Times New Roman"/>
          <w:sz w:val="21"/>
        </w:rPr>
        <w:t>-</w:t>
      </w:r>
    </w:p>
    <w:p>
      <w:pPr>
        <w:pStyle w:val="Normal"/>
        <w:jc w:val="left"/>
        <w:rPr>
          <w:rFonts w:ascii="Times New Roman" w:hAnsi="Times New Roman"/>
        </w:rPr>
      </w:pPr>
      <w:r>
        <w:rPr>
          <w:rFonts w:ascii="Times New Roman" w:hAnsi="Times New Roman"/>
          <w:sz w:val="21"/>
        </w:rPr>
        <w:t>Εάν η σχετική τεκμηρίωση διατίθεται ηλεκτρονικά, αναφέρετε:</w:t>
      </w:r>
    </w:p>
    <w:p>
      <w:pPr>
        <w:pStyle w:val="Normal"/>
        <w:jc w:val="left"/>
        <w:rPr>
          <w:rFonts w:ascii="Times New Roman" w:hAnsi="Times New Roman"/>
        </w:rPr>
      </w:pPr>
      <w:r>
        <w:rPr>
          <w:rFonts w:ascii="Times New Roman" w:hAnsi="Times New Roman"/>
          <w:sz w:val="21"/>
        </w:rPr>
        <w:t>Ναι / Όχι</w:t>
      </w:r>
    </w:p>
    <w:p>
      <w:pPr>
        <w:pStyle w:val="Normal"/>
        <w:jc w:val="left"/>
        <w:rPr>
          <w:rFonts w:ascii="Times New Roman" w:hAnsi="Times New Roman"/>
        </w:rPr>
      </w:pPr>
      <w:r>
        <w:rPr>
          <w:rFonts w:ascii="Times New Roman" w:hAnsi="Times New Roman"/>
          <w:sz w:val="21"/>
        </w:rPr>
        <w:t>Διαδικτυακή Διεύθυνση</w:t>
      </w:r>
    </w:p>
    <w:p>
      <w:pPr>
        <w:pStyle w:val="Normal"/>
        <w:jc w:val="left"/>
        <w:rPr>
          <w:rFonts w:ascii="Times New Roman" w:hAnsi="Times New Roman"/>
        </w:rPr>
      </w:pPr>
      <w:r>
        <w:rPr>
          <w:rFonts w:ascii="Times New Roman" w:hAnsi="Times New Roman"/>
          <w:sz w:val="21"/>
        </w:rPr>
        <w:t>-</w:t>
      </w:r>
    </w:p>
    <w:p>
      <w:pPr>
        <w:pStyle w:val="Normal"/>
        <w:jc w:val="left"/>
        <w:rPr>
          <w:rFonts w:ascii="Times New Roman" w:hAnsi="Times New Roman"/>
        </w:rPr>
      </w:pPr>
      <w:r>
        <w:rPr>
          <w:rFonts w:ascii="Times New Roman" w:hAnsi="Times New Roman"/>
          <w:sz w:val="21"/>
        </w:rPr>
        <w:t>Επακριβή στοιχεία αναφοράς των εγγράφων</w:t>
      </w:r>
    </w:p>
    <w:p>
      <w:pPr>
        <w:pStyle w:val="Normal"/>
        <w:jc w:val="left"/>
        <w:rPr>
          <w:rFonts w:ascii="Times New Roman" w:hAnsi="Times New Roman"/>
        </w:rPr>
      </w:pPr>
      <w:r>
        <w:rPr>
          <w:rFonts w:ascii="Times New Roman" w:hAnsi="Times New Roman"/>
          <w:sz w:val="21"/>
        </w:rPr>
        <w:t>-</w:t>
      </w:r>
    </w:p>
    <w:p>
      <w:pPr>
        <w:pStyle w:val="Normal"/>
        <w:jc w:val="left"/>
        <w:rPr>
          <w:rFonts w:ascii="Times New Roman" w:hAnsi="Times New Roman"/>
        </w:rPr>
      </w:pPr>
      <w:r>
        <w:rPr>
          <w:rFonts w:ascii="Times New Roman" w:hAnsi="Times New Roman"/>
          <w:sz w:val="21"/>
        </w:rPr>
        <w:t>Αρχή ή Φορέας έκδοσης</w:t>
      </w:r>
    </w:p>
    <w:p>
      <w:pPr>
        <w:pStyle w:val="Normal"/>
        <w:jc w:val="left"/>
        <w:rPr>
          <w:rFonts w:ascii="Times New Roman" w:hAnsi="Times New Roman"/>
        </w:rPr>
      </w:pPr>
      <w:r>
        <w:rPr>
          <w:rFonts w:ascii="Times New Roman" w:hAnsi="Times New Roman"/>
          <w:sz w:val="21"/>
        </w:rPr>
        <w:t>-</w:t>
      </w:r>
    </w:p>
    <w:p>
      <w:pPr>
        <w:pStyle w:val="Normal"/>
        <w:jc w:val="left"/>
        <w:rPr>
          <w:rFonts w:ascii="Times New Roman" w:hAnsi="Times New Roman"/>
        </w:rPr>
      </w:pPr>
      <w:r>
        <w:rPr>
          <w:rFonts w:ascii="Times New Roman" w:hAnsi="Times New Roman"/>
          <w:sz w:val="21"/>
        </w:rPr>
        <w:t>Παροχή συμβουλών ή εμπλοκή στην προετοιμασία της διαδικασίας σύναψης της σύμβασης</w:t>
      </w:r>
    </w:p>
    <w:p>
      <w:pPr>
        <w:pStyle w:val="Normal"/>
        <w:jc w:val="left"/>
        <w:rPr>
          <w:rFonts w:ascii="Times New Roman" w:hAnsi="Times New Roman"/>
        </w:rPr>
      </w:pPr>
      <w:r>
        <w:rPr>
          <w:rFonts w:ascii="Times New Roman" w:hAnsi="Times New Roman"/>
          <w:sz w:val="21"/>
        </w:rPr>
        <w:t>Έχει παράσχει ο οικονομικός φορέας ή επιχείρηση συνδεδεμένη με αυτόν συμβουλές</w:t>
      </w:r>
    </w:p>
    <w:p>
      <w:pPr>
        <w:pStyle w:val="Normal"/>
        <w:jc w:val="left"/>
        <w:rPr>
          <w:rFonts w:ascii="Times New Roman" w:hAnsi="Times New Roman"/>
        </w:rPr>
      </w:pPr>
      <w:r>
        <w:rPr>
          <w:rFonts w:ascii="Times New Roman" w:hAnsi="Times New Roman"/>
          <w:sz w:val="21"/>
        </w:rPr>
        <w:t>στην αναθέτουσα αρχή ή στον αναθέτοντα φορέα ή έχει με άλλο τρόπο εμπλακεί στην</w:t>
      </w:r>
    </w:p>
    <w:p>
      <w:pPr>
        <w:pStyle w:val="Normal"/>
        <w:jc w:val="left"/>
        <w:rPr>
          <w:rFonts w:ascii="Times New Roman" w:hAnsi="Times New Roman"/>
        </w:rPr>
      </w:pPr>
      <w:r>
        <w:rPr>
          <w:rFonts w:ascii="Times New Roman" w:hAnsi="Times New Roman"/>
          <w:sz w:val="21"/>
        </w:rPr>
        <w:t>προετοιμασία της διαδικασίας σύναψης της σύμβασης;</w:t>
      </w:r>
    </w:p>
    <w:p>
      <w:pPr>
        <w:pStyle w:val="Normal"/>
        <w:jc w:val="left"/>
        <w:rPr>
          <w:rFonts w:ascii="Times New Roman" w:hAnsi="Times New Roman"/>
        </w:rPr>
      </w:pPr>
      <w:r>
        <w:rPr>
          <w:rFonts w:ascii="Times New Roman" w:hAnsi="Times New Roman"/>
          <w:sz w:val="21"/>
        </w:rPr>
        <w:t>Απάντηση:</w:t>
      </w:r>
    </w:p>
    <w:p>
      <w:pPr>
        <w:pStyle w:val="Normal"/>
        <w:jc w:val="left"/>
        <w:rPr>
          <w:rFonts w:ascii="Times New Roman" w:hAnsi="Times New Roman"/>
        </w:rPr>
      </w:pPr>
      <w:r>
        <w:rPr>
          <w:rFonts w:ascii="Times New Roman" w:hAnsi="Times New Roman"/>
          <w:sz w:val="21"/>
        </w:rPr>
        <w:t>Ναι / Όχι</w:t>
      </w:r>
    </w:p>
    <w:p>
      <w:pPr>
        <w:pStyle w:val="Normal"/>
        <w:jc w:val="left"/>
        <w:rPr>
          <w:rFonts w:ascii="Times New Roman" w:hAnsi="Times New Roman"/>
        </w:rPr>
      </w:pPr>
      <w:r>
        <w:rPr>
          <w:rFonts w:ascii="Times New Roman" w:hAnsi="Times New Roman"/>
          <w:sz w:val="21"/>
        </w:rPr>
        <w:t>Παρακαλώ αναφέρετε λεπτομερείς πληροφορίες</w:t>
      </w:r>
    </w:p>
    <w:p>
      <w:pPr>
        <w:pStyle w:val="Normal"/>
        <w:jc w:val="left"/>
        <w:rPr>
          <w:rFonts w:ascii="Times New Roman" w:hAnsi="Times New Roman"/>
        </w:rPr>
      </w:pPr>
      <w:r>
        <w:rPr>
          <w:rFonts w:ascii="Times New Roman" w:hAnsi="Times New Roman"/>
          <w:sz w:val="21"/>
        </w:rPr>
        <w:t>-</w:t>
      </w:r>
    </w:p>
    <w:p>
      <w:pPr>
        <w:pStyle w:val="Normal"/>
        <w:jc w:val="left"/>
        <w:rPr>
          <w:rFonts w:ascii="Times New Roman" w:hAnsi="Times New Roman"/>
        </w:rPr>
      </w:pPr>
      <w:r>
        <w:rPr>
          <w:rFonts w:ascii="Times New Roman" w:hAnsi="Times New Roman"/>
          <w:sz w:val="21"/>
        </w:rPr>
        <w:t>Εάν η σχετική τεκμηρίωση διατίθεται ηλεκτρονικά, αναφέρετε:</w:t>
      </w:r>
    </w:p>
    <w:p>
      <w:pPr>
        <w:pStyle w:val="Normal"/>
        <w:jc w:val="left"/>
        <w:rPr>
          <w:rFonts w:ascii="Times New Roman" w:hAnsi="Times New Roman"/>
        </w:rPr>
      </w:pPr>
      <w:r>
        <w:rPr>
          <w:rFonts w:ascii="Times New Roman" w:hAnsi="Times New Roman"/>
          <w:sz w:val="21"/>
        </w:rPr>
        <w:t>Ναι / Όχι</w:t>
      </w:r>
    </w:p>
    <w:p>
      <w:pPr>
        <w:pStyle w:val="Normal"/>
        <w:jc w:val="left"/>
        <w:rPr>
          <w:rFonts w:ascii="Times New Roman" w:hAnsi="Times New Roman"/>
        </w:rPr>
      </w:pPr>
      <w:r>
        <w:rPr>
          <w:rFonts w:ascii="Times New Roman" w:hAnsi="Times New Roman"/>
          <w:sz w:val="21"/>
        </w:rPr>
        <w:t>Διαδικτυακή Διεύθυνση</w:t>
      </w:r>
    </w:p>
    <w:p>
      <w:pPr>
        <w:pStyle w:val="Normal"/>
        <w:jc w:val="left"/>
        <w:rPr>
          <w:rFonts w:ascii="Times New Roman" w:hAnsi="Times New Roman"/>
        </w:rPr>
      </w:pPr>
      <w:r>
        <w:rPr>
          <w:rFonts w:ascii="Times New Roman" w:hAnsi="Times New Roman"/>
          <w:sz w:val="21"/>
        </w:rPr>
        <w:t>-</w:t>
      </w:r>
    </w:p>
    <w:p>
      <w:pPr>
        <w:pStyle w:val="Normal"/>
        <w:jc w:val="left"/>
        <w:rPr>
          <w:rFonts w:ascii="Times New Roman" w:hAnsi="Times New Roman"/>
        </w:rPr>
      </w:pPr>
      <w:r>
        <w:rPr>
          <w:rFonts w:ascii="Times New Roman" w:hAnsi="Times New Roman"/>
          <w:sz w:val="21"/>
        </w:rPr>
        <w:t>Επακριβή στοιχεία αναφοράς των εγγράφων</w:t>
      </w:r>
    </w:p>
    <w:p>
      <w:pPr>
        <w:pStyle w:val="Normal"/>
        <w:jc w:val="left"/>
        <w:rPr>
          <w:rFonts w:ascii="Times New Roman" w:hAnsi="Times New Roman"/>
        </w:rPr>
      </w:pPr>
      <w:r>
        <w:rPr>
          <w:rFonts w:ascii="Times New Roman" w:hAnsi="Times New Roman"/>
          <w:sz w:val="21"/>
        </w:rPr>
        <w:t>-</w:t>
      </w:r>
    </w:p>
    <w:p>
      <w:pPr>
        <w:pStyle w:val="Normal"/>
        <w:jc w:val="left"/>
        <w:rPr>
          <w:rFonts w:ascii="Times New Roman" w:hAnsi="Times New Roman"/>
        </w:rPr>
      </w:pPr>
      <w:r>
        <w:rPr>
          <w:rFonts w:ascii="Times New Roman" w:hAnsi="Times New Roman"/>
          <w:sz w:val="21"/>
        </w:rPr>
        <w:t>Αρχή ή Φορέας έκδοσης</w:t>
      </w:r>
    </w:p>
    <w:p>
      <w:pPr>
        <w:pStyle w:val="Normal"/>
        <w:jc w:val="left"/>
        <w:rPr>
          <w:rFonts w:ascii="Times New Roman" w:hAnsi="Times New Roman"/>
        </w:rPr>
      </w:pPr>
      <w:r>
        <w:rPr>
          <w:rFonts w:ascii="Times New Roman" w:hAnsi="Times New Roman"/>
          <w:sz w:val="21"/>
        </w:rPr>
        <w:t>-</w:t>
      </w:r>
    </w:p>
    <w:p>
      <w:pPr>
        <w:pStyle w:val="Normal"/>
        <w:jc w:val="left"/>
        <w:rPr>
          <w:rFonts w:ascii="Times New Roman" w:hAnsi="Times New Roman"/>
        </w:rPr>
      </w:pPr>
      <w:r>
        <w:rPr>
          <w:rFonts w:ascii="Times New Roman" w:hAnsi="Times New Roman"/>
          <w:sz w:val="21"/>
        </w:rPr>
        <w:t>Πρόωρη καταγγελία, αποζημιώσεις ή άλλες παρόμοιες κυρώσεις</w:t>
      </w:r>
    </w:p>
    <w:p>
      <w:pPr>
        <w:pStyle w:val="Normal"/>
        <w:jc w:val="left"/>
        <w:rPr>
          <w:rFonts w:ascii="Times New Roman" w:hAnsi="Times New Roman"/>
        </w:rPr>
      </w:pPr>
      <w:r>
        <w:rPr>
          <w:rFonts w:ascii="Times New Roman" w:hAnsi="Times New Roman"/>
          <w:sz w:val="21"/>
        </w:rPr>
        <w:t>Έχει υποστεί ο οικονομικός φορέας πρόωρη καταγγελία προηγούμενης δημόσιας</w:t>
      </w:r>
    </w:p>
    <w:p>
      <w:pPr>
        <w:pStyle w:val="Normal"/>
        <w:jc w:val="left"/>
        <w:rPr>
          <w:rFonts w:ascii="Times New Roman" w:hAnsi="Times New Roman"/>
        </w:rPr>
      </w:pPr>
      <w:r>
        <w:rPr>
          <w:rFonts w:ascii="Times New Roman" w:hAnsi="Times New Roman"/>
          <w:sz w:val="21"/>
        </w:rPr>
        <w:t>σύμβασης, προηγούμενης σύμβασης με αναθέτοντα φορέα ή προηγούμενης σύμβασης</w:t>
      </w:r>
    </w:p>
    <w:p>
      <w:pPr>
        <w:pStyle w:val="Normal"/>
        <w:jc w:val="left"/>
        <w:rPr>
          <w:rFonts w:ascii="Times New Roman" w:hAnsi="Times New Roman"/>
        </w:rPr>
      </w:pPr>
      <w:r>
        <w:rPr>
          <w:rFonts w:ascii="Times New Roman" w:hAnsi="Times New Roman"/>
          <w:sz w:val="21"/>
        </w:rPr>
        <w:t>παραχώρησης, ή επιβολή αποζημιώσεων ή άλλων παρόμοιων κυρώσεων σε σχέση με την</w:t>
      </w:r>
    </w:p>
    <w:p>
      <w:pPr>
        <w:pStyle w:val="Normal"/>
        <w:jc w:val="left"/>
        <w:rPr>
          <w:rFonts w:ascii="Times New Roman" w:hAnsi="Times New Roman"/>
        </w:rPr>
      </w:pPr>
      <w:r>
        <w:rPr>
          <w:rFonts w:ascii="Times New Roman" w:hAnsi="Times New Roman"/>
          <w:sz w:val="21"/>
        </w:rPr>
        <w:t>εν λόγω προηγούμενη σύμβαση;</w:t>
      </w:r>
    </w:p>
    <w:p>
      <w:pPr>
        <w:pStyle w:val="Normal"/>
        <w:jc w:val="left"/>
        <w:rPr>
          <w:rFonts w:ascii="Times New Roman" w:hAnsi="Times New Roman"/>
        </w:rPr>
      </w:pPr>
      <w:r>
        <w:rPr>
          <w:rFonts w:ascii="Times New Roman" w:hAnsi="Times New Roman"/>
          <w:sz w:val="21"/>
        </w:rPr>
        <w:t>Απάντηση:</w:t>
      </w:r>
    </w:p>
    <w:p>
      <w:pPr>
        <w:pStyle w:val="Normal"/>
        <w:jc w:val="left"/>
        <w:rPr>
          <w:rFonts w:ascii="Times New Roman" w:hAnsi="Times New Roman"/>
        </w:rPr>
      </w:pPr>
      <w:r>
        <w:rPr>
          <w:rFonts w:ascii="Times New Roman" w:hAnsi="Times New Roman"/>
          <w:sz w:val="21"/>
        </w:rPr>
        <w:t>Ναι / Όχι</w:t>
      </w:r>
    </w:p>
    <w:p>
      <w:pPr>
        <w:pStyle w:val="Normal"/>
        <w:jc w:val="left"/>
        <w:rPr>
          <w:rFonts w:ascii="Times New Roman" w:hAnsi="Times New Roman"/>
        </w:rPr>
      </w:pPr>
      <w:r>
        <w:rPr>
          <w:rFonts w:ascii="Times New Roman" w:hAnsi="Times New Roman"/>
          <w:sz w:val="21"/>
        </w:rPr>
        <w:t>Παρακαλώ αναφέρετε λεπτομερείς πληροφορίες</w:t>
      </w:r>
    </w:p>
    <w:p>
      <w:pPr>
        <w:pStyle w:val="Normal"/>
        <w:jc w:val="left"/>
        <w:rPr>
          <w:rFonts w:ascii="Times New Roman" w:hAnsi="Times New Roman"/>
        </w:rPr>
      </w:pPr>
      <w:r>
        <w:rPr>
          <w:rFonts w:ascii="Times New Roman" w:hAnsi="Times New Roman"/>
          <w:sz w:val="21"/>
        </w:rPr>
        <w:t>-</w:t>
      </w:r>
    </w:p>
    <w:p>
      <w:pPr>
        <w:pStyle w:val="Normal"/>
        <w:jc w:val="left"/>
        <w:rPr>
          <w:rFonts w:ascii="Times New Roman" w:hAnsi="Times New Roman"/>
        </w:rPr>
      </w:pPr>
      <w:r>
        <w:rPr>
          <w:rFonts w:ascii="Times New Roman" w:hAnsi="Times New Roman"/>
          <w:sz w:val="21"/>
        </w:rPr>
        <w:t>Σε περίπτωση καταδικης, ο οικονομικός φορέας έχει λάβει μέτρα που</w:t>
      </w:r>
    </w:p>
    <w:p>
      <w:pPr>
        <w:pStyle w:val="Normal"/>
        <w:jc w:val="left"/>
        <w:rPr>
          <w:rFonts w:ascii="Times New Roman" w:hAnsi="Times New Roman"/>
        </w:rPr>
      </w:pPr>
      <w:r>
        <w:rPr>
          <w:rFonts w:ascii="Times New Roman" w:hAnsi="Times New Roman"/>
          <w:sz w:val="21"/>
        </w:rPr>
        <w:t>να αποδεικνύουν την αξιοπιστία του παρά την ύπαρξη σχετικού λόγου αποκλεισμού (“αυτοκάθαρση”);</w:t>
      </w:r>
    </w:p>
    <w:p>
      <w:pPr>
        <w:pStyle w:val="Normal"/>
        <w:jc w:val="left"/>
        <w:rPr>
          <w:rFonts w:ascii="Times New Roman" w:hAnsi="Times New Roman"/>
        </w:rPr>
      </w:pPr>
      <w:r>
        <w:rPr>
          <w:rFonts w:ascii="Times New Roman" w:hAnsi="Times New Roman"/>
          <w:sz w:val="21"/>
        </w:rPr>
        <w:t>Ναι / Όχι</w:t>
      </w:r>
    </w:p>
    <w:p>
      <w:pPr>
        <w:pStyle w:val="Normal"/>
        <w:jc w:val="left"/>
        <w:rPr>
          <w:rFonts w:ascii="Times New Roman" w:hAnsi="Times New Roman"/>
        </w:rPr>
      </w:pPr>
      <w:r>
        <w:rPr>
          <w:rFonts w:ascii="Times New Roman" w:hAnsi="Times New Roman"/>
          <w:sz w:val="21"/>
        </w:rPr>
        <w:t>Περιγράψτε τα μέτρα που λήφθηκαν</w:t>
      </w:r>
    </w:p>
    <w:p>
      <w:pPr>
        <w:pStyle w:val="Normal"/>
        <w:jc w:val="left"/>
        <w:rPr>
          <w:rFonts w:ascii="Times New Roman" w:hAnsi="Times New Roman"/>
        </w:rPr>
      </w:pPr>
      <w:r>
        <w:rPr>
          <w:rFonts w:ascii="Times New Roman" w:hAnsi="Times New Roman"/>
          <w:sz w:val="21"/>
        </w:rPr>
        <w:t>-</w:t>
      </w:r>
    </w:p>
    <w:p>
      <w:pPr>
        <w:pStyle w:val="Normal"/>
        <w:jc w:val="left"/>
        <w:rPr>
          <w:rFonts w:ascii="Times New Roman" w:hAnsi="Times New Roman"/>
        </w:rPr>
      </w:pPr>
      <w:r>
        <w:rPr>
          <w:rFonts w:ascii="Times New Roman" w:hAnsi="Times New Roman"/>
          <w:sz w:val="21"/>
        </w:rPr>
        <w:t>Εάν η σχετική τεκμηρίωση διατίθεται ηλεκτρονικά, αναφέρετε:</w:t>
      </w:r>
    </w:p>
    <w:p>
      <w:pPr>
        <w:pStyle w:val="Normal"/>
        <w:jc w:val="left"/>
        <w:rPr>
          <w:rFonts w:ascii="Times New Roman" w:hAnsi="Times New Roman"/>
        </w:rPr>
      </w:pPr>
      <w:r>
        <w:rPr>
          <w:rFonts w:ascii="Times New Roman" w:hAnsi="Times New Roman"/>
          <w:sz w:val="21"/>
        </w:rPr>
        <w:t>Ναι / Όχι</w:t>
      </w:r>
    </w:p>
    <w:p>
      <w:pPr>
        <w:pStyle w:val="Normal"/>
        <w:jc w:val="left"/>
        <w:rPr>
          <w:rFonts w:ascii="Times New Roman" w:hAnsi="Times New Roman"/>
        </w:rPr>
      </w:pPr>
      <w:r>
        <w:rPr>
          <w:rFonts w:ascii="Times New Roman" w:hAnsi="Times New Roman"/>
          <w:sz w:val="21"/>
        </w:rPr>
        <w:t>Διαδικτυακή Διεύθυνση</w:t>
      </w:r>
    </w:p>
    <w:p>
      <w:pPr>
        <w:pStyle w:val="Normal"/>
        <w:jc w:val="left"/>
        <w:rPr>
          <w:rFonts w:ascii="Times New Roman" w:hAnsi="Times New Roman"/>
        </w:rPr>
      </w:pPr>
      <w:r>
        <w:rPr>
          <w:rFonts w:ascii="Times New Roman" w:hAnsi="Times New Roman"/>
          <w:sz w:val="21"/>
        </w:rPr>
        <w:t>-</w:t>
      </w:r>
    </w:p>
    <w:p>
      <w:pPr>
        <w:pStyle w:val="Normal"/>
        <w:jc w:val="left"/>
        <w:rPr>
          <w:rFonts w:ascii="Times New Roman" w:hAnsi="Times New Roman"/>
        </w:rPr>
      </w:pPr>
      <w:r>
        <w:rPr>
          <w:rFonts w:ascii="Times New Roman" w:hAnsi="Times New Roman"/>
          <w:sz w:val="21"/>
        </w:rPr>
        <w:t>Επακριβή στοιχεία αναφοράς των εγγράφων</w:t>
      </w:r>
    </w:p>
    <w:p>
      <w:pPr>
        <w:pStyle w:val="Normal"/>
        <w:jc w:val="left"/>
        <w:rPr>
          <w:rFonts w:ascii="Times New Roman" w:hAnsi="Times New Roman"/>
        </w:rPr>
      </w:pPr>
      <w:r>
        <w:rPr>
          <w:rFonts w:ascii="Times New Roman" w:hAnsi="Times New Roman"/>
          <w:sz w:val="21"/>
        </w:rPr>
        <w:t>-</w:t>
      </w:r>
    </w:p>
    <w:p>
      <w:pPr>
        <w:pStyle w:val="Normal"/>
        <w:jc w:val="left"/>
        <w:rPr>
          <w:rFonts w:ascii="Times New Roman" w:hAnsi="Times New Roman"/>
        </w:rPr>
      </w:pPr>
      <w:r>
        <w:rPr>
          <w:rFonts w:ascii="Times New Roman" w:hAnsi="Times New Roman"/>
          <w:sz w:val="21"/>
        </w:rPr>
        <w:t>Αρχή ή Φορέας έκδοσης</w:t>
      </w:r>
    </w:p>
    <w:p>
      <w:pPr>
        <w:pStyle w:val="Normal"/>
        <w:jc w:val="left"/>
        <w:rPr>
          <w:rFonts w:ascii="Times New Roman" w:hAnsi="Times New Roman"/>
        </w:rPr>
      </w:pPr>
      <w:r>
        <w:rPr>
          <w:rFonts w:ascii="Times New Roman" w:hAnsi="Times New Roman"/>
          <w:sz w:val="21"/>
        </w:rPr>
        <w:t>-</w:t>
      </w:r>
    </w:p>
    <w:p>
      <w:pPr>
        <w:pStyle w:val="Normal"/>
        <w:jc w:val="left"/>
        <w:rPr>
          <w:rFonts w:ascii="Times New Roman" w:hAnsi="Times New Roman"/>
        </w:rPr>
      </w:pPr>
      <w:r>
        <w:rPr>
          <w:rFonts w:ascii="Times New Roman" w:hAnsi="Times New Roman"/>
          <w:sz w:val="21"/>
        </w:rPr>
        <w:t>Ψευδείς δηλώσεις, απόκρυψη πληροφοριών, ανικανότητα υποβολής δικαιολογητικών,</w:t>
      </w:r>
    </w:p>
    <w:p>
      <w:pPr>
        <w:pStyle w:val="Normal"/>
        <w:jc w:val="left"/>
        <w:rPr>
          <w:rFonts w:ascii="Times New Roman" w:hAnsi="Times New Roman"/>
        </w:rPr>
      </w:pPr>
      <w:r>
        <w:rPr>
          <w:rFonts w:ascii="Times New Roman" w:hAnsi="Times New Roman"/>
          <w:sz w:val="21"/>
        </w:rPr>
        <w:t>απόκτηση εμπιστευτικών πληροφοριών</w:t>
      </w:r>
    </w:p>
    <w:p>
      <w:pPr>
        <w:pStyle w:val="Normal"/>
        <w:jc w:val="left"/>
        <w:rPr>
          <w:rFonts w:ascii="Times New Roman" w:hAnsi="Times New Roman"/>
        </w:rPr>
      </w:pPr>
      <w:r>
        <w:rPr>
          <w:rFonts w:ascii="Times New Roman" w:hAnsi="Times New Roman"/>
          <w:sz w:val="21"/>
        </w:rPr>
        <w:t>Ο οικονομικός φορέας επιβεβαιώνει ότι: α) έχει κριθεί ένοχος σοβαρών ψευδών</w:t>
      </w:r>
    </w:p>
    <w:p>
      <w:pPr>
        <w:pStyle w:val="Normal"/>
        <w:jc w:val="left"/>
        <w:rPr>
          <w:rFonts w:ascii="Times New Roman" w:hAnsi="Times New Roman"/>
        </w:rPr>
      </w:pPr>
      <w:r>
        <w:rPr>
          <w:rFonts w:ascii="Times New Roman" w:hAnsi="Times New Roman"/>
          <w:sz w:val="21"/>
        </w:rPr>
        <w:t>δηλώσεων κατά την παροχή των πληροφοριών που απαιτούνται για την εξακρίβωση της</w:t>
      </w:r>
    </w:p>
    <w:p>
      <w:pPr>
        <w:pStyle w:val="Normal"/>
        <w:jc w:val="left"/>
        <w:rPr>
          <w:rFonts w:ascii="Times New Roman" w:hAnsi="Times New Roman"/>
        </w:rPr>
      </w:pPr>
      <w:r>
        <w:rPr>
          <w:rFonts w:ascii="Times New Roman" w:hAnsi="Times New Roman"/>
          <w:sz w:val="21"/>
        </w:rPr>
        <w:t>απουσίας των λόγων αποκλεισμού ή την πλήρωση των κριτηρίων επιλογής, β) έχει</w:t>
      </w:r>
    </w:p>
    <w:p>
      <w:pPr>
        <w:pStyle w:val="Normal"/>
        <w:jc w:val="left"/>
        <w:rPr>
          <w:rFonts w:ascii="Times New Roman" w:hAnsi="Times New Roman"/>
        </w:rPr>
      </w:pPr>
      <w:r>
        <w:rPr>
          <w:rFonts w:ascii="Times New Roman" w:hAnsi="Times New Roman"/>
          <w:sz w:val="21"/>
        </w:rPr>
        <w:t>αποκρύψει τις πληροφορίες αυτές, γ) δεν ήταν σε θέση να υποβάλει, χωρίς</w:t>
      </w:r>
    </w:p>
    <w:p>
      <w:pPr>
        <w:pStyle w:val="Normal"/>
        <w:jc w:val="left"/>
        <w:rPr>
          <w:rFonts w:ascii="Times New Roman" w:hAnsi="Times New Roman"/>
        </w:rPr>
      </w:pPr>
      <w:r>
        <w:rPr>
          <w:rFonts w:ascii="Times New Roman" w:hAnsi="Times New Roman"/>
          <w:sz w:val="21"/>
        </w:rPr>
        <w:t>καθυστέρηση, τα δικαιολογητικά που απαιτούνται από την αναθέτουσα αρχή ή τον</w:t>
      </w:r>
    </w:p>
    <w:p>
      <w:pPr>
        <w:pStyle w:val="Normal"/>
        <w:jc w:val="left"/>
        <w:rPr>
          <w:rFonts w:ascii="Times New Roman" w:hAnsi="Times New Roman"/>
        </w:rPr>
      </w:pPr>
      <w:r>
        <w:rPr>
          <w:rFonts w:ascii="Times New Roman" w:hAnsi="Times New Roman"/>
          <w:sz w:val="21"/>
        </w:rPr>
        <w:t>αναθέτοντα φορέα, και δ) έχει επιχειρήσει να επηρεάσει με αθέμιτο τρόπο τη</w:t>
      </w:r>
    </w:p>
    <w:p>
      <w:pPr>
        <w:pStyle w:val="Normal"/>
        <w:jc w:val="left"/>
        <w:rPr>
          <w:rFonts w:ascii="Times New Roman" w:hAnsi="Times New Roman"/>
        </w:rPr>
      </w:pPr>
      <w:r>
        <w:rPr>
          <w:rFonts w:ascii="Times New Roman" w:hAnsi="Times New Roman"/>
          <w:sz w:val="21"/>
        </w:rPr>
        <w:t>διαδικασία λήψης αποφάσεων της αναθέτουσας αρχής ή του αναθέτοντα φορέα, να</w:t>
      </w:r>
    </w:p>
    <w:p>
      <w:pPr>
        <w:pStyle w:val="Normal"/>
        <w:jc w:val="left"/>
        <w:rPr>
          <w:rFonts w:ascii="Times New Roman" w:hAnsi="Times New Roman"/>
        </w:rPr>
      </w:pPr>
      <w:r>
        <w:rPr>
          <w:rFonts w:ascii="Times New Roman" w:hAnsi="Times New Roman"/>
          <w:sz w:val="21"/>
        </w:rPr>
        <w:t>αποκτήσει εμπιστευτικές πληροφορίες που ενδέχεται να του αποφέρουν αθέμιτο</w:t>
      </w:r>
    </w:p>
    <w:p>
      <w:pPr>
        <w:pStyle w:val="Normal"/>
        <w:jc w:val="left"/>
        <w:rPr>
          <w:rFonts w:ascii="Times New Roman" w:hAnsi="Times New Roman"/>
        </w:rPr>
      </w:pPr>
      <w:r>
        <w:rPr>
          <w:rFonts w:ascii="Times New Roman" w:hAnsi="Times New Roman"/>
          <w:sz w:val="21"/>
        </w:rPr>
        <w:t>πλεονέκτημα στη διαδικασία σύναψης σύμβασης ή να παράσχει εξ αμελείας</w:t>
      </w:r>
    </w:p>
    <w:p>
      <w:pPr>
        <w:pStyle w:val="Normal"/>
        <w:jc w:val="left"/>
        <w:rPr>
          <w:rFonts w:ascii="Times New Roman" w:hAnsi="Times New Roman"/>
        </w:rPr>
      </w:pPr>
      <w:r>
        <w:rPr>
          <w:rFonts w:ascii="Times New Roman" w:hAnsi="Times New Roman"/>
          <w:sz w:val="21"/>
        </w:rPr>
        <w:t>παραπλανητικές πληροφορίες που ενδέχεται να επηρεάσουν ουσιωδώς τις αποφάσεις</w:t>
      </w:r>
    </w:p>
    <w:p>
      <w:pPr>
        <w:pStyle w:val="Normal"/>
        <w:jc w:val="left"/>
        <w:rPr>
          <w:rFonts w:ascii="Times New Roman" w:hAnsi="Times New Roman"/>
        </w:rPr>
      </w:pPr>
      <w:r>
        <w:rPr>
          <w:rFonts w:ascii="Times New Roman" w:hAnsi="Times New Roman"/>
          <w:sz w:val="21"/>
        </w:rPr>
        <w:t>που αφορούν τον αποκλεισμό, την επιλογή ή την ανάθεση;</w:t>
      </w:r>
    </w:p>
    <w:p>
      <w:pPr>
        <w:pStyle w:val="Normal"/>
        <w:jc w:val="left"/>
        <w:rPr>
          <w:rFonts w:ascii="Times New Roman" w:hAnsi="Times New Roman"/>
        </w:rPr>
      </w:pPr>
      <w:r>
        <w:rPr>
          <w:rFonts w:ascii="Times New Roman" w:hAnsi="Times New Roman"/>
          <w:sz w:val="21"/>
        </w:rPr>
        <w:t>Απάντηση:</w:t>
      </w:r>
    </w:p>
    <w:p>
      <w:pPr>
        <w:pStyle w:val="Normal"/>
        <w:jc w:val="left"/>
        <w:rPr>
          <w:rFonts w:ascii="Times New Roman" w:hAnsi="Times New Roman"/>
        </w:rPr>
      </w:pPr>
      <w:r>
        <w:rPr>
          <w:rFonts w:ascii="Times New Roman" w:hAnsi="Times New Roman"/>
          <w:sz w:val="21"/>
        </w:rPr>
        <w:t>Ναι / Όχι</w:t>
      </w:r>
    </w:p>
    <w:p>
      <w:pPr>
        <w:pStyle w:val="Normal"/>
        <w:jc w:val="left"/>
        <w:rPr>
          <w:rFonts w:ascii="Times New Roman" w:hAnsi="Times New Roman"/>
        </w:rPr>
      </w:pPr>
      <w:r>
        <w:rPr>
          <w:rFonts w:ascii="Times New Roman" w:hAnsi="Times New Roman"/>
          <w:sz w:val="21"/>
        </w:rPr>
        <w:t>Εάν η σχετική τεκμηρίωση διατίθεται ηλεκτρονικά, αναφέρετε:</w:t>
      </w:r>
    </w:p>
    <w:p>
      <w:pPr>
        <w:pStyle w:val="Normal"/>
        <w:jc w:val="left"/>
        <w:rPr>
          <w:rFonts w:ascii="Times New Roman" w:hAnsi="Times New Roman"/>
        </w:rPr>
      </w:pPr>
      <w:r>
        <w:rPr>
          <w:rFonts w:ascii="Times New Roman" w:hAnsi="Times New Roman"/>
          <w:sz w:val="21"/>
        </w:rPr>
        <w:t>Ναι / Όχι</w:t>
      </w:r>
    </w:p>
    <w:p>
      <w:pPr>
        <w:pStyle w:val="Normal"/>
        <w:jc w:val="left"/>
        <w:rPr>
          <w:rFonts w:ascii="Times New Roman" w:hAnsi="Times New Roman"/>
        </w:rPr>
      </w:pPr>
      <w:r>
        <w:rPr>
          <w:rFonts w:ascii="Times New Roman" w:hAnsi="Times New Roman"/>
          <w:sz w:val="21"/>
        </w:rPr>
        <w:t>Διαδικτυακή Διεύθυνση</w:t>
      </w:r>
    </w:p>
    <w:p>
      <w:pPr>
        <w:pStyle w:val="Normal"/>
        <w:jc w:val="left"/>
        <w:rPr>
          <w:rFonts w:ascii="Times New Roman" w:hAnsi="Times New Roman"/>
        </w:rPr>
      </w:pPr>
      <w:r>
        <w:rPr>
          <w:rFonts w:ascii="Times New Roman" w:hAnsi="Times New Roman"/>
          <w:sz w:val="21"/>
        </w:rPr>
        <w:t>-</w:t>
      </w:r>
    </w:p>
    <w:p>
      <w:pPr>
        <w:pStyle w:val="Normal"/>
        <w:jc w:val="left"/>
        <w:rPr>
          <w:rFonts w:ascii="Times New Roman" w:hAnsi="Times New Roman"/>
        </w:rPr>
      </w:pPr>
      <w:r>
        <w:rPr>
          <w:rFonts w:ascii="Times New Roman" w:hAnsi="Times New Roman"/>
          <w:sz w:val="21"/>
        </w:rPr>
        <w:t>Επακριβή στοιχεία αναφοράς των εγγράφων</w:t>
      </w:r>
    </w:p>
    <w:p>
      <w:pPr>
        <w:pStyle w:val="Normal"/>
        <w:jc w:val="left"/>
        <w:rPr>
          <w:rFonts w:ascii="Times New Roman" w:hAnsi="Times New Roman"/>
        </w:rPr>
      </w:pPr>
      <w:r>
        <w:rPr>
          <w:rFonts w:ascii="Times New Roman" w:hAnsi="Times New Roman"/>
          <w:sz w:val="21"/>
        </w:rPr>
        <w:t>-</w:t>
      </w:r>
    </w:p>
    <w:p>
      <w:pPr>
        <w:pStyle w:val="Normal"/>
        <w:jc w:val="left"/>
        <w:rPr>
          <w:rFonts w:ascii="Times New Roman" w:hAnsi="Times New Roman"/>
        </w:rPr>
      </w:pPr>
      <w:r>
        <w:rPr>
          <w:rFonts w:ascii="Times New Roman" w:hAnsi="Times New Roman"/>
          <w:sz w:val="21"/>
        </w:rPr>
        <w:t>Αρχή ή Φορέας έκδοσης</w:t>
      </w:r>
    </w:p>
    <w:p>
      <w:pPr>
        <w:pStyle w:val="Normal"/>
        <w:jc w:val="left"/>
        <w:rPr>
          <w:rFonts w:ascii="Times New Roman" w:hAnsi="Times New Roman"/>
        </w:rPr>
      </w:pPr>
      <w:r>
        <w:rPr>
          <w:rFonts w:ascii="Times New Roman" w:hAnsi="Times New Roman"/>
          <w:sz w:val="21"/>
        </w:rPr>
        <w:t>-</w:t>
      </w:r>
    </w:p>
    <w:p>
      <w:pPr>
        <w:pStyle w:val="Normal"/>
        <w:jc w:val="left"/>
        <w:rPr>
          <w:rFonts w:ascii="Times New Roman" w:hAnsi="Times New Roman"/>
        </w:rPr>
      </w:pPr>
      <w:r>
        <w:rPr>
          <w:rFonts w:ascii="Times New Roman" w:hAnsi="Times New Roman"/>
          <w:sz w:val="25"/>
        </w:rPr>
        <w:t>Μέρος IV: Κριτήρια επιλογής</w:t>
      </w:r>
    </w:p>
    <w:p>
      <w:pPr>
        <w:pStyle w:val="Normal"/>
        <w:jc w:val="left"/>
        <w:rPr>
          <w:rFonts w:ascii="Times New Roman" w:hAnsi="Times New Roman"/>
        </w:rPr>
      </w:pPr>
      <w:r>
        <w:rPr>
          <w:rFonts w:ascii="Times New Roman" w:hAnsi="Times New Roman"/>
          <w:sz w:val="25"/>
        </w:rPr>
        <w:t>Λήξη</w:t>
      </w:r>
    </w:p>
    <w:p>
      <w:pPr>
        <w:pStyle w:val="Normal"/>
        <w:jc w:val="left"/>
        <w:rPr>
          <w:rFonts w:ascii="Times New Roman" w:hAnsi="Times New Roman"/>
        </w:rPr>
      </w:pPr>
      <w:r>
        <w:rPr>
          <w:rFonts w:ascii="Times New Roman" w:hAnsi="Times New Roman"/>
          <w:sz w:val="21"/>
        </w:rPr>
        <w:t>Μέρος VΙ: Τελικές δηλώσεις</w:t>
      </w:r>
    </w:p>
    <w:p>
      <w:pPr>
        <w:pStyle w:val="Normal"/>
        <w:jc w:val="left"/>
        <w:rPr>
          <w:rFonts w:ascii="Times New Roman" w:hAnsi="Times New Roman"/>
        </w:rPr>
      </w:pPr>
      <w:r>
        <w:rPr>
          <w:rFonts w:ascii="Times New Roman" w:hAnsi="Times New Roman"/>
          <w:sz w:val="21"/>
        </w:rPr>
        <w:t>Ο κάτωθι υπογεγραμμένος, δηλώνω επισήμως ότι τα στοιχεία που έχω αναφέρει</w:t>
      </w:r>
    </w:p>
    <w:p>
      <w:pPr>
        <w:pStyle w:val="Normal"/>
        <w:jc w:val="left"/>
        <w:rPr>
          <w:rFonts w:ascii="Times New Roman" w:hAnsi="Times New Roman"/>
        </w:rPr>
      </w:pPr>
      <w:r>
        <w:rPr>
          <w:rFonts w:ascii="Times New Roman" w:hAnsi="Times New Roman"/>
          <w:sz w:val="21"/>
        </w:rPr>
        <w:t>σύμφωνα με τα μέρη II έως V ανωτέρω είναι ακριβή και ορθά και ότι έχω πλήρη</w:t>
      </w:r>
    </w:p>
    <w:p>
      <w:pPr>
        <w:pStyle w:val="Normal"/>
        <w:jc w:val="left"/>
        <w:rPr>
          <w:rFonts w:ascii="Times New Roman" w:hAnsi="Times New Roman"/>
        </w:rPr>
      </w:pPr>
      <w:r>
        <w:rPr>
          <w:rFonts w:ascii="Times New Roman" w:hAnsi="Times New Roman"/>
          <w:sz w:val="21"/>
        </w:rPr>
        <w:t>επίγνωση των συνεπειών σε περίπτωση σοβαρών ψευδών δηλώσεων.</w:t>
      </w:r>
    </w:p>
    <w:p>
      <w:pPr>
        <w:pStyle w:val="Normal"/>
        <w:jc w:val="left"/>
        <w:rPr>
          <w:rFonts w:ascii="Times New Roman" w:hAnsi="Times New Roman"/>
        </w:rPr>
      </w:pPr>
      <w:r>
        <w:rPr>
          <w:rFonts w:ascii="Times New Roman" w:hAnsi="Times New Roman"/>
          <w:sz w:val="21"/>
        </w:rPr>
        <w:t>Ο κάτωθι υπογεγραμμένος, δηλώνω επισήμως ότι είμαι σε θέση, κατόπιν αιτήματος και</w:t>
      </w:r>
    </w:p>
    <w:p>
      <w:pPr>
        <w:pStyle w:val="Normal"/>
        <w:jc w:val="left"/>
        <w:rPr>
          <w:rFonts w:ascii="Times New Roman" w:hAnsi="Times New Roman"/>
        </w:rPr>
      </w:pPr>
      <w:r>
        <w:rPr>
          <w:rFonts w:ascii="Times New Roman" w:hAnsi="Times New Roman"/>
          <w:sz w:val="21"/>
        </w:rPr>
        <w:t>χωρίς καθυστέρηση, να προσκομίσω τα πιστοποιητικά και τις λοιπές μορφές</w:t>
      </w:r>
    </w:p>
    <w:p>
      <w:pPr>
        <w:pStyle w:val="Normal"/>
        <w:jc w:val="left"/>
        <w:rPr>
          <w:rFonts w:ascii="Times New Roman" w:hAnsi="Times New Roman"/>
        </w:rPr>
      </w:pPr>
      <w:r>
        <w:rPr>
          <w:rFonts w:ascii="Times New Roman" w:hAnsi="Times New Roman"/>
          <w:sz w:val="21"/>
        </w:rPr>
        <w:t>αποδεικτικών εγγράφων που αναφέρονται, εκτός εάν:</w:t>
      </w:r>
    </w:p>
    <w:p>
      <w:pPr>
        <w:pStyle w:val="Normal"/>
        <w:jc w:val="left"/>
        <w:rPr>
          <w:rFonts w:ascii="Times New Roman" w:hAnsi="Times New Roman"/>
        </w:rPr>
      </w:pPr>
      <w:r>
        <w:rPr>
          <w:rFonts w:ascii="Times New Roman" w:hAnsi="Times New Roman"/>
          <w:sz w:val="21"/>
        </w:rPr>
        <w:t>α) Η αναθέτουσα αρχή ή ο αναθέτων φορέας έχει τη δυνατότητα να λάβει τα σχετικά</w:t>
      </w:r>
    </w:p>
    <w:p>
      <w:pPr>
        <w:pStyle w:val="Normal"/>
        <w:jc w:val="left"/>
        <w:rPr>
          <w:rFonts w:ascii="Times New Roman" w:hAnsi="Times New Roman"/>
        </w:rPr>
      </w:pPr>
      <w:r>
        <w:rPr>
          <w:rFonts w:ascii="Times New Roman" w:hAnsi="Times New Roman"/>
          <w:sz w:val="21"/>
        </w:rPr>
        <w:t>δικαιολογητικά απευθείας με πρόσβαση σε εθνική βάση δεδομένων σε οποιοδήποτε</w:t>
      </w:r>
    </w:p>
    <w:p>
      <w:pPr>
        <w:pStyle w:val="Normal"/>
        <w:jc w:val="left"/>
        <w:rPr>
          <w:rFonts w:ascii="Times New Roman" w:hAnsi="Times New Roman"/>
        </w:rPr>
      </w:pPr>
      <w:r>
        <w:rPr>
          <w:rFonts w:ascii="Times New Roman" w:hAnsi="Times New Roman"/>
          <w:sz w:val="21"/>
        </w:rPr>
        <w:t>κράτος μέλος αυτή διατίθεται δωρεάν [υπό την προϋπόθεση ότι ο οικονομικός φορέας</w:t>
      </w:r>
    </w:p>
    <w:p>
      <w:pPr>
        <w:pStyle w:val="Normal"/>
        <w:jc w:val="left"/>
        <w:rPr>
          <w:rFonts w:ascii="Times New Roman" w:hAnsi="Times New Roman"/>
        </w:rPr>
      </w:pPr>
      <w:r>
        <w:rPr>
          <w:rFonts w:ascii="Times New Roman" w:hAnsi="Times New Roman"/>
          <w:sz w:val="21"/>
        </w:rPr>
        <w:t>έχει παράσχει τις απαραίτητες πληροφορίες (διαδικτυακή διεύθυνση, αρχή ή φορέα</w:t>
      </w:r>
    </w:p>
    <w:p>
      <w:pPr>
        <w:pStyle w:val="Normal"/>
        <w:jc w:val="left"/>
        <w:rPr>
          <w:rFonts w:ascii="Times New Roman" w:hAnsi="Times New Roman"/>
        </w:rPr>
      </w:pPr>
      <w:r>
        <w:rPr>
          <w:rFonts w:ascii="Times New Roman" w:hAnsi="Times New Roman"/>
          <w:sz w:val="21"/>
        </w:rPr>
        <w:t>έκδοσης, επακριβή στοιχεία αναφοράς των εγγράφων) που παρέχουν τη δυνατότητα</w:t>
      </w:r>
    </w:p>
    <w:p>
      <w:pPr>
        <w:pStyle w:val="Normal"/>
        <w:jc w:val="left"/>
        <w:rPr>
          <w:rFonts w:ascii="Times New Roman" w:hAnsi="Times New Roman"/>
        </w:rPr>
      </w:pPr>
      <w:r>
        <w:rPr>
          <w:rFonts w:ascii="Times New Roman" w:hAnsi="Times New Roman"/>
          <w:sz w:val="21"/>
        </w:rPr>
        <w:t>στην αναθέτουσα αρχή ή στον αναθέτοντα φορέα να το πράξει] ή</w:t>
      </w:r>
    </w:p>
    <w:p>
      <w:pPr>
        <w:pStyle w:val="Normal"/>
        <w:jc w:val="left"/>
        <w:rPr>
          <w:rFonts w:ascii="Times New Roman" w:hAnsi="Times New Roman"/>
        </w:rPr>
      </w:pPr>
      <w:r>
        <w:rPr>
          <w:rFonts w:ascii="Times New Roman" w:hAnsi="Times New Roman"/>
          <w:sz w:val="21"/>
        </w:rPr>
        <w:t>β) Από τις 18 Οκτωβρίου 2018 το αργότερο (ανάλογα με την εθνική εφαρμογή του</w:t>
      </w:r>
    </w:p>
    <w:p>
      <w:pPr>
        <w:pStyle w:val="Normal"/>
        <w:jc w:val="left"/>
        <w:rPr>
          <w:rFonts w:ascii="Times New Roman" w:hAnsi="Times New Roman"/>
        </w:rPr>
      </w:pPr>
      <w:r>
        <w:rPr>
          <w:rFonts w:ascii="Times New Roman" w:hAnsi="Times New Roman"/>
          <w:sz w:val="21"/>
        </w:rPr>
        <w:t>άρθρου 59 παράγραφος 5 δεύτερο εδάφιο της οδηγίας 2014/24/ΕΕ), η αναθέτουσα αρχή</w:t>
      </w:r>
    </w:p>
    <w:p>
      <w:pPr>
        <w:pStyle w:val="Normal"/>
        <w:jc w:val="left"/>
        <w:rPr>
          <w:rFonts w:ascii="Times New Roman" w:hAnsi="Times New Roman"/>
        </w:rPr>
      </w:pPr>
      <w:r>
        <w:rPr>
          <w:rFonts w:ascii="Times New Roman" w:hAnsi="Times New Roman"/>
          <w:sz w:val="21"/>
        </w:rPr>
        <w:t>ή ο αναθέτων φορέας έχουν ήδη στην κατοχή τους τα σχετικά έγγραφα.</w:t>
      </w:r>
    </w:p>
    <w:p>
      <w:pPr>
        <w:pStyle w:val="Normal"/>
        <w:jc w:val="left"/>
        <w:rPr>
          <w:rFonts w:ascii="Times New Roman" w:hAnsi="Times New Roman"/>
        </w:rPr>
      </w:pPr>
      <w:r>
        <w:rPr>
          <w:rFonts w:ascii="Times New Roman" w:hAnsi="Times New Roman"/>
          <w:sz w:val="21"/>
        </w:rPr>
        <w:t>Ο κάτωθι υπογεγραμμένος δίδω επισήμως τη συγκατάθεσή μου στην αναθέτουσα αρχή ή</w:t>
      </w:r>
    </w:p>
    <w:p>
      <w:pPr>
        <w:pStyle w:val="Normal"/>
        <w:jc w:val="left"/>
        <w:rPr>
          <w:rFonts w:ascii="Times New Roman" w:hAnsi="Times New Roman"/>
        </w:rPr>
      </w:pPr>
      <w:r>
        <w:rPr>
          <w:rFonts w:ascii="Times New Roman" w:hAnsi="Times New Roman"/>
          <w:sz w:val="21"/>
        </w:rPr>
        <w:t>τον αναθέτοντα φορέα, όπως καθορίζεται στο Μέρος Ι, ενότητα Α, προκειμένου να</w:t>
      </w:r>
    </w:p>
    <w:p>
      <w:pPr>
        <w:pStyle w:val="Normal"/>
        <w:jc w:val="left"/>
        <w:rPr>
          <w:rFonts w:ascii="Times New Roman" w:hAnsi="Times New Roman"/>
        </w:rPr>
      </w:pPr>
      <w:r>
        <w:rPr>
          <w:rFonts w:ascii="Times New Roman" w:hAnsi="Times New Roman"/>
          <w:sz w:val="21"/>
        </w:rPr>
        <w:t>αποκτήσει πρόσβαση σε δικαιολογητικά των πληροφοριών που έχουν υποβληθεί στο</w:t>
      </w:r>
    </w:p>
    <w:p>
      <w:pPr>
        <w:pStyle w:val="Normal"/>
        <w:jc w:val="left"/>
        <w:rPr>
          <w:rFonts w:ascii="Times New Roman" w:hAnsi="Times New Roman"/>
        </w:rPr>
      </w:pPr>
      <w:r>
        <w:rPr>
          <w:rFonts w:ascii="Times New Roman" w:hAnsi="Times New Roman"/>
          <w:sz w:val="21"/>
        </w:rPr>
        <w:t>Μέρος ΙΙΙ και το Μέρος IV του παρόντος Ευρωπαϊκού Ενιαίου Εγγράφου Σύμβασης για</w:t>
      </w:r>
    </w:p>
    <w:p>
      <w:pPr>
        <w:pStyle w:val="Normal"/>
        <w:jc w:val="left"/>
        <w:rPr>
          <w:rFonts w:ascii="Times New Roman" w:hAnsi="Times New Roman"/>
        </w:rPr>
      </w:pPr>
      <w:r>
        <w:rPr>
          <w:rFonts w:ascii="Times New Roman" w:hAnsi="Times New Roman"/>
          <w:sz w:val="21"/>
        </w:rPr>
        <w:t>τους σκοπούς της διαδικασίας σύναψης σύμβασης, όπως καθορίζεται στο Μέρος Ι.</w:t>
      </w:r>
    </w:p>
    <w:p>
      <w:pPr>
        <w:pStyle w:val="Normal"/>
        <w:jc w:val="left"/>
        <w:rPr>
          <w:sz w:val="21"/>
        </w:rPr>
      </w:pPr>
      <w:r>
        <w:rPr>
          <w:sz w:val="21"/>
        </w:rPr>
      </w:r>
    </w:p>
    <w:p>
      <w:pPr>
        <w:pStyle w:val="Normal"/>
        <w:jc w:val="left"/>
        <w:rPr>
          <w:rFonts w:ascii="Times New Roman" w:hAnsi="Times New Roman"/>
        </w:rPr>
      </w:pPr>
      <w:r>
        <w:rPr>
          <w:rFonts w:ascii="Times New Roman" w:hAnsi="Times New Roman"/>
          <w:sz w:val="21"/>
        </w:rPr>
        <w:t>Ημερομηνία, τόπος και, όπου ζητείται ή απαιτείται, υπογραφή(-ές):</w:t>
      </w:r>
    </w:p>
    <w:p>
      <w:pPr>
        <w:pStyle w:val="Normal"/>
        <w:jc w:val="left"/>
        <w:rPr>
          <w:rFonts w:ascii="Times New Roman" w:hAnsi="Times New Roman"/>
        </w:rPr>
      </w:pPr>
      <w:r>
        <w:rPr>
          <w:rFonts w:ascii="Times New Roman" w:hAnsi="Times New Roman"/>
          <w:sz w:val="21"/>
        </w:rPr>
        <w:t>Ημερομηνία</w:t>
      </w:r>
    </w:p>
    <w:p>
      <w:pPr>
        <w:pStyle w:val="Normal"/>
        <w:jc w:val="left"/>
        <w:rPr>
          <w:rFonts w:ascii="Times New Roman" w:hAnsi="Times New Roman"/>
        </w:rPr>
      </w:pPr>
      <w:r>
        <w:rPr>
          <w:rFonts w:ascii="Times New Roman" w:hAnsi="Times New Roman"/>
          <w:sz w:val="21"/>
        </w:rPr>
        <w:t>Τόπος</w:t>
      </w:r>
    </w:p>
    <w:p>
      <w:pPr>
        <w:pStyle w:val="Normal"/>
        <w:tabs>
          <w:tab w:val="clear" w:pos="720"/>
          <w:tab w:val="left" w:pos="0" w:leader="none"/>
        </w:tabs>
        <w:spacing w:before="0" w:after="0"/>
        <w:ind w:left="0" w:hanging="0"/>
        <w:jc w:val="left"/>
        <w:rPr>
          <w:rFonts w:ascii="Times New Roman" w:hAnsi="Times New Roman" w:eastAsia="Times New Roman" w:cs="Calibri"/>
          <w:b w:val="false"/>
          <w:b w:val="false"/>
          <w:bCs w:val="false"/>
          <w:color w:val="auto"/>
          <w:kern w:val="0"/>
          <w:sz w:val="21"/>
          <w:szCs w:val="24"/>
          <w:lang w:val="en-GB" w:eastAsia="ar-SA" w:bidi="ar-SA"/>
        </w:rPr>
      </w:pPr>
      <w:r>
        <w:rPr>
          <w:rFonts w:eastAsia="Times New Roman" w:cs="Calibri" w:ascii="Times New Roman" w:hAnsi="Times New Roman"/>
          <w:b w:val="false"/>
          <w:bCs w:val="false"/>
          <w:color w:val="auto"/>
          <w:kern w:val="0"/>
          <w:sz w:val="21"/>
          <w:szCs w:val="24"/>
          <w:lang w:val="en-GB" w:eastAsia="ar-SA" w:bidi="ar-SA"/>
        </w:rPr>
        <w:t>Υπογραφή</w:t>
      </w:r>
    </w:p>
    <w:sectPr>
      <w:headerReference w:type="default" r:id="rId9"/>
      <w:footerReference w:type="default" r:id="rId10"/>
      <w:footnotePr>
        <w:numFmt w:val="decimal"/>
      </w:footnotePr>
      <w:type w:val="nextPage"/>
      <w:pgSz w:w="11906" w:h="16838"/>
      <w:pgMar w:left="1134" w:right="1134" w:gutter="0" w:header="645" w:top="2055" w:footer="1134" w:bottom="1616"/>
      <w:pgNumType w:fmt="decimal"/>
      <w:formProt w:val="false"/>
      <w:textDirection w:val="lrTb"/>
      <w:docGrid w:type="default" w:linePitch="600" w:charSpace="36864"/>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a1"/>
    <w:family w:val="roman"/>
    <w:pitch w:val="variable"/>
  </w:font>
  <w:font w:name="Times New Roman">
    <w:charset w:val="a1"/>
    <w:family w:val="roman"/>
    <w:pitch w:val="variable"/>
  </w:font>
  <w:font w:name="Calibri">
    <w:charset w:val="a1"/>
    <w:family w:val="roman"/>
    <w:pitch w:val="variable"/>
  </w:font>
  <w:font w:name="Arial">
    <w:charset w:val="a1"/>
    <w:family w:val="roman"/>
    <w:pitch w:val="variable"/>
  </w:font>
  <w:font w:name="Lucida Sans">
    <w:charset w:val="a1"/>
    <w:family w:val="roman"/>
    <w:pitch w:val="variable"/>
  </w:font>
  <w:font w:name="Symbol">
    <w:charset w:val="a1"/>
    <w:family w:val="roman"/>
    <w:pitch w:val="variable"/>
  </w:font>
  <w:font w:name="Webdings">
    <w:charset w:val="a1"/>
    <w:family w:val="roman"/>
    <w:pitch w:val="variable"/>
  </w:font>
  <w:font w:name="Angsana New">
    <w:charset w:val="a1"/>
    <w:family w:val="roman"/>
    <w:pitch w:val="variable"/>
  </w:font>
  <w:font w:name="Courier New">
    <w:charset w:val="a1"/>
    <w:family w:val="roman"/>
    <w:pitch w:val="variable"/>
  </w:font>
  <w:font w:name="Wingdings">
    <w:charset w:val="a1"/>
    <w:family w:val="roman"/>
    <w:pitch w:val="variable"/>
  </w:font>
  <w:font w:name="Tahoma">
    <w:charset w:val="a1"/>
    <w:family w:val="roman"/>
    <w:pitch w:val="variable"/>
  </w:font>
  <w:font w:name="OpenSymbol">
    <w:altName w:val="Arial Unicode MS"/>
    <w:charset w:val="a1"/>
    <w:family w:val="roman"/>
    <w:pitch w:val="variable"/>
  </w:font>
  <w:font w:name="Segoe UI">
    <w:charset w:val="a1"/>
    <w:family w:val="roman"/>
    <w:pitch w:val="variable"/>
  </w:font>
  <w:font w:name="Liberation Sans">
    <w:altName w:val="Arial"/>
    <w:charset w:val="a1"/>
    <w:family w:val="roman"/>
    <w:pitch w:val="variable"/>
  </w:font>
  <w:font w:name="Arial Unicode MS">
    <w:charset w:val="a1"/>
    <w:family w:val="roman"/>
    <w:pitch w:val="variable"/>
  </w:font>
  <w:font w:name="Cambria">
    <w:charset w:val="a1"/>
    <w:family w:val="roman"/>
    <w:pitch w:val="variable"/>
  </w:font>
  <w:font w:name="Trebuchet MS">
    <w:charset w:val="a1"/>
    <w:family w:val="roman"/>
    <w:pitch w:val="variable"/>
  </w:font>
  <w:font w:name="CG Times">
    <w:charset w:val="a1"/>
    <w:family w:val="roman"/>
    <w:pitch w:val="variable"/>
  </w:font>
  <w:font w:name="CIDFont+F4">
    <w:charset w:val="a1"/>
    <w:family w:val="roman"/>
    <w:pitch w:val="variable"/>
  </w:font>
  <w:font w:name="Verdana">
    <w:charset w:val="a1"/>
    <w:family w:val="roman"/>
    <w:pitch w:val="variable"/>
  </w:font>
  <w:font w:name="FreeSans">
    <w:charset w:val="a1"/>
    <w:family w:val="roman"/>
    <w:pitch w:val="variable"/>
  </w:font>
  <w:font w:name="Cambria Math">
    <w:charset w:val="a1"/>
    <w:family w:val="roman"/>
    <w:pitch w:val="variable"/>
  </w:font>
  <w:font w:name="Webdings">
    <w:charset w:val="02"/>
    <w:family w:val="roman"/>
    <w:pitch w:val="variable"/>
  </w:font>
  <w:font w:name="Angsana New">
    <w:charset w:val="01"/>
    <w:family w:val="auto"/>
    <w:pitch w:val="default"/>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30"/>
      <w:spacing w:before="0" w:after="100"/>
      <w:jc w:val="center"/>
      <w:rPr/>
    </w:pPr>
    <w:r>
      <w:rPr/>
      <w:fldChar w:fldCharType="begin"/>
    </w:r>
    <w:r>
      <w:rPr/>
      <w:instrText xml:space="preserve"> PAGE </w:instrText>
    </w:r>
    <w:r>
      <w:rPr/>
      <w:fldChar w:fldCharType="separate"/>
    </w:r>
    <w:r>
      <w:rPr/>
      <w:t>112</w:t>
    </w:r>
    <w:r>
      <w:rPr/>
      <w:fldChar w:fldCharType="end"/>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pPr>
        <w:rPr>
          <w:sz w:val="12"/>
        </w:rPr>
      </w:pPr>
      <w:r>
        <w:separator/>
      </w:r>
    </w:p>
  </w:footnote>
  <w:footnote w:id="1" w:type="continuationSeparator">
    <w:p>
      <w:pPr>
        <w:rPr>
          <w:sz w:val="12"/>
        </w:rPr>
      </w:pPr>
      <w:r>
        <w:continuationSeparator/>
      </w:r>
    </w:p>
  </w:footnote>
  <w:footnote w:id="2">
    <w:p>
      <w:pPr>
        <w:pStyle w:val="Style32"/>
        <w:widowControl w:val="false"/>
        <w:rPr>
          <w:lang w:val="el-GR"/>
        </w:rPr>
      </w:pPr>
      <w:r>
        <w:rPr>
          <w:rStyle w:val="Style10"/>
        </w:rPr>
        <w:footnoteRef/>
      </w:r>
      <w:r>
        <w:rPr>
          <w:lang w:val="el-GR"/>
        </w:rPr>
        <w:tab/>
        <w:t xml:space="preserve">        </w:t>
      </w:r>
      <w:r>
        <w:rPr>
          <w:lang w:val="el-GR"/>
        </w:rPr>
        <w:t>Άρθρο 53 παρ. 2 περ. α του ν. 4412/2016. Ο κωδικός της αναθέτουσας αρχής για την ηλεκτρονική τιμολόγηση, όπως αυτός προσδιορίζεται στον επίσημο ιστότοπο της ΓΓΠΣΔΔ. Πρβλ. Απόφαση αριθμ. 63446</w:t>
      </w:r>
      <w:r>
        <w:rPr>
          <w:i/>
          <w:lang w:val="el-GR"/>
        </w:rPr>
        <w:t>/2021 Κ.Υ.Α</w:t>
      </w:r>
      <w:r>
        <w:rPr>
          <w:lang w:val="el-GR"/>
        </w:rPr>
        <w:t xml:space="preserve"> (B’ 2338/02.06.2021) των Υπουργών Οικονομικών – Ανάπτυξης και Επενδύσεων – Επικρατείας «</w:t>
      </w:r>
      <w:r>
        <w:rPr>
          <w:i/>
          <w:lang w:val="el-GR"/>
        </w:rPr>
        <w:t>Καθορισμός Εθνικού Μορφότυπου ηλεκτρονικού τιμολογίου στο πλαίσιο των Δημοσίων Συμβάσεων», άρθρο 3  παρ.6, πεδίο «</w:t>
      </w:r>
      <w:r>
        <w:rPr>
          <w:i/>
          <w:lang w:val="en-US"/>
        </w:rPr>
        <w:t>BT</w:t>
      </w:r>
      <w:r>
        <w:rPr>
          <w:i/>
          <w:lang w:val="el-GR"/>
        </w:rPr>
        <w:t>-46: Κωδικός αγοραστή», σε συνδυασμό  με το πεδίο «ΒΤ-10: Στοιχείο αναφοράς   Αγοραστή».</w:t>
      </w:r>
    </w:p>
  </w:footnote>
  <w:footnote w:id="3">
    <w:p>
      <w:pPr>
        <w:pStyle w:val="Style32"/>
        <w:widowControl w:val="false"/>
        <w:rPr>
          <w:szCs w:val="18"/>
          <w:lang w:val="el-GR"/>
        </w:rPr>
      </w:pPr>
      <w:r>
        <w:rPr>
          <w:rStyle w:val="Style10"/>
        </w:rPr>
        <w:footnoteRef/>
      </w:r>
      <w:r>
        <w:rPr>
          <w:lang w:val="el-GR"/>
        </w:rPr>
        <w:tab/>
        <w:t>Μόνο</w:t>
      </w:r>
      <w:r>
        <w:rPr>
          <w:szCs w:val="18"/>
          <w:lang w:val="el-GR"/>
        </w:rPr>
        <w:t xml:space="preserve"> για συμβάσεις άνω των ορίων</w:t>
      </w:r>
    </w:p>
  </w:footnote>
  <w:footnote w:id="4">
    <w:p>
      <w:pPr>
        <w:pStyle w:val="Fooot"/>
        <w:widowControl w:val="false"/>
        <w:rPr>
          <w:lang w:val="el-GR"/>
        </w:rPr>
      </w:pPr>
      <w:r>
        <w:rPr>
          <w:rStyle w:val="Style10"/>
        </w:rPr>
        <w:footnoteRef/>
      </w:r>
      <w:r>
        <w:rPr>
          <w:rStyle w:val="Style10"/>
          <w:position w:val="0"/>
          <w:sz w:val="18"/>
          <w:sz w:val="18"/>
          <w:vertAlign w:val="baseline"/>
          <w:lang w:val="el-GR"/>
        </w:rPr>
        <w:tab/>
        <w:t>Μόνο για συμβάσεις άνω των ορίων</w:t>
      </w:r>
    </w:p>
  </w:footnote>
  <w:footnote w:id="5">
    <w:p>
      <w:pPr>
        <w:pStyle w:val="Style32"/>
        <w:widowControl w:val="false"/>
        <w:rPr>
          <w:lang w:val="el-GR"/>
        </w:rPr>
      </w:pPr>
      <w:r>
        <w:rPr>
          <w:rStyle w:val="Style10"/>
        </w:rPr>
        <w:footnoteRef/>
      </w:r>
      <w:r>
        <w:rPr>
          <w:rStyle w:val="Style10"/>
          <w:position w:val="0"/>
          <w:sz w:val="18"/>
          <w:sz w:val="18"/>
          <w:vertAlign w:val="baseline"/>
          <w:lang w:val="el-GR"/>
        </w:rPr>
        <w:tab/>
        <w:t>Συμπληρώνεται το όνομα, η διεύθυνση, ο αριθμός τηλεφώνου, η διεύθυνση ηλεκτρονικού ταχυδρομείου (</w:t>
      </w:r>
      <w:r>
        <w:rPr>
          <w:rStyle w:val="Style10"/>
          <w:position w:val="0"/>
          <w:sz w:val="18"/>
          <w:sz w:val="18"/>
          <w:vertAlign w:val="baseline"/>
        </w:rPr>
        <w:t>e</w:t>
      </w:r>
      <w:r>
        <w:rPr>
          <w:rStyle w:val="Style10"/>
          <w:position w:val="0"/>
          <w:sz w:val="18"/>
          <w:sz w:val="18"/>
          <w:vertAlign w:val="baseline"/>
          <w:lang w:val="el-GR"/>
        </w:rPr>
        <w:t>-</w:t>
      </w:r>
      <w:r>
        <w:rPr>
          <w:rStyle w:val="Style10"/>
          <w:position w:val="0"/>
          <w:sz w:val="18"/>
          <w:sz w:val="18"/>
          <w:vertAlign w:val="baseline"/>
        </w:rPr>
        <w:t>mail</w:t>
      </w:r>
      <w:r>
        <w:rPr>
          <w:rStyle w:val="Style10"/>
          <w:position w:val="0"/>
          <w:sz w:val="18"/>
          <w:sz w:val="18"/>
          <w:vertAlign w:val="baseline"/>
          <w:lang w:val="el-GR"/>
        </w:rPr>
        <w:t>) της υπηρεσίας που διενεργεί τον διαγωνισμό, καθώς και ο αρμόδιος υπάλληλος της υπηρεσίας αυτής, άρθρο 53 παρ. 2 περ. γ του ν. 4412/2016</w:t>
      </w:r>
    </w:p>
  </w:footnote>
  <w:footnote w:id="6">
    <w:p>
      <w:pPr>
        <w:pStyle w:val="Style32"/>
        <w:widowControl w:val="false"/>
        <w:rPr>
          <w:lang w:val="el-GR"/>
        </w:rPr>
      </w:pPr>
      <w:r>
        <w:rPr>
          <w:rStyle w:val="Style10"/>
        </w:rPr>
        <w:footnoteRef/>
      </w:r>
      <w:r>
        <w:rPr>
          <w:rStyle w:val="Style10"/>
          <w:position w:val="0"/>
          <w:sz w:val="18"/>
          <w:sz w:val="18"/>
          <w:vertAlign w:val="baseline"/>
          <w:lang w:val="el-GR"/>
        </w:rPr>
        <w:tab/>
        <w:t>Εφόσον υπάρχει και για συμβάσεις άνω των ορίων</w:t>
      </w:r>
    </w:p>
  </w:footnote>
  <w:footnote w:id="7">
    <w:p>
      <w:pPr>
        <w:pStyle w:val="Style32"/>
        <w:widowControl w:val="false"/>
        <w:rPr>
          <w:lang w:val="el-GR"/>
        </w:rPr>
      </w:pPr>
      <w:r>
        <w:rPr>
          <w:rStyle w:val="Style10"/>
        </w:rPr>
        <w:footnoteRef/>
      </w:r>
      <w:r>
        <w:rPr>
          <w:rStyle w:val="Style10"/>
          <w:position w:val="0"/>
          <w:sz w:val="18"/>
          <w:sz w:val="18"/>
          <w:vertAlign w:val="baseline"/>
          <w:lang w:val="el-GR"/>
        </w:rPr>
        <w:tab/>
        <w:t>Αναφέρεται το είδος της Α.</w:t>
      </w:r>
      <w:r>
        <w:rPr>
          <w:rStyle w:val="Style10"/>
          <w:position w:val="0"/>
          <w:sz w:val="18"/>
          <w:sz w:val="18"/>
          <w:vertAlign w:val="baseline"/>
          <w:lang w:val="en-US"/>
        </w:rPr>
        <w:t>A</w:t>
      </w:r>
      <w:r>
        <w:rPr>
          <w:rStyle w:val="Style10"/>
          <w:position w:val="0"/>
          <w:sz w:val="18"/>
          <w:sz w:val="18"/>
          <w:vertAlign w:val="baseline"/>
          <w:lang w:val="el-GR"/>
        </w:rPr>
        <w:t>., πχ Υπουργείο, Περιφέρεια, Αποκεντρωμένη Διοίκηση, Νοσοκομείο, Δήμος, ΑΕ  του Δημοσίου κλπ και αν αποτελεί “κεντρική κυβερνητική αρχή (ΚΚΑ)» ή “μη κεντρική αναθέτουσα αρχή” κατά την έννοια του άρθρου 2 παρ. 1 περ. 2 και 3 του ν. 4412/2016</w:t>
      </w:r>
    </w:p>
  </w:footnote>
  <w:footnote w:id="8">
    <w:p>
      <w:pPr>
        <w:pStyle w:val="Style32"/>
        <w:widowControl w:val="false"/>
        <w:rPr>
          <w:lang w:val="el-GR"/>
        </w:rPr>
      </w:pPr>
      <w:r>
        <w:rPr>
          <w:rStyle w:val="Style10"/>
        </w:rPr>
        <w:footnoteRef/>
      </w:r>
      <w:r>
        <w:rPr>
          <w:rStyle w:val="Style10"/>
          <w:position w:val="0"/>
          <w:sz w:val="18"/>
          <w:sz w:val="18"/>
          <w:vertAlign w:val="baseline"/>
          <w:lang w:val="el-GR"/>
        </w:rPr>
        <w:tab/>
        <w:t>Αναφέρεται σε ποια υποδιαίρεση του δημόσιου τομέα ανήκει η Α.Α.: α) Γενική Κυβέρνηση (Υποτομέας Κεντρικής Κυβέρνησης, Υποτομέας ΟΤΑ, Υποτομέας ΟΚΑ) ή β) Δημόσιος Τομέας (Πλην Γενικής Κυβέρνησης) κατά τις υποδιαιρέσεις του άρθρου 14 του ν. 4270/14.</w:t>
      </w:r>
    </w:p>
  </w:footnote>
  <w:footnote w:id="9">
    <w:p>
      <w:pPr>
        <w:pStyle w:val="Style32"/>
        <w:widowControl w:val="false"/>
        <w:rPr>
          <w:lang w:val="el-GR"/>
        </w:rPr>
      </w:pPr>
      <w:r>
        <w:rPr>
          <w:rStyle w:val="Style10"/>
        </w:rPr>
        <w:footnoteRef/>
      </w:r>
      <w:r>
        <w:rPr>
          <w:rStyle w:val="Style10"/>
          <w:position w:val="0"/>
          <w:sz w:val="18"/>
          <w:sz w:val="18"/>
          <w:vertAlign w:val="baseline"/>
          <w:lang w:val="el-GR"/>
        </w:rPr>
        <w:tab/>
        <w:t>Επιλέγεται η κύρια δραστηριότητα της Α.Α., βλέπε και Παράρτημα ΙΙ (Προκήρυξη Σύμβασης), Τμήμα Ι, παρ  1.5, Εκτελεστικού Κανονισμού (ΕΕ) 2015/1986 της Επιτροπής (</w:t>
      </w:r>
      <w:r>
        <w:rPr>
          <w:rStyle w:val="Style10"/>
          <w:position w:val="0"/>
          <w:sz w:val="18"/>
          <w:sz w:val="18"/>
          <w:vertAlign w:val="baseline"/>
        </w:rPr>
        <w:t>L</w:t>
      </w:r>
      <w:r>
        <w:rPr>
          <w:rStyle w:val="Style10"/>
          <w:position w:val="0"/>
          <w:sz w:val="18"/>
          <w:sz w:val="18"/>
          <w:vertAlign w:val="baseline"/>
          <w:lang w:val="el-GR"/>
        </w:rPr>
        <w:t xml:space="preserve"> 296). α) Γενικές δημόσιες υπηρεσίες β) Άμυνα, γ) Δημόσια τάξη και ασφάλεια, δ) Περιβάλλον, ε) Οικονομικές και δημοσιονομικές υποθέσεις, στ) Υγεία, ζ) Στέγαση και υποδομές κοινής ωφέλειας, η) Κοινωνική προστασία, θ) Αναψυχή, πολιτισμός και θρησκεία, ι) Εκπαίδευση, ια) Τυχόν άλλη δραστηριότητα.</w:t>
      </w:r>
    </w:p>
  </w:footnote>
  <w:footnote w:id="10">
    <w:p>
      <w:pPr>
        <w:pStyle w:val="Style32"/>
        <w:widowControl w:val="false"/>
        <w:rPr>
          <w:lang w:val="el-GR"/>
        </w:rPr>
      </w:pPr>
      <w:r>
        <w:rPr>
          <w:rStyle w:val="Style10"/>
        </w:rPr>
        <w:footnoteRef/>
      </w:r>
      <w:r>
        <w:rPr>
          <w:lang w:val="el-GR"/>
        </w:rPr>
        <w:tab/>
        <w:t>Επιλέγονται και συμπληρώνονται τα αντίστοιχα εδάφια, πρβλ άρθρα 22 και 67 ν. 4412/16</w:t>
      </w:r>
    </w:p>
  </w:footnote>
  <w:footnote w:id="11">
    <w:p>
      <w:pPr>
        <w:pStyle w:val="Style32"/>
        <w:widowControl w:val="false"/>
        <w:rPr>
          <w:lang w:val="el-GR"/>
        </w:rPr>
      </w:pPr>
      <w:r>
        <w:rPr>
          <w:rStyle w:val="Style10"/>
        </w:rPr>
        <w:footnoteRef/>
      </w:r>
      <w:r>
        <w:rPr>
          <w:lang w:val="el-GR"/>
        </w:rPr>
        <w:tab/>
        <w:t>Εάν η πρόσβαση στα έγγραφα είναι περιορισμένη, αντί για τα αναφερόμενα στο α) συμπληρώνεται:  «</w:t>
      </w:r>
      <w:r>
        <w:rPr>
          <w:i/>
          <w:lang w:val="el-GR"/>
        </w:rPr>
        <w:t>Η πρόσβαση στα έγγραφα είναι περιορισμένη. Περαιτέρω πληροφορίες παρέχονται στην διεύθυνση (</w:t>
      </w:r>
      <w:r>
        <w:rPr>
          <w:i/>
        </w:rPr>
        <w:t>URL</w:t>
      </w:r>
      <w:r>
        <w:rPr>
          <w:i/>
          <w:lang w:val="el-GR"/>
        </w:rPr>
        <w:t>) : ………………………..»</w:t>
      </w:r>
    </w:p>
  </w:footnote>
  <w:footnote w:id="12">
    <w:p>
      <w:pPr>
        <w:pStyle w:val="Style32"/>
        <w:widowControl w:val="false"/>
        <w:rPr>
          <w:lang w:val="el-GR"/>
        </w:rPr>
      </w:pPr>
      <w:r>
        <w:rPr>
          <w:rStyle w:val="Style10"/>
        </w:rPr>
        <w:footnoteRef/>
      </w:r>
      <w:r>
        <w:rPr>
          <w:lang w:val="el-GR"/>
        </w:rPr>
        <w:tab/>
        <w:t>Το περιεχόμενο της παραγράφου διαμορφώνεται ανάλογα με την πηγή χρηματοδότησης (Πρβλ. παρ. 2 περ. ζ  του άρθρου 53 του ν.4412/16 όπως διαμορφώθηκε με το άρθρο 16 του ν. 4782/21)</w:t>
      </w:r>
    </w:p>
  </w:footnote>
  <w:footnote w:id="13">
    <w:p>
      <w:pPr>
        <w:pStyle w:val="Style32"/>
        <w:widowControl w:val="false"/>
        <w:rPr>
          <w:lang w:val="el-GR"/>
        </w:rPr>
      </w:pPr>
      <w:r>
        <w:rPr>
          <w:rStyle w:val="Style10"/>
        </w:rPr>
        <w:footnoteRef/>
      </w:r>
      <w:r>
        <w:rPr>
          <w:lang w:val="el-GR"/>
        </w:rPr>
        <w:tab/>
        <w:t>Αναφέρονται τα στοιχεία του Φορέα, και του Κωδικού Αριθμού Εξόδων τους οποίους βαρύνει η πίστωση για την χρηματοδότηση της σύμβασης</w:t>
      </w:r>
    </w:p>
  </w:footnote>
  <w:footnote w:id="14">
    <w:p>
      <w:pPr>
        <w:pStyle w:val="Style32"/>
        <w:widowControl w:val="false"/>
        <w:rPr>
          <w:lang w:val="el-GR"/>
        </w:rPr>
      </w:pPr>
      <w:r>
        <w:rPr>
          <w:rStyle w:val="Style10"/>
        </w:rPr>
        <w:footnoteRef/>
      </w:r>
      <w:r>
        <w:rPr>
          <w:lang w:val="el-GR"/>
        </w:rPr>
        <w:tab/>
        <w:t xml:space="preserve"> </w:t>
      </w:r>
      <w:r>
        <w:rPr>
          <w:lang w:val="el-GR"/>
        </w:rPr>
        <w:t xml:space="preserve">Σύμφωνα με το άρθρο 4 παρ. 4 του π.δ 80/2016 </w:t>
      </w:r>
      <w:r>
        <w:rPr>
          <w:i/>
          <w:lang w:val="el-GR"/>
        </w:rPr>
        <w:t>“Ανάληψη υποχρεώσεων από τους διατάκτες”</w:t>
      </w:r>
      <w:r>
        <w:rPr>
          <w:lang w:val="el-GR"/>
        </w:rPr>
        <w:t xml:space="preserve"> ( Α΄ 145) «4. Οι διακηρύξεις, οι αποφάσεις ανάθεσης και οι συμβάσεις που συνάπτονται για λογαριασμό όλων των φορέων Γενικής Κυβέρνησης αναφέρουν απαραίτητα τον αριθμό και τη χρονολογία της απόφασης ανάληψης υποχρέωσης, εφόσον η προκαλούμενη δαπάνη πρόκειται να βαρύνει το τρέχον οικονομικό έτος, τον αριθμό καταχώρησής της στα λογιστικά βιβλία του οικείου φορέα, καθώς και τον αριθμό της απόφασης έγκρισης της πολυετούς ανάληψης, σε περίπτωση που η δαπάνη εκτείνεται σε περισσότερα του ενός οικονομικά έτη, συμπεριλαμβανομένου του τρέχοντος. Σε περίπτωση που η προκαλούμενη δαπάνη πρόκειται να βαρύνει αποκλειστικά και μόνον το επόμενο ή τα επόμενα οικονομικά έτη, οι διακηρύξεις, οι αποφάσεις ανάθεσης και οι συμβάσεις της παρούσας φέρουν μόνο τον αριθμό της πολυετούς έγκρισης, κατά τα οριζόμενα στις διατάξεις της παρ. 4 του άρθρου 2» Επίσης, σύμφωνα με το άρθρο 12 παρ. 2 γ) του ίδιου π.δ: “ «γ) Διακηρύξεις, όπου απαιτείται, και αποφάσεις ανάθεσης που εκδίδονται και συμβάσεις που συνάπτονται από φορείς της Γενικής Κυβέρνησης είναι άκυρες, εφόσον δεν έχει προηγηθεί η έκδοση της απόφασης ανάληψης υποχρέωσης της παρ. 2 του άρθρου 2, υπό την επιφύλαξη της παρ. 4 του άρθρου 2 και της παρ. 4 του άρθρου 4»</w:t>
      </w:r>
    </w:p>
  </w:footnote>
  <w:footnote w:id="15">
    <w:p>
      <w:pPr>
        <w:pStyle w:val="Style32"/>
        <w:widowControl w:val="false"/>
        <w:rPr>
          <w:lang w:val="el-GR"/>
        </w:rPr>
      </w:pPr>
      <w:r>
        <w:rPr>
          <w:rStyle w:val="Style10"/>
        </w:rPr>
        <w:footnoteRef/>
      </w:r>
      <w:r>
        <w:rPr>
          <w:lang w:val="el-GR"/>
        </w:rPr>
        <w:tab/>
        <w:t>Συμπληρώνονται τα σχετικά κενά με βάση την Απόφαση Ένταξης της Πράξης.</w:t>
      </w:r>
    </w:p>
  </w:footnote>
  <w:footnote w:id="16">
    <w:p>
      <w:pPr>
        <w:pStyle w:val="Style32"/>
        <w:widowControl w:val="false"/>
        <w:rPr>
          <w:lang w:val="el-GR"/>
        </w:rPr>
      </w:pPr>
      <w:r>
        <w:rPr>
          <w:rStyle w:val="Style10"/>
        </w:rPr>
        <w:footnoteRef/>
      </w:r>
      <w:r>
        <w:rPr>
          <w:lang w:val="el-GR"/>
        </w:rPr>
        <w:tab/>
        <w:t>Συμπληρώνονται αναλόγως με το είδος της χρηματοδότησης και το ειδικό κανονιστικό πλαίσιο (πχ ν. 4314/2014)</w:t>
      </w:r>
    </w:p>
  </w:footnote>
  <w:footnote w:id="17">
    <w:p>
      <w:pPr>
        <w:pStyle w:val="Style32"/>
        <w:widowControl w:val="false"/>
        <w:rPr>
          <w:lang w:val="el-GR"/>
        </w:rPr>
      </w:pPr>
      <w:r>
        <w:rPr>
          <w:rStyle w:val="Style10"/>
        </w:rPr>
        <w:footnoteRef/>
      </w:r>
      <w:r>
        <w:rPr>
          <w:lang w:val="el-GR"/>
        </w:rPr>
        <w:tab/>
        <w:t>Σύμφωνα με τον Κανονισμό (ΕΚ) αριθ. 213/2008 της Επιτροπής της 28ης Νοεμβρίου 2007, όπως ισχύει.</w:t>
      </w:r>
    </w:p>
    <w:p>
      <w:pPr>
        <w:pStyle w:val="Style32"/>
        <w:widowControl w:val="false"/>
        <w:rPr>
          <w:i/>
          <w:i/>
          <w:lang w:val="el-GR"/>
        </w:rPr>
      </w:pPr>
      <w:r>
        <w:rPr>
          <w:lang w:val="el-GR"/>
        </w:rPr>
        <w:tab/>
        <w:t>Η πληροφορία αυτή, μεταξύ άλλων, χρησιμοποιείται για την ηλεκτρονική τιμολόγηση, και συγκεκριμένα αντιστοιχεί στο πεδίο «</w:t>
      </w:r>
      <w:r>
        <w:rPr>
          <w:lang w:val="en-US"/>
        </w:rPr>
        <w:t>BT</w:t>
      </w:r>
      <w:r>
        <w:rPr>
          <w:lang w:val="el-GR"/>
        </w:rPr>
        <w:t xml:space="preserve">-158: Αναγνωριστικό ταξινόμησης Στοιχείου», του Εθνικού Μορφότυπου ηλεκτρονικού τιμολογίου. Πρβλ. Απόφαση αριθμ. 63446/2021 Κ.Υ.Α (B’ 2338/02.06.2021)  των Υπουργών Οικονομικών – Ανάπτυξης και Επενδύσεων – Επικρατείας </w:t>
      </w:r>
      <w:r>
        <w:rPr>
          <w:i/>
          <w:lang w:val="el-GR"/>
        </w:rPr>
        <w:t>«Καθορισμός Εθνικού Μορφότυπου ηλεκτρονικού τιμολογίου στο πλαίσιο των Δημοσίων Συμβάσεων», άρθρο 3, παρ.16, πεδίο «</w:t>
      </w:r>
      <w:r>
        <w:rPr>
          <w:i/>
          <w:lang w:val="en-US"/>
        </w:rPr>
        <w:t>BT</w:t>
      </w:r>
      <w:r>
        <w:rPr>
          <w:i/>
          <w:lang w:val="el-GR"/>
        </w:rPr>
        <w:t>-158: Αναγνωριστικό ταξινόμησης Στοιχείου».</w:t>
      </w:r>
    </w:p>
  </w:footnote>
  <w:footnote w:id="18">
    <w:p>
      <w:pPr>
        <w:pStyle w:val="Style32"/>
        <w:widowControl w:val="false"/>
        <w:rPr>
          <w:i/>
          <w:i/>
          <w:lang w:val="el-GR"/>
        </w:rPr>
      </w:pPr>
      <w:r>
        <w:rPr>
          <w:rStyle w:val="Style10"/>
        </w:rPr>
        <w:footnoteRef/>
      </w:r>
      <w:r>
        <w:rPr>
          <w:lang w:val="el-GR"/>
        </w:rPr>
        <w:tab/>
        <w:t>Άρθρο 59 ν.4412/2016. Πρβλ. επιπλέον, Κατευθυντήρια Οδηγία 25/2020 της ΕΑΑΔΗΣΥ</w:t>
      </w:r>
      <w:r>
        <w:rPr>
          <w:i/>
          <w:lang w:val="el-GR"/>
        </w:rPr>
        <w:t xml:space="preserve"> «Ζητήματα υπολογισμού της εκτιμώμενης αξίας της σύμβασης, σε περίπτωση υποδιαίρεσής της σε τμήματα. Εφαρμογή της παρέκκλισης του άρθρου 6, παρ. 10 του ν.4412/2016»</w:t>
      </w:r>
    </w:p>
  </w:footnote>
  <w:footnote w:id="19">
    <w:p>
      <w:pPr>
        <w:pStyle w:val="Style32"/>
        <w:widowControl w:val="false"/>
        <w:rPr>
          <w:lang w:val="el-GR"/>
        </w:rPr>
      </w:pPr>
      <w:r>
        <w:rPr>
          <w:rStyle w:val="Style10"/>
        </w:rPr>
        <w:footnoteRef/>
      </w:r>
      <w:r>
        <w:rPr>
          <w:lang w:val="el-GR"/>
        </w:rPr>
        <w:tab/>
        <w:t>Άρθρο 86 ν.4412/2016.</w:t>
      </w:r>
    </w:p>
  </w:footnote>
  <w:footnote w:id="20">
    <w:p>
      <w:pPr>
        <w:pStyle w:val="Style32"/>
        <w:widowControl w:val="false"/>
        <w:rPr>
          <w:lang w:val="el-GR"/>
        </w:rPr>
      </w:pPr>
      <w:r>
        <w:rPr>
          <w:rStyle w:val="Style10"/>
        </w:rPr>
        <w:footnoteRef/>
      </w:r>
      <w:r>
        <w:rPr>
          <w:lang w:val="el-GR"/>
        </w:rPr>
        <w:tab/>
        <w:t>Η αναθέτουσα αρχή προσαρμόζει την παρ. 1.4 και τους όρους της διακήρυξης με βάση το αντικείμενο της σύμβασης και την κείμενη νομοθεσία, όπως ισχύει κατά την έναρξη της διαδικασίας ανάθεσης. Σε περίπτωση νομοθετικών μεταβολών και έως την επικαιροποίηση του παρόντος υποδείγματος από την Ε.Α.ΔΗ.ΣΥ. οι αναθέτουσες αρχές έχουν την ευθύνη αντίστοιχης προσαρμογής των εν λόγω όρων.</w:t>
      </w:r>
    </w:p>
  </w:footnote>
  <w:footnote w:id="21">
    <w:p>
      <w:pPr>
        <w:pStyle w:val="Style32"/>
        <w:widowControl w:val="false"/>
        <w:rPr>
          <w:lang w:val="el-GR"/>
        </w:rPr>
      </w:pPr>
      <w:r>
        <w:rPr>
          <w:rStyle w:val="Style10"/>
        </w:rPr>
        <w:footnoteRef/>
      </w:r>
      <w:r>
        <w:rPr>
          <w:lang w:val="el-GR"/>
        </w:rPr>
        <w:tab/>
        <w:t>Η υποχρέωση ονομαστικοποίησης μετοχών εταιρειών που συνάπτουν δημόσιες συμβάσεις, απαιτείται σύμφωνα με το άρθρο 8 του ν. 3310/2005, σε διαδικασίες σύναψης δημοσίων συμβάσεων εκτιμώμενης αξίας ανώτερης του ενός εκατομμυρίου ευρώ (1.000.000,00 €)</w:t>
      </w:r>
    </w:p>
  </w:footnote>
  <w:footnote w:id="22">
    <w:p>
      <w:pPr>
        <w:pStyle w:val="Style32"/>
        <w:widowControl w:val="false"/>
        <w:rPr>
          <w:lang w:val="el-GR"/>
        </w:rPr>
      </w:pPr>
      <w:r>
        <w:rPr>
          <w:rStyle w:val="Style10"/>
        </w:rPr>
        <w:footnoteRef/>
      </w:r>
      <w:r>
        <w:rPr>
          <w:lang w:val="el-GR"/>
        </w:rPr>
        <w:tab/>
        <w:t xml:space="preserve"> </w:t>
      </w:r>
      <w:r>
        <w:rPr>
          <w:lang w:val="el-GR"/>
        </w:rPr>
        <w:t>Επισημαίνεται ότι, όπως προβλέπεται στο άρ. 65 του ν. 4172/2013, οι σχετικές υπουργικές αποφάσεις εκδίδονται κάθε έτος. Πρβλ. τις με αριθμ.1024/2018 (Β 542) &amp;  ΠΟΛ1173/2017 (Β 4049) σχετικές αποφάσεις του Υπουργού Οικονομικών.</w:t>
      </w:r>
    </w:p>
  </w:footnote>
  <w:footnote w:id="23">
    <w:p>
      <w:pPr>
        <w:pStyle w:val="Style32"/>
        <w:widowControl w:val="false"/>
        <w:rPr>
          <w:lang w:val="el-GR"/>
        </w:rPr>
      </w:pPr>
      <w:r>
        <w:rPr>
          <w:rStyle w:val="Style10"/>
        </w:rPr>
        <w:footnoteRef/>
      </w:r>
      <w:r>
        <w:rPr>
          <w:lang w:val="el-GR"/>
        </w:rPr>
        <w:tab/>
        <w:t>Κατά τον καθορισμό των προθεσμιών παραλαβής των προσφορών οι Α.Α. λαμβάνουν υπόψη την πολυπλοκότητα της σύμβασης και τον χρόνο που απαιτείται για την προετοιμασία των προσφορών (άρθρο 60 παρ. 1 ν. 4412/2016). Η ελάχιστη προθεσμία παραλαβής των προσφορών στην ανοιχτή διαδικασία καθορίζεται : α) για τις συμβάσεις άνω των ορίων από τις διατάξεις των άρθρων 27, 60 και 67 του ν. 4412/2016 και β) για τις συμβάσεις κάτω των ορίων από τις διατάξεις του άρθρου 121 του ίδιου νόμου.</w:t>
      </w:r>
    </w:p>
  </w:footnote>
  <w:footnote w:id="24">
    <w:p>
      <w:pPr>
        <w:pStyle w:val="Style32"/>
        <w:widowControl w:val="false"/>
        <w:rPr>
          <w:lang w:val="el-GR"/>
        </w:rPr>
      </w:pPr>
      <w:r>
        <w:rPr>
          <w:rStyle w:val="Style10"/>
        </w:rPr>
        <w:footnoteRef/>
      </w:r>
      <w:r>
        <w:rPr>
          <w:lang w:val="el-GR"/>
        </w:rPr>
        <w:tab/>
        <w:t>Άρθρο 66 Ν. 4412/2016. Η παρούσα διακήρυξη και οι προκηρύξεις δεν δημοσιεύονται σε εθνικό επίπεδο, πριν από την ημερομηνία δημοσίευσης στην Επίσημη Εφημερίδα της ΕΕ. Ωστόσο, η δημοσίευση μπορεί να πραγματοποιείται σε κάθε περίπτωση σε εθνικό επίπεδο, όταν οι Α.Α. δεν έχουν ενημερωθεί σχετικά με τη δημοσίευση εντός 48 ωρών από τη βεβαίωση παραλαβής της προκήρυξης/ γνωστοποίησης.</w:t>
      </w:r>
    </w:p>
  </w:footnote>
  <w:footnote w:id="25">
    <w:p>
      <w:pPr>
        <w:pStyle w:val="Style32"/>
        <w:widowControl w:val="false"/>
        <w:rPr>
          <w:lang w:val="el-GR"/>
        </w:rPr>
      </w:pPr>
      <w:r>
        <w:rPr>
          <w:rStyle w:val="Style10"/>
        </w:rPr>
        <w:footnoteRef/>
      </w:r>
      <w:r>
        <w:rPr>
          <w:lang w:val="el-GR"/>
        </w:rPr>
        <w:tab/>
        <w:t>Από 01.06.2021 καταργήθηκε η υποχρέωση σύνταξης προκήρυξης για συμβάσεις κάτω των ορίων (Πρβλ άρθρο 141 του ν.4782/2021, παρ. 1 περ.4)</w:t>
      </w:r>
    </w:p>
  </w:footnote>
  <w:footnote w:id="26">
    <w:p>
      <w:pPr>
        <w:pStyle w:val="Style32"/>
        <w:widowControl w:val="false"/>
        <w:rPr>
          <w:lang w:val="el-GR"/>
        </w:rPr>
      </w:pPr>
      <w:r>
        <w:rPr>
          <w:rStyle w:val="Style10"/>
        </w:rPr>
        <w:footnoteRef/>
      </w:r>
      <w:r>
        <w:rPr>
          <w:lang w:val="el-GR"/>
        </w:rPr>
        <w:tab/>
        <w:t>Η υποχρέωση δημοσίευσης της προκήρυξης σε μία τοπική εφημερίδα, που προβλέπεται στο άρθρο 4 του ΠΔ 118/2007/άρθρο 5 του ΕΚΠΟΤΑ, συνεχίζει να υφίσταται μέχρι και την 31/12/2023, οπότε και καταργείται. Πρβλ. άρθρο 377§1 περίπτ (59 και 82) και άρθρο 379 §12 ν. 4412/2016, όπως τροποποιήθηκε με το άρθρο 245 του ν. 4782/2021.</w:t>
      </w:r>
    </w:p>
  </w:footnote>
  <w:footnote w:id="27">
    <w:p>
      <w:pPr>
        <w:pStyle w:val="Style32"/>
        <w:widowControl w:val="false"/>
        <w:rPr>
          <w:lang w:val="el-GR"/>
        </w:rPr>
      </w:pPr>
      <w:r>
        <w:rPr>
          <w:rStyle w:val="Style10"/>
        </w:rPr>
        <w:footnoteRef/>
      </w:r>
      <w:r>
        <w:rPr>
          <w:lang w:val="el-GR"/>
        </w:rPr>
        <w:tab/>
        <w:t>Η υποχρέωση δημοσίευσης σε νομαρχιακές (νυν "περιφερειακές" κατά το άρ.16 του ν.4487/2017) και τοπικές εφημερίδες του ν.3548/2007, συνεχίζει να υφίσταται μέχρι και την 31/12/2023, οπότε και καταργείται, βλέπε άρθρο 377§1 περίπτ (35) και άρθρο 379 §12 ν. 4412/2016, όπως τροποποιήθηκε με το άρθρο 245 του ν. 4782/2021.</w:t>
      </w:r>
    </w:p>
  </w:footnote>
  <w:footnote w:id="28">
    <w:p>
      <w:pPr>
        <w:pStyle w:val="Style32"/>
        <w:widowControl w:val="false"/>
        <w:rPr>
          <w:lang w:val="el-GR"/>
        </w:rPr>
      </w:pPr>
      <w:r>
        <w:rPr>
          <w:rStyle w:val="Style10"/>
        </w:rPr>
        <w:footnoteRef/>
      </w:r>
      <w:r>
        <w:rPr>
          <w:lang w:val="el-GR"/>
        </w:rPr>
        <w:tab/>
        <w:t xml:space="preserve"> </w:t>
      </w:r>
      <w:r>
        <w:rPr>
          <w:color w:val="000000"/>
          <w:lang w:val="el-GR"/>
        </w:rPr>
        <w:t>Για τις δημοσιεύσεις περιλήψεων διαγωνισμών στον εθνικό τύπο, βλ. και ΠΙΝΑΚΑ 1 «ΥΠΟΧΡΕΩΣΕΙΣ ΔΗΜΟΣΙΕΥΣΕΩΝ ΣΤΟΝ ΕΘΝΙΚΟ ΤΥΠΟ ΚΑΤΑ ΤΟΝ Ν.4412/2016», στην ιστοσελίδα της Αρχής, στη διαδρομή Αναθέτουσες Αρχές/Γενικές Οδηγίες/Υποστηρικτικό Υλικό.</w:t>
      </w:r>
    </w:p>
  </w:footnote>
  <w:footnote w:id="29">
    <w:p>
      <w:pPr>
        <w:pStyle w:val="Style32"/>
        <w:widowControl w:val="false"/>
        <w:rPr>
          <w:lang w:val="el-GR"/>
        </w:rPr>
      </w:pPr>
      <w:r>
        <w:rPr>
          <w:rStyle w:val="Style10"/>
        </w:rPr>
        <w:footnoteRef/>
      </w:r>
      <w:r>
        <w:rPr>
          <w:lang w:val="el-GR"/>
        </w:rPr>
        <w:tab/>
        <w:t xml:space="preserve"> </w:t>
      </w:r>
      <w:r>
        <w:rPr>
          <w:lang w:val="el-GR"/>
        </w:rPr>
        <w:t>Πρβλ.άρθρο 26 ν. 5005/2022 (Α’ 236), ως τροποποίησε άρθρο 4 ν. 3548/2007 (Α’ 68) με την προσθήκη παρ. 4.</w:t>
      </w:r>
    </w:p>
  </w:footnote>
  <w:footnote w:id="30">
    <w:p>
      <w:pPr>
        <w:pStyle w:val="Style32"/>
        <w:widowControl w:val="false"/>
        <w:rPr>
          <w:lang w:val="el-GR"/>
        </w:rPr>
      </w:pPr>
      <w:r>
        <w:rPr>
          <w:rStyle w:val="Style10"/>
        </w:rPr>
        <w:footnoteRef/>
      </w:r>
      <w:r>
        <w:rPr>
          <w:lang w:val="el-GR"/>
        </w:rPr>
        <w:tab/>
        <w:t>Άρθρο 18 παρ. 2 του ν. 4412/2016.</w:t>
      </w:r>
    </w:p>
  </w:footnote>
  <w:footnote w:id="31">
    <w:p>
      <w:pPr>
        <w:pStyle w:val="Style32"/>
        <w:widowControl w:val="false"/>
        <w:rPr>
          <w:lang w:val="el-GR"/>
        </w:rPr>
      </w:pPr>
      <w:r>
        <w:rPr>
          <w:rStyle w:val="Style10"/>
        </w:rPr>
        <w:footnoteRef/>
      </w:r>
      <w:r>
        <w:rPr>
          <w:lang w:val="el-GR"/>
        </w:rPr>
        <w:tab/>
        <w:t>Ως «έγγραφο διαδικασίας σύναψης της σύμβασης» ή «έγγραφο της σύμβασης», κατά την έννοια της περ. 14 της παρ.1 του άρθρου 2 του ν. 4412/2016 νοείται κάθε έγγραφο το οποίο παρέχει ή στο οποίο παραπέμπει η Α.Α./Α.Φ. με σκοπό να περιγράψει ή να προσδιορίσει στοιχεία της σύμβασης ή της διαδικασίας ανάθεσης, συμπεριλαμβανομένης της προκήρυξης σύμβασης του άρθρου 63 και 293, της προκαταρκτικής προκήρυξης του άρθρου 62, της περιοδικής ενδεικτικής προκήρυξης του άρθρου 291, αν χρησιμοποιείται ως μέσο προκήρυξης του διαγωνισμού, των τεχνικών προδιαγραφών, του περιγραφικού εγγράφου, των προτεινόμενων όρων της σύμβασης, των υποδειγμάτων για την προσκόμιση των εγγράφων από τους υποψηφίους και τους προσφέροντες, των πληροφοριών σχετικά με τις γενικές και ειδικές υποχρεώσεις και τυχόν πρόσθετων εγγράφων. Επίσης, στην έννοια αυτή περιλαμβάνονται και η διακήρυξη ή η πρόσκληση σε διαπραγμάτευση στις οποίες αναφέρονται όλοι οι ειδικοί και γενικοί όροι σύναψης και εκτέλεσης της σύμβασης, το Ενιαίο Ευρωπαϊκό Έγγραφο Σύμβασης (ΕΕΕΣ), οι συμπληρωματικές πληροφορίες που παρέχει η αναθέτουσα αρχή δυνάμει της παρ. 2 του άρθρου 67 και της παρ. 2 του άρθρου 297, το σχέδιο της σύμβασης μετά των Παραρτημάτων αυτής και η τεχνική συγγραφή υποχρεώσεων που περιλαμβάνει και τις εφαρμοστέες τεχνικές προδιαγραφές</w:t>
      </w:r>
    </w:p>
  </w:footnote>
  <w:footnote w:id="32">
    <w:p>
      <w:pPr>
        <w:pStyle w:val="Style32"/>
        <w:widowControl w:val="false"/>
        <w:rPr>
          <w:lang w:val="el-GR"/>
        </w:rPr>
      </w:pPr>
      <w:r>
        <w:rPr>
          <w:rStyle w:val="Style10"/>
        </w:rPr>
        <w:footnoteRef/>
      </w:r>
      <w:r>
        <w:rPr>
          <w:lang w:val="el-GR"/>
        </w:rPr>
        <w:tab/>
        <w:t>Επιλέγεται κατά κανόνα η εκ του νόμου υποχρεωτική χρήση του ΕΣΗΔΗΣ για την πρόσβαση στα έγγραφα της σύμβασης και την επικοινωνία. Οι επιλογές που ακολουθούν αφορούν περιπτώσεις που δεν είναι δυνατή εν όλω ή εν μέρει η ελεύθερη, πλήρης, άμεση και δωρεάν ηλεκτρονική πρόσβαση στα έγγραφα της σύμβασης. Επιπλέον, σε περίπτωση που απαιτούνται ειδικά εργαλεία, συσκευές ή μορφότυποι περιγράφονται στο σημείο αυτό ταυτόχρονα με τον τρόπο πρόσβασης των ενδιαφερομένων.</w:t>
      </w:r>
    </w:p>
  </w:footnote>
  <w:footnote w:id="33">
    <w:p>
      <w:pPr>
        <w:pStyle w:val="Style32"/>
        <w:widowControl w:val="false"/>
        <w:rPr>
          <w:lang w:val="el-GR"/>
        </w:rPr>
      </w:pPr>
      <w:r>
        <w:rPr>
          <w:rStyle w:val="Style10"/>
        </w:rPr>
        <w:footnoteRef/>
      </w:r>
      <w:r>
        <w:rPr>
          <w:lang w:val="el-GR"/>
        </w:rPr>
        <w:tab/>
        <w:t>Συμπληρώνονται οι απαιτήσεις από την Α.Α.</w:t>
      </w:r>
    </w:p>
  </w:footnote>
  <w:footnote w:id="34">
    <w:p>
      <w:pPr>
        <w:pStyle w:val="Style32"/>
        <w:widowControl w:val="false"/>
        <w:rPr>
          <w:lang w:val="el-GR"/>
        </w:rPr>
      </w:pPr>
      <w:r>
        <w:rPr>
          <w:rStyle w:val="Style10"/>
        </w:rPr>
        <w:footnoteRef/>
      </w:r>
      <w:r>
        <w:rPr>
          <w:lang w:val="el-GR"/>
        </w:rPr>
        <w:tab/>
        <w:t>Ά</w:t>
      </w:r>
      <w:r>
        <w:rPr>
          <w:iCs/>
          <w:lang w:val="el-GR"/>
        </w:rPr>
        <w:t>ρθρο 67 παρ.3 του ν. 4412/2016 &amp;</w:t>
      </w:r>
      <w:r>
        <w:rPr>
          <w:lang w:val="el-GR"/>
        </w:rPr>
        <w:t>. άρθρο 121 παρ.5 του ν. 4412/2016.</w:t>
      </w:r>
    </w:p>
  </w:footnote>
  <w:footnote w:id="35">
    <w:p>
      <w:pPr>
        <w:pStyle w:val="Style32"/>
        <w:widowControl w:val="false"/>
        <w:rPr>
          <w:lang w:val="el-GR"/>
        </w:rPr>
      </w:pPr>
      <w:r>
        <w:rPr>
          <w:rStyle w:val="Style10"/>
        </w:rPr>
        <w:footnoteRef/>
      </w:r>
      <w:r>
        <w:rPr>
          <w:lang w:val="el-GR"/>
        </w:rPr>
        <w:tab/>
        <w:t xml:space="preserve"> </w:t>
      </w:r>
      <w:r>
        <w:rPr>
          <w:lang w:val="el-GR"/>
        </w:rPr>
        <w:t>Πρβλ έγγραφο ΕΑΑΔΗΣΥ με α.π. 4121/30-07-2020 « Διευκρινίσεις ως προς την τήρηση των διατυπώσεων δημοσιότητας στη διαγωνιστική διαδικασία σε περίπτωση τροποποίησης όρων της διακήρυξης» (ΑΔΑ: ΩΡΗ9ΟΞΤΒ-2ΧΖ)</w:t>
      </w:r>
    </w:p>
  </w:footnote>
  <w:footnote w:id="36">
    <w:p>
      <w:pPr>
        <w:pStyle w:val="Style32"/>
        <w:widowControl w:val="false"/>
        <w:rPr>
          <w:lang w:val="el-GR"/>
        </w:rPr>
      </w:pPr>
      <w:r>
        <w:rPr>
          <w:rStyle w:val="Style10"/>
        </w:rPr>
        <w:footnoteRef/>
      </w:r>
      <w:r>
        <w:rPr>
          <w:lang w:val="el-GR"/>
        </w:rPr>
        <w:tab/>
        <w:t>Άρθρο 53 παρ.3 του ν. 4412/2016: Τα έγγραφα της σύμβασης (όπως περιγράφονται στην παρ. 2.1.1) συντάσσονται υποχρεωτικά στην ελληνική γλώσσα και προαιρετικά και σε άλλες γλώσσες, συνολικά ή μερικά. Σε περίπτωση ασυμφωνίας μεταξύ των τμημάτων των εγγράφων της σύμβασης που έχουν συνταχθεί σε περισσότερες γλώσσες, επικρατεί η ελληνική έκδοση.</w:t>
      </w:r>
    </w:p>
  </w:footnote>
  <w:footnote w:id="37">
    <w:p>
      <w:pPr>
        <w:pStyle w:val="Style32"/>
        <w:widowControl w:val="false"/>
        <w:rPr>
          <w:lang w:val="el-GR"/>
        </w:rPr>
      </w:pPr>
      <w:r>
        <w:rPr>
          <w:rStyle w:val="Style10"/>
        </w:rPr>
        <w:footnoteRef/>
      </w:r>
      <w:r>
        <w:rPr>
          <w:lang w:val="el-GR"/>
        </w:rPr>
        <w:tab/>
        <w:t xml:space="preserve"> </w:t>
      </w:r>
      <w:r>
        <w:rPr>
          <w:lang w:val="el-GR"/>
        </w:rPr>
        <w:t>Άρθρο 80 παρ. 10 ν. 4412/2016</w:t>
      </w:r>
    </w:p>
  </w:footnote>
  <w:footnote w:id="38">
    <w:p>
      <w:pPr>
        <w:pStyle w:val="Style32"/>
        <w:widowControl w:val="false"/>
        <w:rPr>
          <w:lang w:val="el-GR"/>
        </w:rPr>
      </w:pPr>
      <w:r>
        <w:rPr>
          <w:rStyle w:val="Style10"/>
        </w:rPr>
        <w:footnoteRef/>
      </w:r>
      <w:r>
        <w:rPr>
          <w:szCs w:val="18"/>
          <w:lang w:val="el-GR"/>
        </w:rPr>
        <w:tab/>
        <w:t>Άρθρο 92 παρ.4 του ν. 4412/2016</w:t>
      </w:r>
    </w:p>
  </w:footnote>
  <w:footnote w:id="39">
    <w:p>
      <w:pPr>
        <w:pStyle w:val="Style32"/>
        <w:widowControl w:val="false"/>
        <w:rPr>
          <w:lang w:val="el-GR"/>
        </w:rPr>
      </w:pPr>
      <w:r>
        <w:rPr>
          <w:rStyle w:val="Style10"/>
        </w:rPr>
        <w:footnoteRef/>
      </w:r>
      <w:r>
        <w:rPr>
          <w:szCs w:val="18"/>
          <w:lang w:val="el-GR"/>
        </w:rPr>
        <w:tab/>
        <w:t>Με την επιφύλαξη της εν όλω ή εν μέρει σύνταξης των εγγράφων σε άλλη γλώσσα</w:t>
      </w:r>
    </w:p>
  </w:footnote>
  <w:footnote w:id="40">
    <w:p>
      <w:pPr>
        <w:pStyle w:val="Style32"/>
        <w:widowControl w:val="false"/>
        <w:rPr>
          <w:lang w:val="el-GR"/>
        </w:rPr>
      </w:pPr>
      <w:r>
        <w:rPr>
          <w:rStyle w:val="Style10"/>
        </w:rPr>
        <w:footnoteRef/>
      </w:r>
      <w:r>
        <w:rPr>
          <w:szCs w:val="18"/>
          <w:lang w:val="el-GR"/>
        </w:rPr>
        <w:tab/>
        <w:t>Άρθρο 72 του  ν. 4412/2 016</w:t>
      </w:r>
    </w:p>
  </w:footnote>
  <w:footnote w:id="41">
    <w:p>
      <w:pPr>
        <w:pStyle w:val="Style32"/>
        <w:widowControl w:val="false"/>
        <w:rPr>
          <w:lang w:val="el-GR"/>
        </w:rPr>
      </w:pPr>
      <w:r>
        <w:rPr>
          <w:rStyle w:val="Style10"/>
        </w:rPr>
        <w:footnoteRef/>
      </w:r>
      <w:r>
        <w:rPr>
          <w:szCs w:val="18"/>
          <w:lang w:val="el-GR"/>
        </w:rPr>
        <w:tab/>
        <w:t>Πρβλ.  άρθρο 120 του  ν.4512/2018 (ΦΕΚ Α΄ 5/17.1.2017), καθώς και</w:t>
      </w:r>
      <w:r>
        <w:rPr>
          <w:lang w:val="el-GR"/>
        </w:rPr>
        <w:t xml:space="preserve">  άρθρο 15 παρ.1 του  ν.4541/2018  (ΦΕΚ Α΄ 93/31.5.2018),</w:t>
      </w:r>
    </w:p>
  </w:footnote>
  <w:footnote w:id="42">
    <w:p>
      <w:pPr>
        <w:pStyle w:val="Style32"/>
        <w:widowControl w:val="false"/>
        <w:rPr>
          <w:lang w:val="el-GR"/>
        </w:rPr>
      </w:pPr>
      <w:r>
        <w:rPr>
          <w:rStyle w:val="Style10"/>
        </w:rPr>
        <w:footnoteRef/>
      </w:r>
      <w:r>
        <w:rPr>
          <w:lang w:val="el-GR"/>
        </w:rPr>
        <w:tab/>
        <w:t>Τα γραμμάτια σύστασης χρηματικής παρακαταθήκης του Ταμείου Παρακαταθηκών και Δανείων, για την παροχή εγγυήσεων συμμετοχής και καλής εκτέλεσης (εγγυοδοτική παρακαταθήκη) συστήνονται σύμφωνα με την ειδική νομοθεσία που  διέπει αυτό και ειδικότερα βάσει του άρθρου 4 του π.δ της 30 Δεκεμβρίου 1926/3 Ιανουαρίου 1927 (“Περί συστάσεως και αποδόσεως παρακαταθηκών και καταθέσεων παρά τω Ταμείω Παρακαταθηκών και Δανείων”). Πρβλ. το με αρ. πρωτ. 2756/23-5-2017 έγγραφο της Ε.Α.Α.ΔΗ.ΣΥ. (ΑΔΑ: 7ΝΣΡΟΞΤΒ-975).</w:t>
      </w:r>
    </w:p>
  </w:footnote>
  <w:footnote w:id="43">
    <w:p>
      <w:pPr>
        <w:pStyle w:val="Style32"/>
        <w:widowControl w:val="false"/>
        <w:rPr>
          <w:lang w:val="el-GR"/>
        </w:rPr>
      </w:pPr>
      <w:r>
        <w:rPr>
          <w:rStyle w:val="Style10"/>
        </w:rPr>
        <w:footnoteRef/>
      </w:r>
      <w:r>
        <w:rPr>
          <w:lang w:val="el-GR"/>
        </w:rPr>
        <w:tab/>
        <w:t>Παρ. 12 άρθρου 72 του ν. 4412/2016</w:t>
      </w:r>
    </w:p>
  </w:footnote>
  <w:footnote w:id="44">
    <w:p>
      <w:pPr>
        <w:pStyle w:val="Style32"/>
        <w:widowControl w:val="false"/>
        <w:rPr>
          <w:lang w:val="el-GR"/>
        </w:rPr>
      </w:pPr>
      <w:r>
        <w:rPr>
          <w:rStyle w:val="Style10"/>
        </w:rPr>
        <w:footnoteRef/>
      </w:r>
      <w:r>
        <w:rPr>
          <w:lang w:val="el-GR"/>
        </w:rPr>
        <w:tab/>
        <w:t xml:space="preserve">Βλ. σχετικά με ΣΔΣ </w:t>
      </w:r>
      <w:r>
        <w:rPr/>
        <w:t>https</w:t>
      </w:r>
      <w:r>
        <w:rPr>
          <w:lang w:val="el-GR"/>
        </w:rPr>
        <w:t>://</w:t>
      </w:r>
      <w:r>
        <w:rPr/>
        <w:t>www</w:t>
      </w:r>
      <w:r>
        <w:rPr>
          <w:lang w:val="el-GR"/>
        </w:rPr>
        <w:t>.</w:t>
      </w:r>
      <w:r>
        <w:rPr/>
        <w:t>wto</w:t>
      </w:r>
      <w:r>
        <w:rPr>
          <w:lang w:val="el-GR"/>
        </w:rPr>
        <w:t>.</w:t>
      </w:r>
      <w:r>
        <w:rPr/>
        <w:t>org</w:t>
      </w:r>
      <w:r>
        <w:rPr>
          <w:lang w:val="el-GR"/>
        </w:rPr>
        <w:t>/</w:t>
      </w:r>
      <w:r>
        <w:rPr/>
        <w:t>english</w:t>
      </w:r>
      <w:r>
        <w:rPr>
          <w:lang w:val="el-GR"/>
        </w:rPr>
        <w:t>/</w:t>
      </w:r>
      <w:r>
        <w:rPr/>
        <w:t>tratop</w:t>
      </w:r>
      <w:r>
        <w:rPr>
          <w:lang w:val="el-GR"/>
        </w:rPr>
        <w:t>_</w:t>
      </w:r>
      <w:r>
        <w:rPr/>
        <w:t>e</w:t>
      </w:r>
      <w:r>
        <w:rPr>
          <w:lang w:val="el-GR"/>
        </w:rPr>
        <w:t>/</w:t>
      </w:r>
      <w:r>
        <w:rPr/>
        <w:t>gproc</w:t>
      </w:r>
      <w:r>
        <w:rPr>
          <w:lang w:val="el-GR"/>
        </w:rPr>
        <w:t>_</w:t>
      </w:r>
      <w:r>
        <w:rPr/>
        <w:t>e</w:t>
      </w:r>
      <w:r>
        <w:rPr>
          <w:lang w:val="el-GR"/>
        </w:rPr>
        <w:t>/</w:t>
      </w:r>
      <w:r>
        <w:rPr/>
        <w:t>gp</w:t>
      </w:r>
      <w:r>
        <w:rPr>
          <w:lang w:val="el-GR"/>
        </w:rPr>
        <w:t>_</w:t>
      </w:r>
      <w:r>
        <w:rPr/>
        <w:t>gpa</w:t>
      </w:r>
      <w:r>
        <w:rPr>
          <w:lang w:val="el-GR"/>
        </w:rPr>
        <w:t>_</w:t>
      </w:r>
      <w:r>
        <w:rPr/>
        <w:t>e</w:t>
      </w:r>
      <w:r>
        <w:rPr>
          <w:lang w:val="el-GR"/>
        </w:rPr>
        <w:t>.</w:t>
      </w:r>
      <w:r>
        <w:rPr/>
        <w:t>htm</w:t>
      </w:r>
    </w:p>
  </w:footnote>
  <w:footnote w:id="45">
    <w:p>
      <w:pPr>
        <w:pStyle w:val="Style32"/>
        <w:widowControl w:val="false"/>
        <w:rPr>
          <w:lang w:val="el-GR"/>
        </w:rPr>
      </w:pPr>
      <w:r>
        <w:rPr>
          <w:rStyle w:val="Style10"/>
        </w:rPr>
        <w:footnoteRef/>
      </w:r>
      <w:r>
        <w:rPr>
          <w:lang w:val="el-GR"/>
        </w:rPr>
        <w:tab/>
        <w:t>Σύμφωνα με το ισχύον κείμενο της ΣΔΣ, τα σχετικά παραρτήματα που αναφέρονται στο άρθρο 25 αντιστοιχούν πλέον στα 1, 2, 4, 5, 6 και 7.</w:t>
      </w:r>
    </w:p>
  </w:footnote>
  <w:footnote w:id="46">
    <w:p>
      <w:pPr>
        <w:pStyle w:val="Style32"/>
        <w:widowControl w:val="false"/>
        <w:rPr>
          <w:lang w:val="el-GR"/>
        </w:rPr>
      </w:pPr>
      <w:r>
        <w:rPr>
          <w:rStyle w:val="Style10"/>
        </w:rPr>
        <w:footnoteRef/>
      </w:r>
      <w:r>
        <w:rPr>
          <w:lang w:val="el-GR"/>
        </w:rPr>
        <w:tab/>
        <w:t>Επισημαίνεται ότι απαγορεύεται η συμμετοχή εξωχώριας εταιρείας από «μη συνεργάσιμα κράτη στον φορολογικό τομέα» κατά την έννοια των παρ. 3 και 4 του άρθρου 65 του ν. 4172/2013,  καθώς και από κράτη που έχουν προνομιακό φορολογικό καθεστώς, όπως αυτά ορίζονται στον κατάλογο της απόφασης της παρ. 7 του άρθρου 65 του ως άνω Κώδικα, κατά τα αναφερόμενα στην περίπτωση α` και β΄της παραγράφου 4 του άρθρου 4 του ν. 3310/2005.</w:t>
      </w:r>
    </w:p>
  </w:footnote>
  <w:footnote w:id="47">
    <w:p>
      <w:pPr>
        <w:pStyle w:val="Style32"/>
        <w:widowControl w:val="false"/>
        <w:rPr>
          <w:lang w:val="el-GR"/>
        </w:rPr>
      </w:pPr>
      <w:r>
        <w:rPr>
          <w:rStyle w:val="Style10"/>
        </w:rPr>
        <w:footnoteRef/>
      </w:r>
      <w:r>
        <w:rPr>
          <w:lang w:val="el-GR"/>
        </w:rPr>
        <w:tab/>
        <w:t xml:space="preserve">  </w:t>
      </w:r>
      <w:r>
        <w:rPr>
          <w:lang w:val="el-GR"/>
        </w:rPr>
        <w:t>Πρβλ. σχετικά, σελ. 8 της Ανακοίνωσης της Επιτροπής C (2019) 5494 final «Κατευθυντήριες γραμμές για τη συμμετοχή προσφερόντων και αγαθών από τρίτες χώρες στην αγορά δημοσίων συμβάσεων της ΕΕ».</w:t>
      </w:r>
    </w:p>
  </w:footnote>
  <w:footnote w:id="48">
    <w:p>
      <w:pPr>
        <w:pStyle w:val="Style32"/>
        <w:widowControl w:val="false"/>
        <w:rPr>
          <w:lang w:val="el-GR"/>
        </w:rPr>
      </w:pPr>
      <w:r>
        <w:rPr>
          <w:rStyle w:val="Style10"/>
        </w:rPr>
        <w:footnoteRef/>
      </w:r>
      <w:r>
        <w:rPr>
          <w:lang w:val="el-GR"/>
        </w:rPr>
        <w:tab/>
        <w:t xml:space="preserve">  </w:t>
      </w:r>
      <w:r>
        <w:rPr>
          <w:lang w:val="el-GR"/>
        </w:rPr>
        <w:t>Άρθρο 19 ν. 4412/2016.</w:t>
      </w:r>
    </w:p>
  </w:footnote>
  <w:footnote w:id="49">
    <w:p>
      <w:pPr>
        <w:pStyle w:val="Style32"/>
        <w:widowControl w:val="false"/>
        <w:rPr>
          <w:lang w:val="el-GR"/>
        </w:rPr>
      </w:pPr>
      <w:r>
        <w:rPr>
          <w:rStyle w:val="Style10"/>
        </w:rPr>
        <w:footnoteRef/>
      </w:r>
      <w:r>
        <w:rPr>
          <w:rStyle w:val="Style10"/>
          <w:position w:val="0"/>
          <w:sz w:val="18"/>
          <w:sz w:val="18"/>
          <w:vertAlign w:val="baseline"/>
          <w:lang w:val="el-GR"/>
        </w:rPr>
        <w:tab/>
        <w:t>Παρ. 1 ,2 και 12 του άρθρου 72 του ν.4412/2016.</w:t>
      </w:r>
    </w:p>
  </w:footnote>
  <w:footnote w:id="50">
    <w:p>
      <w:pPr>
        <w:pStyle w:val="Style32"/>
        <w:widowControl w:val="false"/>
        <w:rPr>
          <w:lang w:val="el-GR"/>
        </w:rPr>
      </w:pPr>
      <w:r>
        <w:rPr>
          <w:rStyle w:val="Style10"/>
        </w:rPr>
        <w:footnoteRef/>
      </w:r>
      <w:r>
        <w:rPr>
          <w:lang w:val="el-GR"/>
        </w:rPr>
        <w:tab/>
        <w:t>Σε περίπτωση υποβολής προσφοράς για ένα ή περισσότερα τμήματα της σύμβασης, το ύψος της εγγύησης συμμετοχής υπολογίζεται επί της εκτιμώμενης αξίας του/των προσφερομένου/ων τμήματος/τμημάτων (β’ εδ. παρ. 1 άρθρου 72 ν. 4412/2016).</w:t>
      </w:r>
    </w:p>
  </w:footnote>
  <w:footnote w:id="51">
    <w:p>
      <w:pPr>
        <w:pStyle w:val="Style32"/>
        <w:widowControl w:val="false"/>
        <w:rPr>
          <w:lang w:val="el-GR"/>
        </w:rPr>
      </w:pPr>
      <w:r>
        <w:rPr>
          <w:rStyle w:val="Style10"/>
        </w:rPr>
        <w:footnoteRef/>
      </w:r>
      <w:r>
        <w:rPr>
          <w:lang w:val="el-GR"/>
        </w:rPr>
        <w:tab/>
        <w:t>Το ποσοστό της εγγύησης συμμετοχής δεν μπορεί να υπερβαίνει το 2% της εκτιμώμενης αξίας της σύμβασης, εκτός ΦΠΑ, με ανάλογη στρογγυλοποίηση, μη συνυπολογιζομένων των δικαιωμάτων προαίρεσης και παράτασης της σύμβασης.</w:t>
      </w:r>
    </w:p>
  </w:footnote>
  <w:footnote w:id="52">
    <w:p>
      <w:pPr>
        <w:pStyle w:val="Style32"/>
        <w:widowControl w:val="false"/>
        <w:rPr>
          <w:lang w:val="el-GR"/>
        </w:rPr>
      </w:pPr>
      <w:r>
        <w:rPr>
          <w:rStyle w:val="Style10"/>
        </w:rPr>
        <w:footnoteRef/>
      </w:r>
      <w:r>
        <w:rPr>
          <w:lang w:val="el-GR"/>
        </w:rPr>
        <w:tab/>
        <w:t>Άρθρο 72 παρ. 3 εδάφιο δεύτερο του ν. 4412/2016</w:t>
      </w:r>
      <w:r>
        <w:rPr>
          <w:rFonts w:cs="Cambria"/>
          <w:szCs w:val="18"/>
          <w:lang w:val="el-GR"/>
        </w:rPr>
        <w:t>.</w:t>
      </w:r>
    </w:p>
  </w:footnote>
  <w:footnote w:id="53">
    <w:p>
      <w:pPr>
        <w:pStyle w:val="Style32"/>
        <w:widowControl w:val="false"/>
        <w:rPr>
          <w:lang w:val="el-GR"/>
        </w:rPr>
      </w:pPr>
      <w:r>
        <w:rPr>
          <w:rStyle w:val="Style10"/>
        </w:rPr>
        <w:footnoteRef/>
      </w:r>
      <w:r>
        <w:rPr>
          <w:lang w:val="el-GR"/>
        </w:rPr>
        <w:tab/>
        <w:t xml:space="preserve"> </w:t>
      </w:r>
      <w:r>
        <w:rPr>
          <w:lang w:val="el-GR"/>
        </w:rPr>
        <w:t>Άρθρο 88 σε συνδυασμό με άρθρο 72 ν. 4412/2016</w:t>
      </w:r>
    </w:p>
  </w:footnote>
  <w:footnote w:id="54">
    <w:p>
      <w:pPr>
        <w:pStyle w:val="Style32"/>
        <w:widowControl w:val="false"/>
        <w:rPr>
          <w:lang w:val="el-GR"/>
        </w:rPr>
      </w:pPr>
      <w:r>
        <w:rPr>
          <w:rStyle w:val="Style10"/>
        </w:rPr>
        <w:footnoteRef/>
      </w:r>
      <w:r>
        <w:rPr>
          <w:lang w:val="el-GR"/>
        </w:rPr>
        <w:tab/>
        <w:t>Άρθρα 73 και 74 ν. 4412/2016</w:t>
      </w:r>
    </w:p>
  </w:footnote>
  <w:footnote w:id="55">
    <w:p>
      <w:pPr>
        <w:pStyle w:val="Style32"/>
        <w:widowControl w:val="false"/>
        <w:rPr>
          <w:bCs/>
          <w:szCs w:val="18"/>
          <w:lang w:val="el-GR"/>
        </w:rPr>
      </w:pPr>
      <w:r>
        <w:rPr>
          <w:rStyle w:val="Style10"/>
        </w:rPr>
        <w:footnoteRef/>
      </w:r>
      <w:r>
        <w:rPr>
          <w:lang w:val="el-GR"/>
        </w:rPr>
        <w:tab/>
        <w:t xml:space="preserve">Επισημαίνεται ότι </w:t>
      </w:r>
      <w:r>
        <w:rPr>
          <w:bCs/>
          <w:szCs w:val="18"/>
          <w:lang w:val="el-GR"/>
        </w:rPr>
        <w:t>η αναφορά στο ΕΕΕΣ σε “τελεσίδικη καταδικαστική απόφαση” νοείται ως “αμετάκλητη καταδικαστική απόφαση”, η δε σχετική δήλωση του οικονομικού φορέα στο Μέρος ΙΙΙ.Α. του ΕΕΕΣ αφορά μόνο σε αμετάκλητες καταδικαστικές</w:t>
      </w:r>
      <w:r>
        <w:rPr>
          <w:rFonts w:cs="Cambria" w:ascii="Cambria" w:hAnsi="Cambria"/>
          <w:bCs/>
          <w:szCs w:val="18"/>
          <w:lang w:val="el-GR"/>
        </w:rPr>
        <w:t xml:space="preserve"> </w:t>
      </w:r>
      <w:r>
        <w:rPr>
          <w:bCs/>
          <w:szCs w:val="18"/>
          <w:lang w:val="el-GR"/>
        </w:rPr>
        <w:t>αποφάσεις</w:t>
      </w:r>
    </w:p>
    <w:p>
      <w:pPr>
        <w:pStyle w:val="Style32"/>
        <w:widowControl w:val="false"/>
        <w:rPr>
          <w:lang w:val="el-GR"/>
        </w:rPr>
      </w:pPr>
      <w:r>
        <w:rPr/>
      </w:r>
    </w:p>
  </w:footnote>
  <w:footnote w:id="56">
    <w:p>
      <w:pPr>
        <w:pStyle w:val="Style32"/>
        <w:widowControl w:val="false"/>
        <w:rPr>
          <w:lang w:val="el-GR"/>
        </w:rPr>
      </w:pPr>
      <w:r>
        <w:rPr>
          <w:rStyle w:val="Style10"/>
        </w:rPr>
        <w:footnoteRef/>
      </w:r>
      <w:r>
        <w:rPr>
          <w:lang w:val="el-GR"/>
        </w:rPr>
        <w:tab/>
        <w:t>Οι λόγοι της παραγράφου 2.2.3.4 αποτελούν δυνητικούς λόγους αποκλεισμού, σύμφωνα με το άρθρο 73 παρ. 4 ν. 4412/2016. Κατά συνέπεια, η Α.Α. δύναται να επιλέξει όλους, μερικούς, ή, ενδεχομένως, και κανέναν από τους λόγους αποκλεισμού της παρ. 4, συνεκτιμώντας τα ιδιαίτερα χαρακτηριστικά της υπό ανάθεση σύμβασης (εκτιμώμενη αξία αυτής, ειδικές περιστάσεις κλπ), με σχετική πρόβλεψη στη διακήρυξη (πρβλ. αιτιολογική έκθεση νόμου 4412/2016 - άρθρο 73 παρ. 4). Επισημαίνεται, επίσης, ότι η επιλογή από την Α.Α. λόγου/ων αποκλεισμού της παρ. 4 διαμορφώνει αντιστοίχως τις επιλογές της στα σχετικά πεδία του ΕΕΕΣ, καθώς και τα μέσα απόδειξης του άρθρου 2.2.9.2.</w:t>
      </w:r>
    </w:p>
  </w:footnote>
  <w:footnote w:id="57">
    <w:p>
      <w:pPr>
        <w:pStyle w:val="Style32"/>
        <w:widowControl w:val="false"/>
        <w:rPr>
          <w:lang w:val="el-GR"/>
        </w:rPr>
      </w:pPr>
      <w:r>
        <w:rPr>
          <w:rStyle w:val="Style10"/>
        </w:rPr>
        <w:footnoteRef/>
      </w:r>
      <w:r>
        <w:rPr>
          <w:lang w:val="el-GR"/>
        </w:rPr>
        <w:tab/>
        <w:t>Ειδικά για τους δυνητικούς λόγους αποκλεισμού πρβλ. την Κατευθυντήρια Οδηγία 20/22-06-2017 της Αρχής (ΑΔΑ: ΩΡΞ3ΟΞΤΒ-9Ρ5). Ειδικότερα, όταν η αναθέτουσα αρχή εξετάζει τη συνδρομή των προϋποθέσεων εφαρμογής των δυνητικών λόγων αποκλεισμού που έχει συμπεριλάβει στα έγγραφα της σύμβασης, πρέπει να δίδει ιδιαίτερη προσοχή στην τήρηση της αρχής της αναλογικότητας (πρβλ και αιτιολογική σκέψη 101 της Οδηγίας 2014/24/ΕΕ).</w:t>
      </w:r>
    </w:p>
  </w:footnote>
  <w:footnote w:id="58">
    <w:p>
      <w:pPr>
        <w:pStyle w:val="Style32"/>
        <w:widowControl w:val="false"/>
        <w:rPr>
          <w:lang w:val="el-GR"/>
        </w:rPr>
      </w:pPr>
      <w:r>
        <w:rPr>
          <w:rStyle w:val="Style10"/>
        </w:rPr>
        <w:footnoteRef/>
      </w:r>
      <w:r>
        <w:rPr>
          <w:lang w:val="el-GR"/>
        </w:rPr>
        <w:tab/>
        <w:t>Η αθέτηση της υποχρέωσης αυτής συνιστά σοβαρό επαγγελματικό παράπτωμα του οικονομικού φορέα κατά την έννοια της περίπτωσης θ΄ της παραγράφου 4 του άρθρου 73. Πρβλ. άρθρο 18 παρ. 5 του ν. 4412/2106.</w:t>
      </w:r>
    </w:p>
  </w:footnote>
  <w:footnote w:id="59">
    <w:p>
      <w:pPr>
        <w:pStyle w:val="Style32"/>
        <w:widowControl w:val="false"/>
        <w:rPr>
          <w:lang w:val="el-GR"/>
        </w:rPr>
      </w:pPr>
      <w:r>
        <w:rPr>
          <w:rStyle w:val="Style10"/>
        </w:rPr>
        <w:footnoteRef/>
      </w:r>
      <w:r>
        <w:rPr>
          <w:lang w:val="el-GR"/>
        </w:rPr>
        <w:tab/>
        <w:t>Σχετική δήλωση του προσφέροντος οικονομικού φορέα περιλαμβάνεται στο ΕΕΕΣ</w:t>
      </w:r>
    </w:p>
  </w:footnote>
  <w:footnote w:id="60">
    <w:p>
      <w:pPr>
        <w:pStyle w:val="Style32"/>
        <w:widowControl w:val="false"/>
        <w:rPr>
          <w:lang w:val="el-GR"/>
        </w:rPr>
      </w:pPr>
      <w:r>
        <w:rPr>
          <w:rStyle w:val="Style10"/>
        </w:rPr>
        <w:footnoteRef/>
      </w:r>
      <w:r>
        <w:rPr>
          <w:lang w:val="el-GR"/>
        </w:rPr>
        <w:tab/>
        <w:t>Παρ. 10 του άρθρου 73 ν.4412/2016.</w:t>
      </w:r>
      <w:r>
        <w:rPr>
          <w:szCs w:val="18"/>
          <w:lang w:val="el-GR"/>
        </w:rPr>
        <w:t xml:space="preserve">Επίσης, πρβλ. υπ’ αριθμ. πρωτ. 6271/30-11-2018 έγγραφο της Αρχής (ΑΔΑ Ψ3Κ8ΟΞΤΒ-09Β) σχετικά με την απόφαση ΔΕΕ της 24 Οκτωβρίου 2018 στην υπόθεση </w:t>
      </w:r>
      <w:r>
        <w:rPr>
          <w:szCs w:val="18"/>
          <w:lang w:val="en-US"/>
        </w:rPr>
        <w:t>C</w:t>
      </w:r>
      <w:r>
        <w:rPr>
          <w:szCs w:val="18"/>
          <w:lang w:val="el-GR"/>
        </w:rPr>
        <w:t>-124/2017</w:t>
      </w:r>
      <w:r>
        <w:rPr>
          <w:sz w:val="22"/>
          <w:szCs w:val="22"/>
          <w:lang w:val="el-GR"/>
        </w:rPr>
        <w:t>.</w:t>
      </w:r>
    </w:p>
  </w:footnote>
  <w:footnote w:id="61">
    <w:p>
      <w:pPr>
        <w:pStyle w:val="Style32"/>
        <w:widowControl w:val="false"/>
        <w:rPr>
          <w:lang w:val="el-GR"/>
        </w:rPr>
      </w:pPr>
      <w:r>
        <w:rPr>
          <w:rStyle w:val="Style10"/>
        </w:rPr>
        <w:footnoteRef/>
      </w:r>
      <w:r>
        <w:rPr>
          <w:lang w:val="el-GR"/>
        </w:rPr>
        <w:tab/>
        <w:t xml:space="preserve"> </w:t>
      </w:r>
      <w:r>
        <w:rPr>
          <w:lang w:val="el-GR"/>
        </w:rPr>
        <w:t>Σχετικά με την προσκόμιση αποδείξεων για τα επανορθωτικά μέτρα βλ. την απόφαση της 14ης Ιανουαρίου 2021 του ΔΕΕ στην υπόθεση C</w:t>
      </w:r>
      <w:r>
        <w:rPr>
          <w:rFonts w:cs="Cambria Math" w:ascii="Cambria Math" w:hAnsi="Cambria Math"/>
          <w:lang w:val="el-GR"/>
        </w:rPr>
        <w:noBreakHyphen/>
      </w:r>
      <w:r>
        <w:rPr>
          <w:lang w:val="el-GR"/>
        </w:rPr>
        <w:t>387/19</w:t>
      </w:r>
    </w:p>
  </w:footnote>
  <w:footnote w:id="62">
    <w:p>
      <w:pPr>
        <w:pStyle w:val="Style32"/>
        <w:widowControl w:val="false"/>
        <w:rPr>
          <w:lang w:val="el-GR"/>
        </w:rPr>
      </w:pPr>
      <w:r>
        <w:rPr>
          <w:rStyle w:val="Style10"/>
        </w:rPr>
        <w:footnoteRef/>
      </w:r>
      <w:r>
        <w:rPr>
          <w:lang w:val="el-GR"/>
        </w:rPr>
        <w:tab/>
        <w:t>Παρ. 7 άρθρου 73 ν. 4412/2016.</w:t>
      </w:r>
    </w:p>
  </w:footnote>
  <w:footnote w:id="63">
    <w:p>
      <w:pPr>
        <w:pStyle w:val="Normal"/>
        <w:widowControl w:val="false"/>
        <w:suppressAutoHyphens w:val="false"/>
        <w:spacing w:before="0" w:after="0"/>
        <w:ind w:left="426" w:hanging="426"/>
        <w:rPr>
          <w:lang w:val="el-GR"/>
        </w:rPr>
      </w:pPr>
      <w:r>
        <w:rPr>
          <w:rStyle w:val="Style10"/>
        </w:rPr>
        <w:footnoteRef/>
      </w:r>
      <w:r>
        <w:rPr>
          <w:sz w:val="18"/>
          <w:szCs w:val="20"/>
          <w:lang w:val="el-GR"/>
        </w:rPr>
        <w:tab/>
        <w:t>Πρβλ. απόφαση υπ’ αριθμ. 111257-18/11/2022 (ΑΔΑ: ΨΠΓΟ46ΜΤΛΡ-0Ε3).</w:t>
      </w:r>
    </w:p>
  </w:footnote>
  <w:footnote w:id="64">
    <w:p>
      <w:pPr>
        <w:pStyle w:val="Style32"/>
        <w:widowControl w:val="false"/>
        <w:rPr>
          <w:lang w:val="el-GR"/>
        </w:rPr>
      </w:pPr>
      <w:r>
        <w:rPr>
          <w:rStyle w:val="Style10"/>
        </w:rPr>
        <w:footnoteRef/>
      </w:r>
      <w:r>
        <w:rPr>
          <w:lang w:val="el-GR"/>
        </w:rPr>
        <w:tab/>
        <w:t xml:space="preserve">Επισημαίνεται ότι όλα τα κριτήρια επιλογής είναι προαιρετικά, τίθενται στην παρούσα διακήρυξη κατά την κρίση και τη διακριτική ευχέρεια της </w:t>
      </w:r>
      <w:r>
        <w:rPr>
          <w:lang w:val="en-US"/>
        </w:rPr>
        <w:t>A</w:t>
      </w:r>
      <w:r>
        <w:rPr>
          <w:lang w:val="el-GR"/>
        </w:rPr>
        <w:t>.</w:t>
      </w:r>
      <w:r>
        <w:rPr>
          <w:lang w:val="en-US"/>
        </w:rPr>
        <w:t>A</w:t>
      </w:r>
      <w:r>
        <w:rPr>
          <w:lang w:val="el-GR"/>
        </w:rPr>
        <w:t xml:space="preserve">. και πρέπει να σχετίζονται και να είναι ανάλογα με το αντικείμενο της σύμβασης (άρθρο 75 παρ. 1 του ν. 4412/2016). Επιπλέον, οι </w:t>
      </w:r>
      <w:r>
        <w:rPr>
          <w:lang w:val="en-US"/>
        </w:rPr>
        <w:t>A</w:t>
      </w:r>
      <w:r>
        <w:rPr>
          <w:lang w:val="el-GR"/>
        </w:rPr>
        <w:t>.</w:t>
      </w:r>
      <w:r>
        <w:rPr>
          <w:lang w:val="en-US"/>
        </w:rPr>
        <w:t>A</w:t>
      </w:r>
      <w:r>
        <w:rPr>
          <w:lang w:val="el-GR"/>
        </w:rPr>
        <w:t xml:space="preserve">. μπορούν να επιβάλλουν στους οικονομικούς φορείς ως απαιτήσεις συμμετοχής μόνο τα κριτήρια που αναφέρονται στις παραγράφους 2.2.4, 2.2.5 και 2.2.6. Έχουν τη δυνατότητα, κατά συνέπεια, να επιλέξουν ένα, περισσότερα ή όλα ενδεχομένως τα ως άνω κριτήρια επιλογής, συνεκτιμώντας τα ιδιαίτερα χαρακτηριστικά της υπό ανάθεση σύμβασης (εκτιμώμενη αξία αυτής, ειδικές περιστάσεις κλπ), με σχετική πρόβλεψη στη διακήρυξη. Οι Α.Α. διαμορφώνουν αντίστοιχα τα πεδία του ΕΕΕΣ, σύμφωνα με την παράγραφο 2.2.9., καθώς και τα μέσα απόδειξης του άρθρου 2.2.9.2. Πρβλ. και την Κατευθυντήρια Οδηγία 13 της Ε.Α.Α.ΔΗ.ΣΥ. </w:t>
      </w:r>
      <w:r>
        <w:rPr>
          <w:i/>
          <w:iCs/>
          <w:lang w:val="el-GR"/>
        </w:rPr>
        <w:t xml:space="preserve">''Κριτήρια ποιοτικής επιλογής δημοσίων συμβάσεων και έλεγχος καταλληλόλητας: ειδικά η οικονομική και χρηματοοικονομική επάρκεια και η τεχνική και επαγγελματική ικανότητα'' </w:t>
      </w:r>
      <w:r>
        <w:rPr>
          <w:lang w:val="el-GR"/>
        </w:rPr>
        <w:t xml:space="preserve">(ΑΔΑ ΩΒΥ7ΟΞΤΒ-ΤΛ7) και ειδικότερα τις Ενότητες </w:t>
      </w:r>
      <w:r>
        <w:rPr>
          <w:lang w:val="en-US"/>
        </w:rPr>
        <w:t>I</w:t>
      </w:r>
      <w:r>
        <w:rPr>
          <w:lang w:val="el-GR"/>
        </w:rPr>
        <w:t>ΙΙ και IV παρ. 1 όπου παρατίθενται σχετικά  παραδείγματα.</w:t>
      </w:r>
    </w:p>
  </w:footnote>
  <w:footnote w:id="65">
    <w:p>
      <w:pPr>
        <w:pStyle w:val="Style32"/>
        <w:widowControl w:val="false"/>
        <w:rPr>
          <w:lang w:val="el-GR"/>
        </w:rPr>
      </w:pPr>
      <w:r>
        <w:rPr>
          <w:rStyle w:val="Style10"/>
        </w:rPr>
        <w:footnoteRef/>
      </w:r>
      <w:r>
        <w:rPr>
          <w:lang w:val="el-GR"/>
        </w:rPr>
        <w:tab/>
        <w:t>Άρθρο  75 παρ. 2 ν. 4412/2016.</w:t>
      </w:r>
    </w:p>
  </w:footnote>
  <w:footnote w:id="66">
    <w:p>
      <w:pPr>
        <w:pStyle w:val="Style32"/>
        <w:widowControl w:val="false"/>
        <w:rPr>
          <w:lang w:val="el-GR"/>
        </w:rPr>
      </w:pPr>
      <w:r>
        <w:rPr>
          <w:rStyle w:val="Style10"/>
        </w:rPr>
        <w:footnoteRef/>
      </w:r>
      <w:r>
        <w:rPr>
          <w:lang w:val="el-GR"/>
        </w:rPr>
        <w:tab/>
        <w:t xml:space="preserve">Παράρτημα </w:t>
      </w:r>
      <w:r>
        <w:rPr/>
        <w:t>XI</w:t>
      </w:r>
      <w:r>
        <w:rPr>
          <w:lang w:val="el-GR"/>
        </w:rPr>
        <w:t xml:space="preserve"> Προσαρτήματος Α ν. 4412/2016.</w:t>
      </w:r>
    </w:p>
  </w:footnote>
  <w:footnote w:id="67">
    <w:p>
      <w:pPr>
        <w:pStyle w:val="Style32"/>
        <w:widowControl w:val="false"/>
        <w:rPr>
          <w:lang w:val="el-GR"/>
        </w:rPr>
      </w:pPr>
      <w:r>
        <w:rPr>
          <w:rStyle w:val="Style10"/>
        </w:rPr>
        <w:footnoteRef/>
      </w:r>
      <w:r>
        <w:rPr>
          <w:lang w:val="el-GR"/>
        </w:rPr>
        <w:tab/>
        <w:t>Άρθρο 75 παρ. 3 ν. 4412/2016. Επισημαίνεται, περαιτέρω, ότι οι Α.Α. μπορούν (χωρίς αυτό να είναι υποχρεωτικό) να διαμορφώσουν την παρούσα παράγραφο είτε απαιτώντας, ως προς τα κριτήρια που επιλέγουν, ελάχιστα επίπεδα οικονομικής και χρηματοοικονομικής επάρκειας, τα οποία πρέπει να καλύπτουν οι προσφέροντες οικονομικοί φορείς με αναφορά σε συγκεκριμένα μεγέθη (π.χ. κύκλος εργασιών 200.000 ευρώ τα 3 τελευταία έτη), είτε ζητώντας από τους οικονομικούς φορείς να δηλώσουν τις ζητούμενες πληροφορίες αναφέροντας τη μεθοδολογία με την οποία θα αξιολογήσουν τις πληροφορίες αυτές.</w:t>
      </w:r>
    </w:p>
  </w:footnote>
  <w:footnote w:id="68">
    <w:p>
      <w:pPr>
        <w:pStyle w:val="Style32"/>
        <w:widowControl w:val="false"/>
        <w:rPr>
          <w:lang w:val="el-GR"/>
        </w:rPr>
      </w:pPr>
      <w:r>
        <w:rPr>
          <w:rStyle w:val="Style10"/>
        </w:rPr>
        <w:footnoteRef/>
      </w:r>
      <w:r>
        <w:rPr>
          <w:lang w:val="el-GR"/>
        </w:rPr>
        <w:tab/>
        <w:t>Άρθρο 75 παρ. 4 ν. 4412/2016.</w:t>
      </w:r>
    </w:p>
  </w:footnote>
  <w:footnote w:id="69">
    <w:p>
      <w:pPr>
        <w:pStyle w:val="Style32"/>
        <w:widowControl w:val="false"/>
        <w:rPr>
          <w:lang w:val="el-GR"/>
        </w:rPr>
      </w:pPr>
      <w:r>
        <w:rPr>
          <w:rStyle w:val="Style10"/>
        </w:rPr>
        <w:footnoteRef/>
      </w:r>
      <w:r>
        <w:rPr>
          <w:lang w:val="el-GR"/>
        </w:rPr>
        <w:tab/>
        <w:t>Άρθρο 82 ν. 4412/2016. Επισημαίνεται ότι τα πρότυπα είναι προαιρετικά, ήτοι τίθενται στην παρούσα διακήρυξη, κατά την κρίση και τη διακριτική ευχέρεια της Α.Α. και πρέπει να σχετίζονται και να είναι ανάλογα με το αντικείμενο της σύμβασης.</w:t>
      </w:r>
    </w:p>
  </w:footnote>
  <w:footnote w:id="70">
    <w:p>
      <w:pPr>
        <w:pStyle w:val="Style32"/>
        <w:widowControl w:val="false"/>
        <w:rPr>
          <w:lang w:val="el-GR"/>
        </w:rPr>
      </w:pPr>
      <w:r>
        <w:rPr>
          <w:rStyle w:val="Style10"/>
        </w:rPr>
        <w:footnoteRef/>
      </w:r>
      <w:r>
        <w:rPr>
          <w:lang w:val="el-GR"/>
        </w:rPr>
        <w:tab/>
        <w:t xml:space="preserve">    </w:t>
      </w:r>
      <w:r>
        <w:rPr>
          <w:lang w:val="el-GR"/>
        </w:rPr>
        <w:t>Ως προς το ζήτημα της εφαρμογής του Καν. 765/2008 και των απαιτήσεων διαπίστευσης, αναμένεται η έκδοση απόφασης της Ολομέλειας του ΣτΕ, μετά από παραπομπή σε αυτήν, με την  απόφαση  ΣτΕ Δ’ Τμ. 1939/2022.</w:t>
      </w:r>
    </w:p>
  </w:footnote>
  <w:footnote w:id="71">
    <w:p>
      <w:pPr>
        <w:pStyle w:val="Style32"/>
        <w:widowControl w:val="false"/>
        <w:rPr>
          <w:lang w:val="el-GR"/>
        </w:rPr>
      </w:pPr>
      <w:r>
        <w:rPr>
          <w:rStyle w:val="Style10"/>
        </w:rPr>
        <w:footnoteRef/>
      </w:r>
      <w:r>
        <w:rPr>
          <w:lang w:val="el-GR"/>
        </w:rPr>
        <w:tab/>
        <w:t>Άρθρο 78 ν. 4412/2016</w:t>
      </w:r>
    </w:p>
  </w:footnote>
  <w:footnote w:id="72">
    <w:p>
      <w:pPr>
        <w:pStyle w:val="Style32"/>
        <w:widowControl w:val="false"/>
        <w:rPr>
          <w:strike/>
          <w:lang w:val="el-GR"/>
        </w:rPr>
      </w:pPr>
      <w:r>
        <w:rPr>
          <w:rStyle w:val="Style10"/>
        </w:rPr>
        <w:footnoteRef/>
      </w:r>
      <w:r>
        <w:rPr>
          <w:lang w:val="el-GR"/>
        </w:rPr>
        <w:tab/>
        <w:t>Δύνανται, επίσης, να στηρίζονται και στις ικανότητες του/ των υπεργολάβων, στους οποίους προτίθενται να αναθέσουν την εκτέλεση τμήματος/ τμημάτων της υπό ανάθεσης σύμβασης.</w:t>
      </w:r>
    </w:p>
  </w:footnote>
  <w:footnote w:id="73">
    <w:p>
      <w:pPr>
        <w:pStyle w:val="Style32"/>
        <w:widowControl w:val="false"/>
        <w:rPr>
          <w:lang w:val="el-GR"/>
        </w:rPr>
      </w:pPr>
      <w:r>
        <w:rPr>
          <w:rStyle w:val="Style10"/>
        </w:rPr>
        <w:footnoteRef/>
      </w:r>
      <w:r>
        <w:rPr>
          <w:lang w:val="el-GR"/>
        </w:rPr>
        <w:tab/>
        <w:t>Ο όρος αυτός μπορεί να τεθεί, κατά την κρίση της αναθέτουσας αρχής, και στην περίπτωση ποσοστού μικρότερου του 30% της εκτιμώμενης αξίας της σύμβασης (πρβλ. παρ. 5 άρθρου 131 του ν. 4412/2016).</w:t>
      </w:r>
    </w:p>
  </w:footnote>
  <w:footnote w:id="74">
    <w:p>
      <w:pPr>
        <w:pStyle w:val="Style32"/>
        <w:widowControl w:val="false"/>
        <w:rPr>
          <w:lang w:val="el-GR"/>
        </w:rPr>
      </w:pPr>
      <w:r>
        <w:rPr>
          <w:rStyle w:val="Style10"/>
        </w:rPr>
        <w:footnoteRef/>
      </w:r>
      <w:r>
        <w:rPr>
          <w:lang w:val="el-GR"/>
        </w:rPr>
        <w:tab/>
        <w:t>Άρθρο 78 παρ. 1 ν. 4412/2016.</w:t>
      </w:r>
    </w:p>
  </w:footnote>
  <w:footnote w:id="75">
    <w:p>
      <w:pPr>
        <w:pStyle w:val="Style32"/>
        <w:widowControl w:val="false"/>
        <w:rPr>
          <w:lang w:val="el-GR"/>
        </w:rPr>
      </w:pPr>
      <w:r>
        <w:rPr>
          <w:rStyle w:val="Style10"/>
        </w:rPr>
        <w:footnoteRef/>
      </w:r>
      <w:r>
        <w:rPr>
          <w:lang w:val="el-GR"/>
        </w:rPr>
        <w:tab/>
        <w:t>Άρθρο 131 παρ. 6 ν. 4412/2016</w:t>
      </w:r>
    </w:p>
  </w:footnote>
  <w:footnote w:id="76">
    <w:p>
      <w:pPr>
        <w:pStyle w:val="Style32"/>
        <w:widowControl w:val="false"/>
        <w:rPr>
          <w:lang w:val="el-GR"/>
        </w:rPr>
      </w:pPr>
      <w:r>
        <w:rPr>
          <w:rStyle w:val="Style10"/>
        </w:rPr>
        <w:footnoteRef/>
      </w:r>
      <w:r>
        <w:rPr>
          <w:lang w:val="el-GR"/>
        </w:rPr>
        <w:tab/>
        <w:t>Άρθρο 104 σε συνδυασμό με τις παρ. 4 και 5 του άρθρου 105 του ν. 4412/2016</w:t>
      </w:r>
    </w:p>
  </w:footnote>
  <w:footnote w:id="77">
    <w:p>
      <w:pPr>
        <w:pStyle w:val="Style32"/>
        <w:widowControl w:val="false"/>
        <w:rPr>
          <w:lang w:val="el-GR"/>
        </w:rPr>
      </w:pPr>
      <w:r>
        <w:rPr>
          <w:rStyle w:val="Style10"/>
        </w:rPr>
        <w:footnoteRef/>
      </w:r>
      <w:r>
        <w:rPr>
          <w:lang w:val="el-GR"/>
        </w:rPr>
        <w:tab/>
        <w:t xml:space="preserve">Το ΕΕΕΣ περιλαμβάνει τα ακόλουθα Μέρη: Μέρος Ι Πληροφορίες σχετικά με τη διαδικασία σύναψης σύμβασης και την αναθέτουσα αρχή, Μέρος ΙΙ Πληροφορίες σχετικά με τον οικονομικό φορέα, Μέρος ΙΙΙ Κριτήρια αποκλεισμού, Μέρος </w:t>
      </w:r>
      <w:r>
        <w:rPr>
          <w:lang w:val="en-US"/>
        </w:rPr>
        <w:t>IV</w:t>
      </w:r>
      <w:r>
        <w:rPr>
          <w:lang w:val="el-GR"/>
        </w:rPr>
        <w:t xml:space="preserve"> Κριτήρια Επιλογής, Μέρος </w:t>
      </w:r>
      <w:r>
        <w:rPr>
          <w:lang w:val="en-US"/>
        </w:rPr>
        <w:t>VI</w:t>
      </w:r>
      <w:r>
        <w:rPr>
          <w:lang w:val="el-GR"/>
        </w:rPr>
        <w:t xml:space="preserve"> Τελικές δηλώσεις.</w:t>
      </w:r>
    </w:p>
  </w:footnote>
  <w:footnote w:id="78">
    <w:p>
      <w:pPr>
        <w:pStyle w:val="Style32"/>
        <w:widowControl w:val="false"/>
        <w:rPr>
          <w:lang w:val="el-GR"/>
        </w:rPr>
      </w:pPr>
      <w:r>
        <w:rPr>
          <w:rStyle w:val="Style10"/>
        </w:rPr>
        <w:footnoteRef/>
      </w:r>
      <w:r>
        <w:rPr>
          <w:lang w:val="el-GR"/>
        </w:rPr>
        <w:tab/>
        <w:t>Από τις 2-5-2019, παρέχεται η ηλεκτρονική υπηρεσία </w:t>
      </w:r>
      <w:r>
        <w:fldChar w:fldCharType="begin"/>
      </w:r>
      <w:r>
        <w:rPr>
          <w:lang w:val="el-GR"/>
        </w:rPr>
        <w:instrText xml:space="preserve"> HYPERLINK "https://espdint.eprocurement.gov.gr/" \l "_blank"</w:instrText>
      </w:r>
      <w:r>
        <w:rPr>
          <w:lang w:val="el-GR"/>
        </w:rPr>
        <w:fldChar w:fldCharType="separate"/>
      </w:r>
      <w:r>
        <w:rPr>
          <w:lang w:val="el-GR"/>
        </w:rPr>
        <w:t>Promitheus ESPDint </w:t>
      </w:r>
      <w:r>
        <w:rPr>
          <w:lang w:val="el-GR"/>
        </w:rPr>
        <w:fldChar w:fldCharType="end"/>
      </w:r>
      <w:r>
        <w:rPr>
          <w:lang w:val="el-GR"/>
        </w:rPr>
        <w:t>(</w:t>
      </w:r>
      <w:r>
        <w:fldChar w:fldCharType="begin"/>
      </w:r>
      <w:r>
        <w:rPr>
          <w:lang w:val="el-GR"/>
        </w:rPr>
        <w:instrText xml:space="preserve"> HYPERLINK "https://espdint.eprocurement.gov.gr/" \l "_blank"</w:instrText>
      </w:r>
      <w:r>
        <w:rPr>
          <w:lang w:val="el-GR"/>
        </w:rPr>
        <w:fldChar w:fldCharType="separate"/>
      </w:r>
      <w:r>
        <w:rPr>
          <w:lang w:val="el-GR"/>
        </w:rPr>
        <w:t>https://espdint.eprocurement.gov.gr/</w:t>
      </w:r>
      <w:r>
        <w:rPr>
          <w:lang w:val="el-GR"/>
        </w:rPr>
        <w:fldChar w:fldCharType="end"/>
      </w:r>
      <w:r>
        <w:rPr>
          <w:lang w:val="el-GR"/>
        </w:rPr>
        <w:t xml:space="preserve">) </w:t>
      </w:r>
      <w:hyperlink r:id="rId1">
        <w:r>
          <w:rPr>
            <w:lang w:val="el-GR"/>
          </w:rPr>
          <w:t>https://espd.eprocurement.gov.gr/</w:t>
        </w:r>
      </w:hyperlink>
      <w:r>
        <w:rPr>
          <w:lang w:val="el-GR"/>
        </w:rPr>
        <w:t xml:space="preserve"> που προσφέρει τη δυνατότητα ηλεκτρονικής σύνταξης και διαχείρισης του Ευρωπαϊκού Ενιαίου Εγγράφου Σύμβασης (ΕΕΕΣ). Μπορείτε να δείτε τη σχετική ανακοίνωση στη Διαδικτυακή Πύλη του ΕΣΗΔΗΣ </w:t>
      </w:r>
      <w:hyperlink r:id="rId2">
        <w:r>
          <w:rPr>
            <w:lang w:val="el-GR"/>
          </w:rPr>
          <w:t>www.promitheus.gov.gr</w:t>
        </w:r>
      </w:hyperlink>
      <w:r>
        <w:rPr>
          <w:lang w:val="el-GR"/>
        </w:rPr>
        <w:t xml:space="preserve"> </w:t>
      </w:r>
      <w:hyperlink r:id="rId3">
        <w:r>
          <w:rPr>
            <w:lang w:val="el-GR"/>
          </w:rPr>
          <w:t>https://portal.eprocurement.gov.gr/webcenter/portal/TestPortal</w:t>
        </w:r>
      </w:hyperlink>
      <w:r>
        <w:rPr>
          <w:lang w:val="el-GR"/>
        </w:rPr>
        <w:t>.</w:t>
      </w:r>
    </w:p>
    <w:p>
      <w:pPr>
        <w:pStyle w:val="Style32"/>
        <w:widowControl w:val="false"/>
        <w:ind w:left="425" w:firstLine="1"/>
        <w:rPr>
          <w:lang w:val="el-GR"/>
        </w:rPr>
      </w:pPr>
      <w:r>
        <w:rPr>
          <w:lang w:val="el-GR"/>
        </w:rPr>
        <w:t>`1</w:t>
      </w:r>
      <w:r>
        <w:rPr>
          <w:lang w:val="en-US"/>
        </w:rPr>
        <w:t>waxxxxzz</w:t>
      </w:r>
      <w:r>
        <w:rPr>
          <w:lang w:val="el-GR"/>
        </w:rPr>
        <w:t xml:space="preserve">Πρβλ και το Διορθωτικό (Επίσημη Εφημερίδα της Ευρωπαϊκής Ένωσης L 17/65 της 23ης Ιανουαρίου 2018) στον Εκτελεστικό Κανονισμό (ΕΕ) 2016/7 για την καθιέρωση του τυποποιημένου εντύπου για το Ευρωπαϊκό Ενιαίο Έγγραφο Προμήθειας , με το οποίο επιλύθηκαν τα σχετικά ζητήματα ορολογίας που υπήρχαν στο αρχικό επίσημο ελληνικό  κείμενο του Εκτελεστικού Κανονισμού, Μπορείτε να δείτε το σχετικό Διορθωτικό στην ακόλουθη διαδρομή </w:t>
      </w:r>
      <w:hyperlink r:id="rId4">
        <w:r>
          <w:rPr>
            <w:color w:val="auto"/>
            <w:lang w:val="el-GR"/>
          </w:rPr>
          <w:t>https://eur-lex.europa.eu/legal-content/EL/TXT/HTML/?uri=CELEX:32016R0007R(01)&amp;from=EL</w:t>
        </w:r>
      </w:hyperlink>
    </w:p>
  </w:footnote>
  <w:footnote w:id="79">
    <w:p>
      <w:pPr>
        <w:pStyle w:val="Style32"/>
        <w:widowControl w:val="false"/>
        <w:rPr>
          <w:lang w:val="el-GR"/>
        </w:rPr>
      </w:pPr>
      <w:r>
        <w:rPr>
          <w:rStyle w:val="Style10"/>
        </w:rPr>
        <w:footnoteRef/>
      </w:r>
      <w:r>
        <w:rPr>
          <w:lang w:val="el-GR"/>
        </w:rPr>
        <w:tab/>
        <w:t>Άρθρο 79Α παρ. 4 του ν. 4412/2016</w:t>
      </w:r>
    </w:p>
  </w:footnote>
  <w:footnote w:id="80">
    <w:p>
      <w:pPr>
        <w:pStyle w:val="Style32"/>
        <w:widowControl w:val="false"/>
        <w:rPr>
          <w:lang w:val="el-GR"/>
        </w:rPr>
      </w:pPr>
      <w:r>
        <w:rPr>
          <w:rStyle w:val="Style10"/>
        </w:rPr>
        <w:footnoteRef/>
      </w:r>
      <w:r>
        <w:rPr>
          <w:lang w:val="el-GR"/>
        </w:rPr>
        <w:tab/>
        <w:t>Άρθρο 79 παρ. 9 του ν. 4412/2016</w:t>
      </w:r>
    </w:p>
  </w:footnote>
  <w:footnote w:id="81">
    <w:p>
      <w:pPr>
        <w:pStyle w:val="Style32"/>
        <w:widowControl w:val="false"/>
        <w:rPr>
          <w:lang w:val="el-GR"/>
        </w:rPr>
      </w:pPr>
      <w:r>
        <w:rPr>
          <w:rStyle w:val="Style10"/>
        </w:rPr>
        <w:footnoteRef/>
      </w:r>
      <w:r>
        <w:rPr>
          <w:lang w:val="el-GR"/>
        </w:rPr>
        <w:tab/>
        <w:t xml:space="preserve">βλ. Δ.Ε.Ε. απόφαση της 19.6.2019, </w:t>
      </w:r>
      <w:r>
        <w:rPr/>
        <w:t>Meca</w:t>
      </w:r>
      <w:r>
        <w:rPr>
          <w:lang w:val="el-GR"/>
        </w:rPr>
        <w:t xml:space="preserve">, </w:t>
      </w:r>
      <w:r>
        <w:rPr/>
        <w:t>C</w:t>
      </w:r>
      <w:r>
        <w:rPr>
          <w:lang w:val="el-GR"/>
        </w:rPr>
        <w:t xml:space="preserve">-41/18, </w:t>
      </w:r>
      <w:r>
        <w:rPr/>
        <w:t>EU</w:t>
      </w:r>
      <w:r>
        <w:rPr>
          <w:lang w:val="el-GR"/>
        </w:rPr>
        <w:t>:</w:t>
      </w:r>
      <w:r>
        <w:rPr/>
        <w:t>C</w:t>
      </w:r>
      <w:r>
        <w:rPr>
          <w:lang w:val="el-GR"/>
        </w:rPr>
        <w:t>:2019:507, σκ. 28</w:t>
      </w:r>
    </w:p>
  </w:footnote>
  <w:footnote w:id="82">
    <w:p>
      <w:pPr>
        <w:pStyle w:val="Style32"/>
        <w:widowControl w:val="false"/>
        <w:rPr>
          <w:lang w:val="el-GR"/>
        </w:rPr>
      </w:pPr>
      <w:r>
        <w:rPr>
          <w:rStyle w:val="Style10"/>
        </w:rPr>
        <w:footnoteRef/>
      </w:r>
      <w:r>
        <w:rPr>
          <w:lang w:val="el-GR"/>
        </w:rPr>
        <w:tab/>
        <w:t>Βλ. ενδεικτικά ΣτΕ 754/2020, 753/2020 (Δ΄ Τμήμα)</w:t>
      </w:r>
    </w:p>
  </w:footnote>
  <w:footnote w:id="83">
    <w:p>
      <w:pPr>
        <w:pStyle w:val="Style32"/>
        <w:widowControl w:val="false"/>
        <w:rPr>
          <w:lang w:val="el-GR"/>
        </w:rPr>
      </w:pPr>
      <w:r>
        <w:rPr>
          <w:rStyle w:val="Style10"/>
        </w:rPr>
        <w:footnoteRef/>
      </w:r>
      <w:r>
        <w:rPr>
          <w:lang w:val="el-GR"/>
        </w:rPr>
        <w:tab/>
        <w:t>Παρ. 1 του άρθρου 79 του ν. 4412/2016, όπως τροποποιήθηκε με την παρ. 5 του άρθρου 235 του ν. 4635/2019.</w:t>
      </w:r>
    </w:p>
  </w:footnote>
  <w:footnote w:id="84">
    <w:p>
      <w:pPr>
        <w:pStyle w:val="Style32"/>
        <w:widowControl w:val="false"/>
        <w:rPr>
          <w:lang w:val="el-GR"/>
        </w:rPr>
      </w:pPr>
      <w:r>
        <w:rPr>
          <w:rStyle w:val="Style10"/>
        </w:rPr>
        <w:footnoteRef/>
      </w:r>
      <w:r>
        <w:rPr>
          <w:lang w:val="el-GR"/>
        </w:rPr>
        <w:tab/>
        <w:t xml:space="preserve"> </w:t>
      </w:r>
      <w:r>
        <w:rPr>
          <w:lang w:val="el-GR"/>
        </w:rPr>
        <w:t>Παρ. 2</w:t>
      </w:r>
      <w:r>
        <w:rPr>
          <w:vertAlign w:val="superscript"/>
          <w:lang w:val="el-GR"/>
        </w:rPr>
        <w:t>Α</w:t>
      </w:r>
      <w:r>
        <w:rPr>
          <w:lang w:val="el-GR"/>
        </w:rPr>
        <w:t xml:space="preserve"> άρθρου 73 σε συνδυασμό με την παρ. 8 του άρθρου 79 του ν. 4412/2016</w:t>
      </w:r>
    </w:p>
  </w:footnote>
  <w:footnote w:id="85">
    <w:p>
      <w:pPr>
        <w:pStyle w:val="Style32"/>
        <w:widowControl w:val="false"/>
        <w:rPr>
          <w:lang w:val="el-GR"/>
        </w:rPr>
      </w:pPr>
      <w:r>
        <w:rPr>
          <w:rStyle w:val="Style10"/>
        </w:rPr>
        <w:footnoteRef/>
      </w:r>
      <w:r>
        <w:rPr>
          <w:lang w:val="el-GR"/>
        </w:rPr>
        <w:tab/>
        <w:t xml:space="preserve"> </w:t>
      </w:r>
      <w:r>
        <w:rPr>
          <w:lang w:val="el-GR"/>
        </w:rPr>
        <w:t>Πρβλ. Άρθρο 5 της Υ.Α. υπ’αριθμ. 102080/24-10-2022 «Ρύθμιση θεμάτων σχετικά με την εξέταση επανορθωτικών μέτρων από την Επιτροπή της παρ.</w:t>
      </w:r>
      <w:r>
        <w:rPr/>
        <w:t>  </w:t>
      </w:r>
      <w:r>
        <w:rPr>
          <w:lang w:val="el-GR"/>
        </w:rPr>
        <w:t>9 του άρθρου 73 του ν.</w:t>
      </w:r>
      <w:r>
        <w:rPr/>
        <w:t> </w:t>
      </w:r>
      <w:r>
        <w:rPr>
          <w:lang w:val="el-GR"/>
        </w:rPr>
        <w:t>4412/2016», ΦΕΚ Β/02-11-2022</w:t>
      </w:r>
    </w:p>
  </w:footnote>
  <w:footnote w:id="86">
    <w:p>
      <w:pPr>
        <w:pStyle w:val="Style32"/>
        <w:widowControl w:val="false"/>
        <w:rPr>
          <w:lang w:val="el-GR"/>
        </w:rPr>
      </w:pPr>
      <w:r>
        <w:rPr>
          <w:rStyle w:val="Style10"/>
        </w:rPr>
        <w:footnoteRef/>
      </w:r>
      <w:r>
        <w:rPr>
          <w:lang w:val="el-GR"/>
        </w:rPr>
        <w:tab/>
        <w:t xml:space="preserve">Άρθρο 80 ν. 4412/2016.  Επισημαίνεται, περαιτέρω ότι η </w:t>
      </w:r>
      <w:r>
        <w:rPr>
          <w:lang w:val="en-US"/>
        </w:rPr>
        <w:t>A</w:t>
      </w:r>
      <w:r>
        <w:rPr>
          <w:lang w:val="el-GR"/>
        </w:rPr>
        <w:t>.</w:t>
      </w:r>
      <w:r>
        <w:rPr>
          <w:lang w:val="en-US"/>
        </w:rPr>
        <w:t>A</w:t>
      </w:r>
      <w:r>
        <w:rPr>
          <w:lang w:val="el-GR"/>
        </w:rPr>
        <w:t>. ζητεί από τους οικονομικούς φορείς να προσκομίσουν μόνο εκείνα τα αποδεικτικά μέσα που ανταποκρίνονται στους λόγους αποκλεισμού και στα κριτήρια επιλογής που έχει ορίσει στις παραγράφους 2.2.3 έως 2.2.8 της παρούσας. Εάν, για παράδειγμα, δεν απαιτήσει ελάχιστα επίπεδα χρηματοοικονομικής επάρκειας των οικονομικών φορέων, τότε δεν θα ζητήσει ούτε τα αποδεικτικά μέσα της παρ. Β.3 της παρούσας</w:t>
      </w:r>
    </w:p>
  </w:footnote>
  <w:footnote w:id="87">
    <w:p>
      <w:pPr>
        <w:pStyle w:val="Style32"/>
        <w:widowControl w:val="false"/>
        <w:rPr>
          <w:lang w:val="el-GR"/>
        </w:rPr>
      </w:pPr>
      <w:r>
        <w:rPr>
          <w:rStyle w:val="Style10"/>
        </w:rPr>
        <w:footnoteRef/>
      </w:r>
      <w:r>
        <w:rPr>
          <w:lang w:val="el-GR"/>
        </w:rPr>
        <w:tab/>
        <w:t>Άρθρο 79 παρ. 6 ν. 4412/2016.</w:t>
      </w:r>
    </w:p>
  </w:footnote>
  <w:footnote w:id="88">
    <w:p>
      <w:pPr>
        <w:pStyle w:val="Style32"/>
        <w:widowControl w:val="false"/>
        <w:rPr>
          <w:lang w:val="el-GR"/>
        </w:rPr>
      </w:pPr>
      <w:r>
        <w:rPr>
          <w:rStyle w:val="Style10"/>
        </w:rPr>
        <w:footnoteRef/>
      </w:r>
      <w:r>
        <w:rPr>
          <w:lang w:val="el-GR"/>
        </w:rPr>
        <w:tab/>
        <w:t xml:space="preserve"> </w:t>
      </w:r>
      <w:r>
        <w:rPr>
          <w:lang w:val="el-GR"/>
        </w:rPr>
        <w:t>Πρβλ. Απόφαση ΣτΕ Δ’ Τμ. 1939/2022. Οι οικονομικοί φορείς μεριμνούν για την έκδοση και προσκόμιση των σχετικών πιστοποιητικών, έως την έκδοση οριστικής απόφασης από την Ολομέλεια του ΣτΕ (στην οποία έχει παραπεμφθεί η σχετική υπόθεση).</w:t>
      </w:r>
    </w:p>
  </w:footnote>
  <w:footnote w:id="89">
    <w:p>
      <w:pPr>
        <w:pStyle w:val="Style32"/>
        <w:widowControl w:val="false"/>
        <w:rPr>
          <w:lang w:val="el-GR"/>
        </w:rPr>
      </w:pPr>
      <w:r>
        <w:rPr>
          <w:rStyle w:val="Style10"/>
        </w:rPr>
        <w:footnoteRef/>
      </w:r>
      <w:r>
        <w:rPr>
          <w:lang w:val="el-GR"/>
        </w:rPr>
        <w:tab/>
        <w:t xml:space="preserve"> </w:t>
      </w:r>
      <w:r>
        <w:rPr>
          <w:lang w:val="el-GR"/>
        </w:rPr>
        <w:t>Εφόσον η αναθέτουσα αρχή την επιλέξει ως λόγο αποκλεισμού.</w:t>
      </w:r>
    </w:p>
  </w:footnote>
  <w:footnote w:id="90">
    <w:p>
      <w:pPr>
        <w:pStyle w:val="Style32"/>
        <w:widowControl w:val="false"/>
        <w:rPr>
          <w:lang w:val="el-GR"/>
        </w:rPr>
      </w:pPr>
      <w:r>
        <w:rPr>
          <w:rStyle w:val="Style10"/>
        </w:rPr>
        <w:footnoteRef/>
      </w:r>
      <w:r>
        <w:rPr>
          <w:lang w:val="el-GR"/>
        </w:rPr>
        <w:tab/>
        <w:t xml:space="preserve"> </w:t>
      </w:r>
      <w:r>
        <w:rPr>
          <w:lang w:val="el-GR"/>
        </w:rPr>
        <w:t>Παρ. 4 του άρθρου 74 του ν. 4412/2016</w:t>
      </w:r>
    </w:p>
  </w:footnote>
  <w:footnote w:id="91">
    <w:p>
      <w:pPr>
        <w:pStyle w:val="Style32"/>
        <w:widowControl w:val="false"/>
        <w:rPr>
          <w:lang w:val="el-GR"/>
        </w:rPr>
      </w:pPr>
      <w:r>
        <w:rPr>
          <w:rStyle w:val="Style10"/>
        </w:rPr>
        <w:footnoteRef/>
      </w:r>
      <w:r>
        <w:rPr>
          <w:lang w:val="el-GR"/>
        </w:rPr>
        <w:tab/>
        <w:t xml:space="preserve">Πρβλ. Παράρτημα </w:t>
      </w:r>
      <w:r>
        <w:rPr/>
        <w:t>XI</w:t>
      </w:r>
      <w:r>
        <w:rPr>
          <w:lang w:val="el-GR"/>
        </w:rPr>
        <w:t xml:space="preserve"> Προσαρτήματος Α ν. 4412/2016. Επισημαίνεται ότι η Α.Α. απαιτεί στην εκάστοτε διακήρυξη, κατά περίπτωση, για τους εγκατεστημένους στην Ελλάδα οικονομικούς φορείς βεβαίωση εγγραφής σε ένα από τα σχετικά Επιμελητήρια/ Μητρώα, κατά περίπτωση .</w:t>
      </w:r>
    </w:p>
  </w:footnote>
  <w:footnote w:id="92">
    <w:p>
      <w:pPr>
        <w:pStyle w:val="Style32"/>
        <w:widowControl w:val="false"/>
        <w:rPr>
          <w:lang w:val="el-GR"/>
        </w:rPr>
      </w:pPr>
      <w:r>
        <w:rPr>
          <w:rStyle w:val="Style10"/>
        </w:rPr>
        <w:footnoteRef/>
      </w:r>
      <w:r>
        <w:rPr>
          <w:lang w:val="el-GR"/>
        </w:rPr>
        <w:tab/>
        <w:t xml:space="preserve">Συμπληρώνεται από την Α.Α. με ένα ή περισσότερα από τα δικαιολογητικά που αναφέρονται στο Μέρος </w:t>
      </w:r>
      <w:r>
        <w:rPr/>
        <w:t>I</w:t>
      </w:r>
      <w:r>
        <w:rPr>
          <w:lang w:val="el-GR"/>
        </w:rPr>
        <w:t xml:space="preserve"> του Παραρτήματος </w:t>
      </w:r>
      <w:r>
        <w:rPr/>
        <w:t>XII</w:t>
      </w:r>
      <w:r>
        <w:rPr>
          <w:lang w:val="el-GR"/>
        </w:rPr>
        <w:t xml:space="preserve"> του Προσαρτήματος Α΄ του ν. 4412/2016 ( π.χ. τραπεζική βεβαίωση για την πιστοληπτική ικανότητα του οικονομικού φορέα (ημεδαπού ή αλλοδαπού) ή/ και αποσπάσματα οικονομικών καταστάσεων κλπ), τα οποία αντιστοιχούν, σε κάθε περίπτωση, στα κριτήρια οικονομικής και χρηματοοικονομικής επάρκειας που έχει θέσει η Α.Α. στο άρθρο 2.2.5.</w:t>
      </w:r>
    </w:p>
  </w:footnote>
  <w:footnote w:id="93">
    <w:p>
      <w:pPr>
        <w:pStyle w:val="Style32"/>
        <w:widowControl w:val="false"/>
        <w:rPr>
          <w:lang w:val="el-GR"/>
        </w:rPr>
      </w:pPr>
      <w:r>
        <w:rPr>
          <w:rStyle w:val="Style10"/>
        </w:rPr>
        <w:footnoteRef/>
      </w:r>
      <w:r>
        <w:rPr>
          <w:lang w:val="el-GR"/>
        </w:rPr>
        <w:tab/>
        <w:t>Η καταλληλότητα του προσκομιζόμενου από τον οικονομικό φορέα εγγράφου για την απόδειξη της χρηματοοικονομικής του επάρκειας εναπόκειται στην κρίση της Α.Α. (πρβλ. άρθρο 80 παρ. 4 εδ. β ν. 4412/2016)</w:t>
      </w:r>
    </w:p>
  </w:footnote>
  <w:footnote w:id="94">
    <w:p>
      <w:pPr>
        <w:pStyle w:val="Style32"/>
        <w:widowControl w:val="false"/>
        <w:rPr>
          <w:lang w:val="el-GR"/>
        </w:rPr>
      </w:pPr>
      <w:r>
        <w:rPr>
          <w:rStyle w:val="Style10"/>
        </w:rPr>
        <w:footnoteRef/>
      </w:r>
      <w:r>
        <w:rPr>
          <w:lang w:val="el-GR"/>
        </w:rPr>
        <w:tab/>
        <w:t xml:space="preserve">Συμπληρώνεται από την Α.Α. με ένα ή περισσότερα από τα δικαιολογητικά που αναφέρονται στο Μέρος </w:t>
      </w:r>
      <w:r>
        <w:rPr/>
        <w:t>II</w:t>
      </w:r>
      <w:r>
        <w:rPr>
          <w:lang w:val="el-GR"/>
        </w:rPr>
        <w:t xml:space="preserve"> του Παραρτήματος </w:t>
      </w:r>
      <w:r>
        <w:rPr/>
        <w:t>XII</w:t>
      </w:r>
      <w:r>
        <w:rPr>
          <w:lang w:val="el-GR"/>
        </w:rPr>
        <w:t xml:space="preserve"> του Προσαρτήματος Α΄ του ν. 4412/2016, τα οποία αντιστοιχούν, σε κάθε περίπτωση, στα κριτήρια τεχνικής και επαγγελματικής ικανότητας που έχει θέσει η αναθέτουσα αρχή στο άρθρο 2.2.6.</w:t>
      </w:r>
    </w:p>
  </w:footnote>
  <w:footnote w:id="95">
    <w:p>
      <w:pPr>
        <w:pStyle w:val="Style32"/>
        <w:widowControl w:val="false"/>
        <w:rPr>
          <w:lang w:val="el-GR"/>
        </w:rPr>
      </w:pPr>
      <w:r>
        <w:rPr>
          <w:rStyle w:val="Style10"/>
        </w:rPr>
        <w:footnoteRef/>
      </w:r>
      <w:r>
        <w:rPr>
          <w:lang w:val="el-GR"/>
        </w:rPr>
        <w:tab/>
        <w:t xml:space="preserve"> </w:t>
      </w:r>
      <w:r>
        <w:rPr>
          <w:lang w:val="el-GR"/>
        </w:rPr>
        <w:t>Πρβλ απόφαση  ΣτΕ Δ’ Τμ. 1939/2022 σκ. 28.</w:t>
      </w:r>
    </w:p>
  </w:footnote>
  <w:footnote w:id="96">
    <w:p>
      <w:pPr>
        <w:pStyle w:val="Style32"/>
        <w:widowControl w:val="false"/>
        <w:rPr>
          <w:lang w:val="el-GR"/>
        </w:rPr>
      </w:pPr>
      <w:r>
        <w:rPr>
          <w:rStyle w:val="Style10"/>
        </w:rPr>
        <w:footnoteRef/>
      </w:r>
      <w:r>
        <w:rPr>
          <w:lang w:val="el-GR"/>
        </w:rPr>
        <w:tab/>
        <w:t xml:space="preserve">   </w:t>
      </w:r>
      <w:r>
        <w:rPr>
          <w:lang w:val="el-GR"/>
        </w:rPr>
        <w:t xml:space="preserve">Σύμφωνα με το άρθρο 16 του ν. 4919/2022, στο ΓΕΜΗ </w:t>
      </w:r>
      <w:r>
        <w:rPr>
          <w:b/>
          <w:lang w:val="el-GR"/>
        </w:rPr>
        <w:t>εγγράφονται υποχρεωτικά:</w:t>
      </w:r>
    </w:p>
    <w:p>
      <w:pPr>
        <w:pStyle w:val="Style32"/>
        <w:widowControl w:val="false"/>
        <w:ind w:left="426" w:hanging="284"/>
        <w:rPr>
          <w:lang w:val="el-GR"/>
        </w:rPr>
      </w:pPr>
      <w:r>
        <w:rPr>
          <w:lang w:val="el-GR"/>
        </w:rPr>
      </w:r>
    </w:p>
    <w:p>
      <w:pPr>
        <w:pStyle w:val="Style32"/>
        <w:widowControl w:val="false"/>
        <w:ind w:left="426" w:hanging="284"/>
        <w:rPr>
          <w:lang w:val="el-GR"/>
        </w:rPr>
      </w:pPr>
      <w:r>
        <w:rPr>
          <w:lang w:val="el-GR"/>
        </w:rPr>
        <w:t xml:space="preserve"> </w:t>
      </w:r>
      <w:r>
        <w:rPr>
          <w:lang w:val="el-GR"/>
        </w:rPr>
        <w:t xml:space="preserve">α) Η Ανώνυμη Εταιρεία (Α.Ε.) του ν. </w:t>
      </w:r>
      <w:r>
        <w:rPr>
          <w:rStyle w:val="Style9"/>
          <w:b/>
          <w:bCs/>
          <w:lang w:val="el-GR"/>
        </w:rPr>
        <w:t>4548/2018</w:t>
      </w:r>
      <w:r>
        <w:rPr>
          <w:lang w:val="el-GR"/>
        </w:rPr>
        <w:t xml:space="preserve"> (</w:t>
      </w:r>
      <w:r>
        <w:rPr>
          <w:rStyle w:val="Style9"/>
          <w:b/>
          <w:bCs/>
          <w:lang w:val="el-GR"/>
        </w:rPr>
        <w:t>Α΄ 104</w:t>
      </w:r>
      <w:r>
        <w:rPr>
          <w:lang w:val="el-GR"/>
        </w:rPr>
        <w:t>),</w:t>
      </w:r>
    </w:p>
    <w:p>
      <w:pPr>
        <w:pStyle w:val="Style32"/>
        <w:widowControl w:val="false"/>
        <w:ind w:left="426" w:hanging="284"/>
        <w:rPr>
          <w:lang w:val="el-GR"/>
        </w:rPr>
      </w:pPr>
      <w:r>
        <w:rPr>
          <w:lang w:val="el-GR"/>
        </w:rPr>
        <w:t xml:space="preserve"> </w:t>
      </w:r>
      <w:r>
        <w:rPr>
          <w:lang w:val="el-GR"/>
        </w:rPr>
        <w:t xml:space="preserve">β) η Εταιρεία Περιορισμένης Ευθύνης (Ε.Π.Ε.) του ν. </w:t>
      </w:r>
      <w:r>
        <w:rPr>
          <w:rStyle w:val="Style9"/>
          <w:b/>
          <w:bCs/>
          <w:lang w:val="el-GR"/>
        </w:rPr>
        <w:t>3190/1955</w:t>
      </w:r>
      <w:r>
        <w:rPr>
          <w:lang w:val="el-GR"/>
        </w:rPr>
        <w:t xml:space="preserve"> (</w:t>
      </w:r>
      <w:r>
        <w:rPr>
          <w:rStyle w:val="Style9"/>
          <w:b/>
          <w:bCs/>
          <w:lang w:val="el-GR"/>
        </w:rPr>
        <w:t>Α΄ 91</w:t>
      </w:r>
      <w:r>
        <w:rPr>
          <w:lang w:val="el-GR"/>
        </w:rPr>
        <w:t>),</w:t>
      </w:r>
    </w:p>
    <w:p>
      <w:pPr>
        <w:pStyle w:val="Style32"/>
        <w:widowControl w:val="false"/>
        <w:ind w:left="426" w:hanging="284"/>
        <w:rPr>
          <w:lang w:val="el-GR"/>
        </w:rPr>
      </w:pPr>
      <w:r>
        <w:rPr>
          <w:lang w:val="el-GR"/>
        </w:rPr>
        <w:t xml:space="preserve"> </w:t>
      </w:r>
      <w:r>
        <w:rPr>
          <w:lang w:val="el-GR"/>
        </w:rPr>
        <w:t xml:space="preserve">γ) η Ιδιωτική Κεφαλαιουχική Εταιρεία (Ι.Κ.Ε.) του ν. </w:t>
      </w:r>
      <w:r>
        <w:rPr>
          <w:rStyle w:val="Style9"/>
          <w:b/>
          <w:bCs/>
          <w:lang w:val="el-GR"/>
        </w:rPr>
        <w:t>4072/2012</w:t>
      </w:r>
      <w:r>
        <w:rPr>
          <w:lang w:val="el-GR"/>
        </w:rPr>
        <w:t xml:space="preserve"> (</w:t>
      </w:r>
      <w:r>
        <w:rPr>
          <w:rStyle w:val="Style9"/>
          <w:b/>
          <w:bCs/>
          <w:lang w:val="el-GR"/>
        </w:rPr>
        <w:t>Α΄ 86</w:t>
      </w:r>
      <w:r>
        <w:rPr>
          <w:lang w:val="el-GR"/>
        </w:rPr>
        <w:t>),</w:t>
      </w:r>
    </w:p>
    <w:p>
      <w:pPr>
        <w:pStyle w:val="Style32"/>
        <w:widowControl w:val="false"/>
        <w:ind w:left="426" w:hanging="284"/>
        <w:rPr>
          <w:lang w:val="el-GR"/>
        </w:rPr>
      </w:pPr>
      <w:r>
        <w:rPr>
          <w:lang w:val="el-GR"/>
        </w:rPr>
        <w:t xml:space="preserve"> </w:t>
      </w:r>
      <w:r>
        <w:rPr>
          <w:lang w:val="el-GR"/>
        </w:rPr>
        <w:t xml:space="preserve">δ) η Ομόρρυθμη και Ετερόρρυθμη (απλή ή κατά μετοχές) Εταιρεία του ν. </w:t>
      </w:r>
      <w:r>
        <w:rPr>
          <w:rStyle w:val="Style9"/>
          <w:b/>
          <w:bCs/>
          <w:lang w:val="el-GR"/>
        </w:rPr>
        <w:t>4072/2012</w:t>
      </w:r>
      <w:r>
        <w:rPr>
          <w:lang w:val="el-GR"/>
        </w:rPr>
        <w:t>,</w:t>
      </w:r>
    </w:p>
    <w:p>
      <w:pPr>
        <w:pStyle w:val="Style32"/>
        <w:widowControl w:val="false"/>
        <w:ind w:left="426" w:hanging="284"/>
        <w:rPr>
          <w:lang w:val="el-GR"/>
        </w:rPr>
      </w:pPr>
      <w:r>
        <w:rPr>
          <w:lang w:val="el-GR"/>
        </w:rPr>
        <w:t xml:space="preserve"> </w:t>
      </w:r>
      <w:r>
        <w:rPr>
          <w:lang w:val="el-GR"/>
        </w:rPr>
        <w:t xml:space="preserve">ε) ο Αστικός Συνεταιρισμός του ν. </w:t>
      </w:r>
      <w:r>
        <w:rPr>
          <w:rStyle w:val="Style9"/>
          <w:b/>
          <w:bCs/>
          <w:lang w:val="el-GR"/>
        </w:rPr>
        <w:t>1667/1986</w:t>
      </w:r>
      <w:r>
        <w:rPr>
          <w:lang w:val="el-GR"/>
        </w:rPr>
        <w:t xml:space="preserve"> (</w:t>
      </w:r>
      <w:r>
        <w:rPr>
          <w:rStyle w:val="Style9"/>
          <w:b/>
          <w:bCs/>
          <w:lang w:val="el-GR"/>
        </w:rPr>
        <w:t>Α΄ 196</w:t>
      </w:r>
      <w:r>
        <w:rPr>
          <w:lang w:val="el-GR"/>
        </w:rPr>
        <w:t>), στον οποίο περιλαμβάνονται ο αλληλασφαλιστικός, ο πιστωτικός, ο οικοδομικός συνεταιρισμός και η ενεργειακή κοινότητα,</w:t>
      </w:r>
    </w:p>
    <w:p>
      <w:pPr>
        <w:pStyle w:val="Style32"/>
        <w:widowControl w:val="false"/>
        <w:ind w:left="426" w:hanging="284"/>
        <w:rPr>
          <w:lang w:val="el-GR"/>
        </w:rPr>
      </w:pPr>
      <w:r>
        <w:rPr>
          <w:lang w:val="el-GR"/>
        </w:rPr>
        <w:t xml:space="preserve"> </w:t>
      </w:r>
      <w:r>
        <w:rPr>
          <w:lang w:val="el-GR"/>
        </w:rPr>
        <w:t xml:space="preserve">στ) η Κοινωνική Συνεταιριστική Επιχείρηση (Κοιν.Σ.ΕΠ.) και ο Συνεταιρισμός Εργαζομένων του ν. </w:t>
      </w:r>
      <w:r>
        <w:rPr>
          <w:rStyle w:val="Style9"/>
          <w:b/>
          <w:bCs/>
          <w:lang w:val="el-GR"/>
        </w:rPr>
        <w:t>4430/2016</w:t>
      </w:r>
      <w:r>
        <w:rPr>
          <w:lang w:val="el-GR"/>
        </w:rPr>
        <w:t xml:space="preserve"> (</w:t>
      </w:r>
      <w:r>
        <w:rPr>
          <w:rStyle w:val="Style9"/>
          <w:b/>
          <w:bCs/>
          <w:lang w:val="el-GR"/>
        </w:rPr>
        <w:t>Α΄ 205</w:t>
      </w:r>
      <w:r>
        <w:rPr>
          <w:lang w:val="el-GR"/>
        </w:rPr>
        <w:t>),</w:t>
      </w:r>
    </w:p>
    <w:p>
      <w:pPr>
        <w:pStyle w:val="Style32"/>
        <w:widowControl w:val="false"/>
        <w:ind w:left="426" w:hanging="284"/>
        <w:rPr>
          <w:lang w:val="el-GR"/>
        </w:rPr>
      </w:pPr>
      <w:r>
        <w:rPr>
          <w:lang w:val="el-GR"/>
        </w:rPr>
        <w:t xml:space="preserve"> </w:t>
      </w:r>
      <w:r>
        <w:rPr>
          <w:lang w:val="el-GR"/>
        </w:rPr>
        <w:t xml:space="preserve">ζ) ο Κοινωνικός Συνεταιρισμός Περιορισμένης Ευθύνης (Κοιν.Σ.Π.Ε.) του </w:t>
      </w:r>
      <w:r>
        <w:rPr>
          <w:rStyle w:val="Style9"/>
          <w:b/>
          <w:bCs/>
          <w:lang w:val="el-GR"/>
        </w:rPr>
        <w:t>άρθρου 12</w:t>
      </w:r>
      <w:r>
        <w:rPr>
          <w:lang w:val="el-GR"/>
        </w:rPr>
        <w:t xml:space="preserve"> του ν. </w:t>
      </w:r>
      <w:r>
        <w:rPr>
          <w:rStyle w:val="Style9"/>
          <w:b/>
          <w:bCs/>
          <w:lang w:val="el-GR"/>
        </w:rPr>
        <w:t>2716/1999</w:t>
      </w:r>
      <w:r>
        <w:rPr>
          <w:lang w:val="el-GR"/>
        </w:rPr>
        <w:t xml:space="preserve"> (</w:t>
      </w:r>
      <w:r>
        <w:rPr>
          <w:rStyle w:val="Style9"/>
          <w:b/>
          <w:bCs/>
          <w:lang w:val="el-GR"/>
        </w:rPr>
        <w:t>Α΄ 96</w:t>
      </w:r>
      <w:r>
        <w:rPr>
          <w:lang w:val="el-GR"/>
        </w:rPr>
        <w:t>),</w:t>
      </w:r>
    </w:p>
    <w:p>
      <w:pPr>
        <w:pStyle w:val="Style32"/>
        <w:widowControl w:val="false"/>
        <w:ind w:left="426" w:hanging="284"/>
        <w:rPr>
          <w:lang w:val="el-GR"/>
        </w:rPr>
      </w:pPr>
      <w:r>
        <w:rPr>
          <w:lang w:val="el-GR"/>
        </w:rPr>
        <w:t xml:space="preserve"> </w:t>
      </w:r>
      <w:r>
        <w:rPr>
          <w:lang w:val="el-GR"/>
        </w:rPr>
        <w:t xml:space="preserve">η) η Αστική Εταιρεία με οικονομικό σκοπό του άρθρου 784 ΑΚ και του </w:t>
      </w:r>
      <w:r>
        <w:rPr>
          <w:rStyle w:val="Style9"/>
          <w:b/>
          <w:bCs/>
          <w:lang w:val="el-GR"/>
        </w:rPr>
        <w:t>άρθρου 270</w:t>
      </w:r>
      <w:r>
        <w:rPr>
          <w:lang w:val="el-GR"/>
        </w:rPr>
        <w:t xml:space="preserve"> του ν. </w:t>
      </w:r>
      <w:r>
        <w:rPr>
          <w:rStyle w:val="Style9"/>
          <w:b/>
          <w:bCs/>
          <w:lang w:val="el-GR"/>
        </w:rPr>
        <w:t>4072/2012</w:t>
      </w:r>
      <w:r>
        <w:rPr>
          <w:lang w:val="el-GR"/>
        </w:rPr>
        <w:t>,</w:t>
      </w:r>
    </w:p>
    <w:p>
      <w:pPr>
        <w:pStyle w:val="Style32"/>
        <w:widowControl w:val="false"/>
        <w:ind w:left="426" w:hanging="284"/>
        <w:rPr>
          <w:lang w:val="el-GR"/>
        </w:rPr>
      </w:pPr>
      <w:r>
        <w:rPr>
          <w:lang w:val="el-GR"/>
        </w:rPr>
        <w:t xml:space="preserve"> </w:t>
      </w:r>
      <w:r>
        <w:rPr>
          <w:lang w:val="el-GR"/>
        </w:rPr>
        <w:t>θ) ο Ευρωπαϊκός Όμιλος Οικονομικού Σκοπού του Κανονισμού (ΕΟΚ) 2137/1985/ΕΟΚ (L 199, διορθωτικό L 247) που έχει την έδρα του στην ημεδαπή,</w:t>
      </w:r>
    </w:p>
    <w:p>
      <w:pPr>
        <w:pStyle w:val="Style32"/>
        <w:widowControl w:val="false"/>
        <w:ind w:left="426" w:hanging="284"/>
        <w:rPr>
          <w:lang w:val="el-GR"/>
        </w:rPr>
      </w:pPr>
      <w:r>
        <w:rPr>
          <w:lang w:val="el-GR"/>
        </w:rPr>
        <w:t xml:space="preserve"> </w:t>
      </w:r>
      <w:r>
        <w:rPr>
          <w:lang w:val="el-GR"/>
        </w:rPr>
        <w:t>ι) η Ευρωπαϊκή Εταιρεία του Κανονισμού (ΕΚ) 2157/2001 (L 294) που έχει την έδρα της στην ημεδαπή,</w:t>
      </w:r>
    </w:p>
    <w:p>
      <w:pPr>
        <w:pStyle w:val="Style32"/>
        <w:widowControl w:val="false"/>
        <w:ind w:left="426" w:hanging="284"/>
        <w:rPr>
          <w:lang w:val="el-GR"/>
        </w:rPr>
      </w:pPr>
      <w:r>
        <w:rPr>
          <w:lang w:val="el-GR"/>
        </w:rPr>
        <w:t xml:space="preserve"> </w:t>
      </w:r>
      <w:r>
        <w:rPr>
          <w:lang w:val="el-GR"/>
        </w:rPr>
        <w:t>ια) η Ευρωπαϊκή Συνεταιριστική Εταιρεία του Κανονισμού (ΕΚ) 1435/2003 (L 207), που έχει την έδρα της στην ημεδαπή,</w:t>
      </w:r>
    </w:p>
    <w:p>
      <w:pPr>
        <w:pStyle w:val="Style32"/>
        <w:widowControl w:val="false"/>
        <w:ind w:left="426" w:hanging="284"/>
        <w:rPr>
          <w:lang w:val="el-GR"/>
        </w:rPr>
      </w:pPr>
      <w:r>
        <w:rPr>
          <w:lang w:val="el-GR"/>
        </w:rPr>
        <w:t xml:space="preserve"> </w:t>
      </w:r>
      <w:r>
        <w:rPr>
          <w:lang w:val="el-GR"/>
        </w:rPr>
        <w:t>ιβ) τα υποκαταστήματα ή πρακτορεία που διατηρούν στην ημεδαπή οι αλλοδαπές εταιρείες με τη μορφή της ανώνυμης εταιρείας, της εταιρείας περιορισμένης ευθύνης και της ετερόρρυθμης κατά μετοχές εταιρείας που έχουν την έδρα τους σε κράτος μέλος της Ευρωπαϊκής Ένωσης (ΕΕ),</w:t>
      </w:r>
    </w:p>
    <w:p>
      <w:pPr>
        <w:pStyle w:val="Style32"/>
        <w:widowControl w:val="false"/>
        <w:ind w:left="426" w:hanging="284"/>
        <w:rPr>
          <w:lang w:val="el-GR"/>
        </w:rPr>
      </w:pPr>
      <w:r>
        <w:rPr>
          <w:lang w:val="el-GR"/>
        </w:rPr>
        <w:t xml:space="preserve"> </w:t>
      </w:r>
      <w:r>
        <w:rPr>
          <w:lang w:val="el-GR"/>
        </w:rPr>
        <w:t>ιγ) τα υποκαταστήματα ή τα πρακτορεία που διατηρούν στην ημεδαπή οι αλλοδαπές εταιρείες που έχουν έδρα σε τρίτη χώρα και έχουν νομική μορφή ανάλογη με εκείνη των αλλοδαπών εταιρειών που αναφέρεται στην περ. ιβ),</w:t>
      </w:r>
    </w:p>
    <w:p>
      <w:pPr>
        <w:pStyle w:val="Style32"/>
        <w:widowControl w:val="false"/>
        <w:ind w:left="426" w:hanging="284"/>
        <w:rPr>
          <w:lang w:val="el-GR"/>
        </w:rPr>
      </w:pPr>
      <w:r>
        <w:rPr>
          <w:lang w:val="el-GR"/>
        </w:rPr>
        <w:t xml:space="preserve"> </w:t>
      </w:r>
      <w:r>
        <w:rPr>
          <w:lang w:val="el-GR"/>
        </w:rPr>
        <w:t>ιδ) τα υποκαταστήματα ή τα πρακτορεία, μέσω των οποίων ενεργούν εμπορικές πράξεις στην ημεδαπή τα φυσικά ή νομικά πρόσωπα ή ενώσεις προσώπων που έχουν την κύρια εγκατάσταση ή την έδρα τους στην αλλοδαπή και δεν εμπίπτουν στις περ. ιβ) και ιγ),</w:t>
      </w:r>
    </w:p>
    <w:p>
      <w:pPr>
        <w:pStyle w:val="Style32"/>
        <w:widowControl w:val="false"/>
        <w:ind w:left="426" w:hanging="284"/>
        <w:rPr>
          <w:lang w:val="el-GR"/>
        </w:rPr>
      </w:pPr>
      <w:r>
        <w:rPr>
          <w:lang w:val="el-GR"/>
        </w:rPr>
        <w:t xml:space="preserve"> </w:t>
      </w:r>
      <w:r>
        <w:rPr>
          <w:lang w:val="el-GR"/>
        </w:rPr>
        <w:t xml:space="preserve">ιε) η κοινοπραξία του </w:t>
      </w:r>
      <w:r>
        <w:rPr>
          <w:rStyle w:val="Style9"/>
          <w:b/>
          <w:bCs/>
          <w:lang w:val="el-GR"/>
        </w:rPr>
        <w:t>άρθρου 293</w:t>
      </w:r>
      <w:r>
        <w:rPr>
          <w:lang w:val="el-GR"/>
        </w:rPr>
        <w:t xml:space="preserve"> του ν. </w:t>
      </w:r>
      <w:r>
        <w:rPr>
          <w:rStyle w:val="Style9"/>
          <w:b/>
          <w:bCs/>
          <w:lang w:val="el-GR"/>
        </w:rPr>
        <w:t>4072/2012</w:t>
      </w:r>
      <w:r>
        <w:rPr>
          <w:lang w:val="el-GR"/>
        </w:rPr>
        <w:t>,</w:t>
      </w:r>
    </w:p>
    <w:p>
      <w:pPr>
        <w:pStyle w:val="Style32"/>
        <w:widowControl w:val="false"/>
        <w:ind w:left="426" w:hanging="284"/>
        <w:rPr>
          <w:lang w:val="el-GR"/>
        </w:rPr>
      </w:pPr>
      <w:r>
        <w:rPr>
          <w:lang w:val="el-GR"/>
        </w:rPr>
        <w:t xml:space="preserve"> </w:t>
      </w:r>
      <w:r>
        <w:rPr>
          <w:lang w:val="el-GR"/>
        </w:rPr>
        <w:t>ιστ) οι ατομικές επιχειρήσεις με εγκατάσταση στην ημεδαπή και σκοπό το κέρδος που:</w:t>
      </w:r>
    </w:p>
    <w:p>
      <w:pPr>
        <w:pStyle w:val="Style32"/>
        <w:widowControl w:val="false"/>
        <w:ind w:left="426" w:hanging="284"/>
        <w:rPr>
          <w:lang w:val="el-GR"/>
        </w:rPr>
      </w:pPr>
      <w:r>
        <w:rPr>
          <w:lang w:val="el-GR"/>
        </w:rPr>
        <w:t xml:space="preserve"> </w:t>
      </w:r>
      <w:r>
        <w:rPr>
          <w:lang w:val="el-GR"/>
        </w:rPr>
        <w:t>ιστα) διενεργούν εμπορικές πράξεις στο όνομά τους, κατά σύνηθες επάγγελμα, ή</w:t>
      </w:r>
    </w:p>
    <w:p>
      <w:pPr>
        <w:pStyle w:val="Style32"/>
        <w:widowControl w:val="false"/>
        <w:ind w:left="426" w:hanging="284"/>
        <w:rPr>
          <w:lang w:val="el-GR"/>
        </w:rPr>
      </w:pPr>
      <w:r>
        <w:rPr>
          <w:lang w:val="el-GR"/>
        </w:rPr>
        <w:t xml:space="preserve"> </w:t>
      </w:r>
      <w:r>
        <w:rPr>
          <w:lang w:val="el-GR"/>
        </w:rPr>
        <w:t>ιστβ) διαθέτουν αγαθά ή υπηρεσίες ή διαμεσολαβούν στη διάθεση αυτών με επιχειρηματικό κίνδυνο, μέσω οργανωμένης υποδομής ή μέσω εκμετάλλευσης της εργασίας τρίτων προσώπων.</w:t>
      </w:r>
    </w:p>
    <w:p>
      <w:pPr>
        <w:pStyle w:val="Style32"/>
        <w:widowControl w:val="false"/>
        <w:ind w:left="426" w:hanging="284"/>
        <w:rPr>
          <w:lang w:val="el-GR"/>
        </w:rPr>
      </w:pPr>
      <w:r>
        <w:rPr>
          <w:lang w:val="el-GR"/>
        </w:rPr>
      </w:r>
    </w:p>
    <w:p>
      <w:pPr>
        <w:pStyle w:val="Style32"/>
        <w:widowControl w:val="false"/>
        <w:ind w:left="426" w:hanging="284"/>
        <w:rPr>
          <w:lang w:val="el-GR"/>
        </w:rPr>
      </w:pPr>
      <w:r>
        <w:rPr>
          <w:lang w:val="el-GR"/>
        </w:rPr>
        <w:t xml:space="preserve"> </w:t>
      </w:r>
      <w:r>
        <w:rPr>
          <w:lang w:val="el-GR"/>
        </w:rPr>
        <w:t xml:space="preserve">Στο Γ.Ε.ΜΗ. μπορούν να εγγράφονται προαιρετικά οι αγροτικοί συνεταιρισμοί του ν. </w:t>
      </w:r>
      <w:r>
        <w:rPr>
          <w:rStyle w:val="Style9"/>
          <w:b/>
          <w:bCs/>
          <w:lang w:val="el-GR"/>
        </w:rPr>
        <w:t>4673/2020</w:t>
      </w:r>
    </w:p>
    <w:p>
      <w:pPr>
        <w:pStyle w:val="Style32"/>
        <w:widowControl w:val="false"/>
        <w:ind w:left="426" w:hanging="284"/>
        <w:rPr>
          <w:lang w:val="el-GR"/>
        </w:rPr>
      </w:pPr>
      <w:r>
        <w:rPr>
          <w:lang w:val="el-GR"/>
        </w:rPr>
        <w:t>(</w:t>
      </w:r>
      <w:r>
        <w:rPr>
          <w:rStyle w:val="Style9"/>
          <w:b/>
          <w:bCs/>
          <w:lang w:val="el-GR"/>
        </w:rPr>
        <w:t>Α΄ 52</w:t>
      </w:r>
      <w:r>
        <w:rPr>
          <w:lang w:val="el-GR"/>
        </w:rPr>
        <w:t>).</w:t>
      </w:r>
    </w:p>
    <w:p>
      <w:pPr>
        <w:pStyle w:val="Style32"/>
        <w:widowControl w:val="false"/>
        <w:ind w:left="426" w:hanging="284"/>
        <w:rPr>
          <w:lang w:val="el-GR"/>
        </w:rPr>
      </w:pPr>
      <w:r>
        <w:rPr>
          <w:lang w:val="el-GR"/>
        </w:rPr>
      </w:r>
    </w:p>
    <w:p>
      <w:pPr>
        <w:pStyle w:val="Style32"/>
        <w:widowControl w:val="false"/>
        <w:ind w:left="426" w:hanging="284"/>
        <w:rPr>
          <w:b/>
          <w:b/>
          <w:lang w:val="el-GR"/>
        </w:rPr>
      </w:pPr>
      <w:r>
        <w:rPr>
          <w:lang w:val="el-GR"/>
        </w:rPr>
        <w:t xml:space="preserve"> </w:t>
      </w:r>
      <w:r>
        <w:rPr>
          <w:b/>
          <w:lang w:val="el-GR"/>
        </w:rPr>
        <w:t>Δεν εγγράφονται στο Γ.Ε.ΜΗ.:</w:t>
      </w:r>
    </w:p>
    <w:p>
      <w:pPr>
        <w:pStyle w:val="Style32"/>
        <w:widowControl w:val="false"/>
        <w:spacing w:before="0" w:after="0"/>
        <w:ind w:left="426" w:hanging="284"/>
        <w:contextualSpacing/>
        <w:rPr>
          <w:lang w:val="el-GR"/>
        </w:rPr>
      </w:pPr>
      <w:r>
        <w:rPr>
          <w:lang w:val="el-GR"/>
        </w:rPr>
        <w:t xml:space="preserve"> </w:t>
      </w:r>
      <w:r>
        <w:rPr>
          <w:lang w:val="el-GR"/>
        </w:rPr>
        <w:t>α) οι αστικές εταιρείες για την άσκηση επαγγελματικής δραστηριότητας δικηγόρων, συμβολαιογράφων και δικαστικών επιμελητών,</w:t>
      </w:r>
    </w:p>
    <w:p>
      <w:pPr>
        <w:pStyle w:val="Style32"/>
        <w:widowControl w:val="false"/>
        <w:spacing w:before="0" w:after="0"/>
        <w:ind w:left="426" w:hanging="284"/>
        <w:contextualSpacing/>
        <w:rPr>
          <w:lang w:val="el-GR"/>
        </w:rPr>
      </w:pPr>
      <w:r>
        <w:rPr>
          <w:lang w:val="el-GR"/>
        </w:rPr>
        <w:t xml:space="preserve"> </w:t>
      </w:r>
      <w:r>
        <w:rPr>
          <w:lang w:val="el-GR"/>
        </w:rPr>
        <w:t xml:space="preserve">β) τα γραφεία ή υποκαταστήματα αλλοδαπών εταιρειών ή επιχειρήσεων που έχουν εγκατασταθεί στην Ελλάδα, σύμφωνα με το </w:t>
      </w:r>
      <w:r>
        <w:rPr>
          <w:rStyle w:val="Style9"/>
          <w:b/>
          <w:bCs/>
          <w:lang w:val="el-GR"/>
        </w:rPr>
        <w:t>άρθρο 25</w:t>
      </w:r>
      <w:r>
        <w:rPr>
          <w:lang w:val="el-GR"/>
        </w:rPr>
        <w:t xml:space="preserve"> του ν. </w:t>
      </w:r>
      <w:r>
        <w:rPr>
          <w:rStyle w:val="Style9"/>
          <w:b/>
          <w:bCs/>
          <w:lang w:val="el-GR"/>
        </w:rPr>
        <w:t>27/1975</w:t>
      </w:r>
      <w:r>
        <w:rPr>
          <w:lang w:val="el-GR"/>
        </w:rPr>
        <w:t xml:space="preserve"> (</w:t>
      </w:r>
      <w:r>
        <w:rPr>
          <w:rStyle w:val="Style9"/>
          <w:b/>
          <w:bCs/>
          <w:lang w:val="el-GR"/>
        </w:rPr>
        <w:t>Α΄ 77</w:t>
      </w:r>
      <w:r>
        <w:rPr>
          <w:lang w:val="el-GR"/>
        </w:rPr>
        <w:t xml:space="preserve">) και τον α.ν. </w:t>
      </w:r>
      <w:r>
        <w:rPr>
          <w:rStyle w:val="Style9"/>
          <w:b/>
          <w:bCs/>
          <w:lang w:val="el-GR"/>
        </w:rPr>
        <w:t>378/1968</w:t>
      </w:r>
      <w:r>
        <w:rPr>
          <w:lang w:val="el-GR"/>
        </w:rPr>
        <w:t xml:space="preserve"> (</w:t>
      </w:r>
      <w:r>
        <w:rPr>
          <w:rStyle w:val="Style9"/>
          <w:b/>
          <w:bCs/>
          <w:lang w:val="el-GR"/>
        </w:rPr>
        <w:t>Α΄ 82</w:t>
      </w:r>
      <w:r>
        <w:rPr>
          <w:lang w:val="el-GR"/>
        </w:rPr>
        <w:t>),</w:t>
      </w:r>
    </w:p>
    <w:p>
      <w:pPr>
        <w:pStyle w:val="Style32"/>
        <w:widowControl w:val="false"/>
        <w:spacing w:before="0" w:after="0"/>
        <w:ind w:left="426" w:hanging="284"/>
        <w:contextualSpacing/>
        <w:rPr>
          <w:lang w:val="el-GR"/>
        </w:rPr>
      </w:pPr>
      <w:r>
        <w:rPr>
          <w:lang w:val="el-GR"/>
        </w:rPr>
        <w:t xml:space="preserve">γ) η Ναυτική Εταιρεία που συστήνεται κατά τον ν. </w:t>
      </w:r>
      <w:r>
        <w:rPr>
          <w:rStyle w:val="Style9"/>
          <w:b/>
          <w:bCs/>
          <w:lang w:val="el-GR"/>
        </w:rPr>
        <w:t>959/1979</w:t>
      </w:r>
      <w:r>
        <w:rPr>
          <w:lang w:val="el-GR"/>
        </w:rPr>
        <w:t xml:space="preserve"> (</w:t>
      </w:r>
      <w:r>
        <w:rPr>
          <w:rStyle w:val="Style9"/>
          <w:b/>
          <w:bCs/>
          <w:lang w:val="el-GR"/>
        </w:rPr>
        <w:t>Α΄ 192</w:t>
      </w:r>
      <w:r>
        <w:rPr>
          <w:lang w:val="el-GR"/>
        </w:rPr>
        <w:t xml:space="preserve">) και η Ναυτιλιακή Εταιρεία Πλοίων Αναψυχής (Ν.Ε.Π.Α.) που συστήνεται κατά τον ν. </w:t>
      </w:r>
      <w:r>
        <w:rPr>
          <w:rStyle w:val="Style9"/>
          <w:b/>
          <w:bCs/>
          <w:lang w:val="el-GR"/>
        </w:rPr>
        <w:t>3182/2003</w:t>
      </w:r>
      <w:r>
        <w:rPr>
          <w:lang w:val="el-GR"/>
        </w:rPr>
        <w:t xml:space="preserve"> (</w:t>
      </w:r>
      <w:r>
        <w:rPr>
          <w:rStyle w:val="Style9"/>
          <w:b/>
          <w:bCs/>
          <w:lang w:val="el-GR"/>
        </w:rPr>
        <w:t>Α΄ 220</w:t>
      </w:r>
      <w:r>
        <w:rPr>
          <w:lang w:val="el-GR"/>
        </w:rPr>
        <w:t>),</w:t>
      </w:r>
    </w:p>
    <w:p>
      <w:pPr>
        <w:pStyle w:val="Style32"/>
        <w:widowControl w:val="false"/>
        <w:spacing w:before="0" w:after="0"/>
        <w:ind w:left="426" w:hanging="284"/>
        <w:contextualSpacing/>
        <w:rPr>
          <w:lang w:val="el-GR"/>
        </w:rPr>
      </w:pPr>
      <w:r>
        <w:rPr>
          <w:lang w:val="el-GR"/>
        </w:rPr>
        <w:t xml:space="preserve"> </w:t>
      </w:r>
      <w:r>
        <w:rPr>
          <w:lang w:val="el-GR"/>
        </w:rPr>
        <w:t xml:space="preserve">δ) τα γραφεία αλλοδαπών εταιρειών που εγκαθίστανται στην Ελλάδα, σύμφωνα με τον α.ν. </w:t>
      </w:r>
      <w:r>
        <w:rPr>
          <w:rStyle w:val="Style9"/>
          <w:b/>
          <w:bCs/>
          <w:lang w:val="el-GR"/>
        </w:rPr>
        <w:t>89/1967</w:t>
      </w:r>
      <w:r>
        <w:rPr>
          <w:lang w:val="el-GR"/>
        </w:rPr>
        <w:t xml:space="preserve"> (</w:t>
      </w:r>
      <w:r>
        <w:rPr>
          <w:rStyle w:val="Style9"/>
          <w:b/>
          <w:bCs/>
          <w:lang w:val="el-GR"/>
        </w:rPr>
        <w:t>Α΄ 132</w:t>
      </w:r>
      <w:r>
        <w:rPr>
          <w:lang w:val="el-GR"/>
        </w:rPr>
        <w:t>).</w:t>
      </w:r>
    </w:p>
    <w:p>
      <w:pPr>
        <w:pStyle w:val="Style32"/>
        <w:widowControl w:val="false"/>
        <w:ind w:left="426" w:hanging="284"/>
        <w:rPr>
          <w:lang w:val="el-GR"/>
        </w:rPr>
      </w:pPr>
      <w:r>
        <w:rPr/>
      </w:r>
    </w:p>
  </w:footnote>
  <w:footnote w:id="97">
    <w:p>
      <w:pPr>
        <w:pStyle w:val="Style32"/>
        <w:widowControl w:val="false"/>
        <w:rPr>
          <w:lang w:val="el-GR"/>
        </w:rPr>
      </w:pPr>
      <w:r>
        <w:rPr>
          <w:rStyle w:val="Style10"/>
        </w:rPr>
        <w:footnoteRef/>
      </w:r>
      <w:r>
        <w:rPr>
          <w:lang w:val="el-GR"/>
        </w:rPr>
        <w:tab/>
        <w:t xml:space="preserve">  </w:t>
      </w:r>
      <w:r>
        <w:rPr>
          <w:lang w:val="el-GR"/>
        </w:rPr>
        <w:t>Το πιστοποιητικό Ισχύουσας Εκπροσώπησης (καταχωρίσεις μεταβολών εκπροσώπησης) παρουσιάζει τις σχετικές με τη διοίκηση και εκπροσώπηση της εταιρείας καταχωρίσεις/μεταβολές στο Γενικό Εμπορικό Μητρώο.</w:t>
      </w:r>
    </w:p>
    <w:p>
      <w:pPr>
        <w:pStyle w:val="Style32"/>
        <w:widowControl w:val="false"/>
        <w:rPr>
          <w:lang w:val="el-GR"/>
        </w:rPr>
      </w:pPr>
      <w:r>
        <w:rPr>
          <w:lang w:val="el-GR"/>
        </w:rPr>
        <w:t xml:space="preserve">          </w:t>
      </w:r>
      <w:r>
        <w:rPr>
          <w:lang w:val="el-GR"/>
        </w:rPr>
        <w:t>Το Αναλυτικό Πιστοποιητικό Εκπροσώπησης παρουσιάζει τα στοιχεία των προσώπων που διοικούν και εκπροσωπούν την εταιρεία αυτή τη στιγμή, καθώς και το εύρος των αρμοδιοτήτων τους</w:t>
      </w:r>
    </w:p>
  </w:footnote>
  <w:footnote w:id="98">
    <w:p>
      <w:pPr>
        <w:pStyle w:val="Style32"/>
        <w:widowControl w:val="false"/>
        <w:rPr>
          <w:lang w:val="el-GR"/>
        </w:rPr>
      </w:pPr>
      <w:r>
        <w:rPr>
          <w:rStyle w:val="Style10"/>
        </w:rPr>
        <w:footnoteRef/>
      </w:r>
      <w:r>
        <w:rPr>
          <w:lang w:val="el-GR"/>
        </w:rPr>
        <w:tab/>
        <w:t>Άρθρο 83 ν. 4412/2016.</w:t>
      </w:r>
    </w:p>
  </w:footnote>
  <w:footnote w:id="99">
    <w:p>
      <w:pPr>
        <w:pStyle w:val="Style32"/>
        <w:widowControl w:val="false"/>
        <w:rPr>
          <w:lang w:val="el-GR"/>
        </w:rPr>
      </w:pPr>
      <w:r>
        <w:rPr>
          <w:rStyle w:val="Style10"/>
        </w:rPr>
        <w:footnoteRef/>
      </w:r>
      <w:r>
        <w:rPr>
          <w:lang w:val="el-GR"/>
        </w:rPr>
        <w:tab/>
        <w:t xml:space="preserve">Άρθρο 86 ν. 4412/2016 και τυποποιημένο έντυπο 2 Παραρτήματος </w:t>
      </w:r>
      <w:r>
        <w:rPr/>
        <w:t>II</w:t>
      </w:r>
      <w:r>
        <w:rPr>
          <w:lang w:val="el-GR"/>
        </w:rPr>
        <w:t xml:space="preserve"> (Προκήρυξη σύμβασης), παρ. </w:t>
      </w:r>
      <w:r>
        <w:rPr/>
        <w:t>II</w:t>
      </w:r>
      <w:r>
        <w:rPr>
          <w:lang w:val="el-GR"/>
        </w:rPr>
        <w:t>.2.5 Εκτελεστικού Κανονισμού (ΕΕ) 2015/1986 της Επιτροπής (</w:t>
      </w:r>
      <w:r>
        <w:rPr/>
        <w:t>L</w:t>
      </w:r>
      <w:r>
        <w:rPr>
          <w:lang w:val="el-GR"/>
        </w:rPr>
        <w:t xml:space="preserve"> 296)</w:t>
      </w:r>
    </w:p>
  </w:footnote>
  <w:footnote w:id="100">
    <w:p>
      <w:pPr>
        <w:pStyle w:val="Style32"/>
        <w:widowControl w:val="false"/>
        <w:rPr>
          <w:lang w:val="el-GR"/>
        </w:rPr>
      </w:pPr>
      <w:r>
        <w:rPr>
          <w:rStyle w:val="Style10"/>
        </w:rPr>
        <w:footnoteRef/>
      </w:r>
      <w:r>
        <w:rPr>
          <w:lang w:val="el-GR"/>
        </w:rPr>
        <w:tab/>
        <w:t>Τα κριτήρια ανάθεσης πρέπει να συνδέονται με το αντικείμενο της σύμβασης, σύμφωνα με την παράγραφο 8 του άρθρου 86 του ν. 4412/2016. Διασφαλίζουν τη δυνατότητα αποτελεσματικού ανταγωνισμού και συνοδεύονται από προδιαγραφές που επιτρέπουν την αποτελεσματική επαλήθευση των πληροφοριών που παρέχονται από τους προσφέροντες, προκειμένου να αξιολογείται ο βαθμός συμμόρφωσής τους προς τα κριτήρια ανάθεσης. Εάν υπάρχουν αμφιβολίες, οι Α.Α. επαληθεύουν αποτελεσματικά την ακρίβεια των πληροφοριών και αποδείξεων, τις οποίες παρέχουν οι προσφέροντες (παρ. 9 άρθρου 86). Πρβλ και Κατευθυντήρια Οδηγία 11/2015 Ε.Α.Α.ΔΗ.ΣΥ. (ΑΔΑ ΩΛΝ4ΟΞΤΒ-ΜΙΦ)</w:t>
      </w:r>
    </w:p>
  </w:footnote>
  <w:footnote w:id="101">
    <w:p>
      <w:pPr>
        <w:pStyle w:val="Style32"/>
        <w:widowControl w:val="false"/>
        <w:rPr>
          <w:lang w:val="el-GR"/>
        </w:rPr>
      </w:pPr>
      <w:r>
        <w:rPr>
          <w:rStyle w:val="Style10"/>
        </w:rPr>
        <w:footnoteRef/>
      </w:r>
      <w:r>
        <w:rPr>
          <w:lang w:val="el-GR"/>
        </w:rPr>
        <w:tab/>
        <w:t xml:space="preserve"> </w:t>
      </w:r>
      <w:r>
        <w:rPr>
          <w:lang w:val="el-GR"/>
        </w:rPr>
        <w:t>Εάν η τιμή είναι το μοναδικό κριτήριο ανάθεσης η αξιολόγηση γίνεται μόνο βάσει αυτής.</w:t>
      </w:r>
    </w:p>
  </w:footnote>
  <w:footnote w:id="102">
    <w:p>
      <w:pPr>
        <w:pStyle w:val="Style32"/>
        <w:widowControl w:val="false"/>
        <w:rPr>
          <w:lang w:val="el-GR"/>
        </w:rPr>
      </w:pPr>
      <w:r>
        <w:rPr>
          <w:rStyle w:val="Style10"/>
        </w:rPr>
        <w:footnoteRef/>
      </w:r>
      <w:r>
        <w:rPr>
          <w:lang w:val="el-GR"/>
        </w:rPr>
        <w:tab/>
        <w:t>Άρθρο 57 του ν. 4412/216.</w:t>
      </w:r>
    </w:p>
  </w:footnote>
  <w:footnote w:id="103">
    <w:p>
      <w:pPr>
        <w:pStyle w:val="Style32"/>
        <w:widowControl w:val="false"/>
        <w:rPr>
          <w:lang w:val="el-GR"/>
        </w:rPr>
      </w:pPr>
      <w:r>
        <w:rPr>
          <w:rStyle w:val="Style10"/>
        </w:rPr>
        <w:footnoteRef/>
      </w:r>
      <w:r>
        <w:rPr>
          <w:lang w:val="el-GR"/>
        </w:rPr>
        <w:tab/>
        <w:t xml:space="preserve"> </w:t>
      </w:r>
      <w:r>
        <w:rPr>
          <w:lang w:val="el-GR"/>
        </w:rPr>
        <w:t>Πρβλ. ΔΕΦ Αθηνών, ΙΓ Τμήμα (Ακυρ.), 728/2023</w:t>
      </w:r>
    </w:p>
  </w:footnote>
  <w:footnote w:id="104">
    <w:p>
      <w:pPr>
        <w:pStyle w:val="Style32"/>
        <w:widowControl w:val="false"/>
        <w:rPr>
          <w:lang w:val="el-GR"/>
        </w:rPr>
      </w:pPr>
      <w:r>
        <w:rPr>
          <w:rStyle w:val="Style10"/>
        </w:rPr>
        <w:footnoteRef/>
      </w:r>
      <w:r>
        <w:rPr>
          <w:lang w:val="el-GR"/>
        </w:rPr>
        <w:tab/>
        <w:t>Άρθρο 15 ΚΥΑ ΕΣΗΔΗΣ Προμήθειες και Υπηρεσίες</w:t>
      </w:r>
    </w:p>
  </w:footnote>
  <w:footnote w:id="105">
    <w:p>
      <w:pPr>
        <w:pStyle w:val="Style32"/>
        <w:widowControl w:val="false"/>
        <w:rPr>
          <w:lang w:val="el-GR"/>
        </w:rPr>
      </w:pPr>
      <w:r>
        <w:rPr>
          <w:rStyle w:val="Style10"/>
        </w:rPr>
        <w:footnoteRef/>
      </w:r>
      <w:r>
        <w:rPr>
          <w:lang w:val="el-GR"/>
        </w:rPr>
        <w:tab/>
        <w:t>Άρθρο 37 παρ. 4 του ν. 4412/2016 και άρθρο 4 παρ. 2 Κ.Υ.Α. ΕΣΗΔΗΣ Προμήθειες και- Υπηρεσίες.</w:t>
      </w:r>
    </w:p>
  </w:footnote>
  <w:footnote w:id="106">
    <w:p>
      <w:pPr>
        <w:pStyle w:val="Style32"/>
        <w:widowControl w:val="false"/>
        <w:rPr>
          <w:lang w:val="el-GR"/>
        </w:rPr>
      </w:pPr>
      <w:r>
        <w:rPr>
          <w:rStyle w:val="Style10"/>
        </w:rPr>
        <w:footnoteRef/>
      </w:r>
      <w:r>
        <w:rPr>
          <w:lang w:val="el-GR"/>
        </w:rPr>
        <w:tab/>
        <w:t>Άρθρο 13 παρ. 1.4 και 1.5 της Κ.Υ.Α. ΕΣΗΔΗΣ Προμήθειες και Υπηρεσίες</w:t>
      </w:r>
    </w:p>
  </w:footnote>
  <w:footnote w:id="107">
    <w:p>
      <w:pPr>
        <w:pStyle w:val="Style32"/>
        <w:widowControl w:val="false"/>
        <w:rPr>
          <w:lang w:val="el-GR"/>
        </w:rPr>
      </w:pPr>
      <w:r>
        <w:rPr>
          <w:rStyle w:val="Style10"/>
        </w:rPr>
        <w:footnoteRef/>
      </w:r>
      <w:r>
        <w:rPr>
          <w:lang w:val="el-GR"/>
        </w:rPr>
        <w:tab/>
        <w:t xml:space="preserve">  </w:t>
      </w:r>
      <w:r>
        <w:rPr>
          <w:lang w:val="el-GR"/>
        </w:rPr>
        <w:t>Βλ. σχετικά με την  ηλεκτρονική υπεύθυνη δήλωση το  άρθρο εικοστό έβδομο της από 20.3.2020 Π.Ν.Π., (Α 68) - που κυρώθηκε με το άρθρο 1 του ν. 4683/2020 (Α΄83)-κατά τις παραγράφους 1 και 2  του οποίου:" Η υπεύθυνη δήλωση του άρθρου 8 του ν. 1599/1986 (Α` 75) μπορεί να συντάσσεται στην Ενιαία Ψηφιακή Πύλη της Δημόσιας Διοίκησης του άρθρου 52 του ν. 4635/2019, μέσω της ηλεκτρονικής εφαρμογής «e-Dilosi». Η ηλεκτρονική υπεύθυνη δήλωση υποβάλλεται και γίνεται αποδεκτή σύμφωνα με τα οριζόμενα στο εικοστό τέταρτο άρθρο της παρούσας.  2. Η αυθεντικοποίηση που πραγματοποιείται για τη χρήση της ηλεκτρονικής εφαρμογής της παρ. 1 του παρόντος έχει την ίδια ισχύ με τη βεβαίωση γνήσιου υπογραφής του άρθρου 11 του ν. 2690/1999 (Α` 45). Η ημερομηνία που αναγράφεται στην προηγμένη ή εγκεκριμένη ηλεκτρονική σφραγίδα του Υπουργείου Ψηφιακής Διακυβέρνησης αντιστοιχεί στην ημερομηνία έκδοσης της ηλεκτρονικής υπεύθυνης δήλωσης. Εφόσον τηρούνται οι όροι του προηγούμενου εδαφίου, η ηλεκτρονική υπεύθυνη δήλωση, τόσο ως ηλεκτρονικό, όσο και ως έντυπο έγγραφο, συνιστά έγγραφο βέβαιης χρονολογίας".</w:t>
      </w:r>
    </w:p>
  </w:footnote>
  <w:footnote w:id="108">
    <w:p>
      <w:pPr>
        <w:pStyle w:val="HTMLPreformatted"/>
        <w:widowControl w:val="false"/>
        <w:ind w:left="426" w:hanging="426"/>
        <w:rPr>
          <w:rFonts w:ascii="Calibri" w:hAnsi="Calibri" w:cs="Calibri"/>
          <w:sz w:val="18"/>
          <w:lang w:val="el-GR" w:eastAsia="ar-SA"/>
        </w:rPr>
      </w:pPr>
      <w:r>
        <w:rPr>
          <w:rStyle w:val="Style10"/>
        </w:rPr>
        <w:footnoteRef/>
      </w:r>
      <w:r>
        <w:rPr>
          <w:rFonts w:cs="Calibri" w:ascii="Calibri" w:hAnsi="Calibri"/>
          <w:sz w:val="18"/>
          <w:lang w:val="el-GR" w:eastAsia="ar-SA"/>
        </w:rPr>
        <w:tab/>
        <w:t xml:space="preserve">    </w:t>
      </w:r>
      <w:r>
        <w:rPr>
          <w:rFonts w:cs="Calibri" w:ascii="Calibri" w:hAnsi="Calibri"/>
          <w:sz w:val="18"/>
          <w:lang w:val="el-GR" w:eastAsia="ar-SA"/>
        </w:rPr>
        <w:t>Βλ. σχετικά, τις  παραγράφους 1 και 3 του άρθρου: «1. […]Στις περιπτώσεις που ο νόμος απαιτεί βεβαίωση του γνησίου της    υπογραφής του ενδιαφερομένου, αρκεί η εγκεκριμένη ηλεκτρονική υπογραφή ή η εγκεκριμένη ηλεκτρονική σφραγίδα του ενδιαφερομένου, εφόσον το έγγραφο διακινείται ηλεκτρονικά» […] 3. Τα ηλεκτρονικά έγγραφα υποβάλλονται και γίνονται υποχρεωτικά αποδεκτά, σύμφωνα με τα οριζόμενα στα άρθρα 13 έως 15 του ν. 4727/2020 (Α` 184).</w:t>
      </w:r>
    </w:p>
    <w:p>
      <w:pPr>
        <w:pStyle w:val="HTMLPreformatted"/>
        <w:widowControl w:val="false"/>
        <w:rPr>
          <w:rFonts w:ascii="Verdana" w:hAnsi="Verdana" w:cs="Courier New"/>
          <w:color w:val="000000"/>
          <w:sz w:val="18"/>
          <w:szCs w:val="18"/>
          <w:lang w:val="el-GR" w:eastAsia="el-GR"/>
        </w:rPr>
      </w:pPr>
      <w:r>
        <w:rPr>
          <w:rFonts w:cs="Courier New" w:ascii="Verdana" w:hAnsi="Verdana"/>
          <w:color w:val="000000"/>
          <w:sz w:val="18"/>
          <w:szCs w:val="18"/>
          <w:lang w:val="el-GR" w:eastAsia="el-GR"/>
        </w:rPr>
      </w:r>
    </w:p>
    <w:p>
      <w:pPr>
        <w:pStyle w:val="Style32"/>
        <w:widowControl w:val="false"/>
        <w:rPr>
          <w:lang w:val="el-GR"/>
        </w:rPr>
      </w:pPr>
      <w:r>
        <w:rPr/>
      </w:r>
    </w:p>
  </w:footnote>
  <w:footnote w:id="109">
    <w:p>
      <w:pPr>
        <w:pStyle w:val="Style32"/>
        <w:widowControl w:val="false"/>
        <w:rPr>
          <w:lang w:val="el-GR"/>
        </w:rPr>
      </w:pPr>
      <w:r>
        <w:rPr>
          <w:rStyle w:val="Style10"/>
        </w:rPr>
        <w:footnoteRef/>
      </w:r>
      <w:r>
        <w:rPr>
          <w:lang w:val="el-GR"/>
        </w:rPr>
        <w:tab/>
        <w:t>Ομοίως προβλέπεται και στην περίπτωση υποβολής αποδεικτικών στοιχείων, σύμφωνα με το άρθρο 80 παρ. 13 του ν.4412/2016 . Πρβλ και άρθρο 13 παρ. 1.3.1 της Κ.Υ.Α. ΕΣΗΔΗΣ Προμήθειες και Υπηρεσίες</w:t>
      </w:r>
    </w:p>
  </w:footnote>
  <w:footnote w:id="110">
    <w:p>
      <w:pPr>
        <w:pStyle w:val="Style32"/>
        <w:widowControl w:val="false"/>
        <w:rPr>
          <w:lang w:val="el-GR"/>
        </w:rPr>
      </w:pPr>
      <w:r>
        <w:rPr>
          <w:rStyle w:val="Style10"/>
        </w:rPr>
        <w:footnoteRef/>
      </w:r>
      <w:r>
        <w:rPr>
          <w:lang w:val="el-GR"/>
        </w:rPr>
        <w:tab/>
        <w:t>Σύμφωνα με την περ. ε΄ της παρ. 2 του ν. 2690/1999 (ΚΔΔ), «ε. Για τα αντίγραφα των Φύλλων Εφημερίδας της Κυβερνήσεως (ΦΕΚ) που έχουν προέλθει από πρωτότυπο ΦΕΚ σε έντυπη μορφή ή από ΦΕΚ σε ηλεκτρονική μορφή που έχει καταχωριστεί στην ιστοσελίδα του Εθνικού Τυπογραφείου, ισχύουν ανάλογα οι ρυθμίσεις του άρθρου αυτού..».</w:t>
      </w:r>
    </w:p>
  </w:footnote>
  <w:footnote w:id="111">
    <w:p>
      <w:pPr>
        <w:pStyle w:val="Style32"/>
        <w:widowControl w:val="false"/>
        <w:rPr>
          <w:lang w:val="el-GR"/>
        </w:rPr>
      </w:pPr>
      <w:r>
        <w:rPr>
          <w:rStyle w:val="Style10"/>
        </w:rPr>
        <w:footnoteRef/>
      </w:r>
      <w:r>
        <w:rPr>
          <w:lang w:val="el-GR"/>
        </w:rPr>
        <w:tab/>
        <w:t>Ενδεικτικά συμβολαιογραφικές ένορκες βεβαιώσεις ή λοιπά συμβολαιογραφικά έγγραφα</w:t>
      </w:r>
    </w:p>
  </w:footnote>
  <w:footnote w:id="112">
    <w:p>
      <w:pPr>
        <w:pStyle w:val="Style32"/>
        <w:widowControl w:val="false"/>
        <w:rPr>
          <w:lang w:val="el-GR"/>
        </w:rPr>
      </w:pPr>
      <w:r>
        <w:rPr>
          <w:rStyle w:val="Style10"/>
        </w:rPr>
        <w:footnoteRef/>
      </w:r>
      <w:r>
        <w:rPr>
          <w:lang w:val="el-GR"/>
        </w:rPr>
        <w:tab/>
        <w:t xml:space="preserve">  </w:t>
      </w:r>
      <w:r>
        <w:rPr>
          <w:lang w:val="el-GR"/>
        </w:rPr>
        <w:t>Άρθρο 13 παρ. 1.6 της Κ.Υ.Α. ΕΣΗΔΗΣ Προμήθειες και Υπηρεσίες</w:t>
      </w:r>
    </w:p>
  </w:footnote>
  <w:footnote w:id="113">
    <w:p>
      <w:pPr>
        <w:pStyle w:val="Style32"/>
        <w:widowControl w:val="false"/>
        <w:rPr>
          <w:lang w:val="el-GR"/>
        </w:rPr>
      </w:pPr>
      <w:r>
        <w:rPr>
          <w:rStyle w:val="Style10"/>
        </w:rPr>
        <w:footnoteRef/>
      </w:r>
      <w:r>
        <w:rPr>
          <w:lang w:val="el-GR"/>
        </w:rPr>
        <w:tab/>
        <w:t>Βλ. άρθρο 93  του ν. 4412/2016</w:t>
      </w:r>
    </w:p>
  </w:footnote>
  <w:footnote w:id="114">
    <w:p>
      <w:pPr>
        <w:pStyle w:val="Style32"/>
        <w:widowControl w:val="false"/>
        <w:rPr>
          <w:lang w:val="el-GR"/>
        </w:rPr>
      </w:pPr>
      <w:r>
        <w:rPr>
          <w:rStyle w:val="Style10"/>
        </w:rPr>
        <w:footnoteRef/>
      </w:r>
      <w:r>
        <w:rPr>
          <w:lang w:val="el-GR"/>
        </w:rPr>
        <w:tab/>
        <w:t>Άρθρο 94 του ν. 4412/2016</w:t>
      </w:r>
    </w:p>
  </w:footnote>
  <w:footnote w:id="115">
    <w:p>
      <w:pPr>
        <w:pStyle w:val="Style32"/>
        <w:widowControl w:val="false"/>
        <w:rPr>
          <w:lang w:val="el-GR"/>
        </w:rPr>
      </w:pPr>
      <w:r>
        <w:rPr>
          <w:rStyle w:val="Style10"/>
        </w:rPr>
        <w:footnoteRef/>
      </w:r>
      <w:r>
        <w:rPr>
          <w:lang w:val="el-GR"/>
        </w:rPr>
        <w:tab/>
        <w:t>Αυτά περιλαμβάνουν τα αποδεικτικά στοιχεία που τεκμηριώνουν την τεχνική καταλληλότητα των προσφερομένων ειδών   βάσει των οποίων θα αξιολογηθεί η τεχνική προσφορά. Αναφέρονται υποχρεωτικά τα αποδεικτικά στοιχεία που τυχόν προβλέπονται στις τεχνικές προδιαγραφές του προς προμήθεια αγαθού, σύμφωνα με Παράρτημα της Διακήρυξης και τυχόν υπόδειγμα τεχνικής προσφοράς.</w:t>
      </w:r>
    </w:p>
  </w:footnote>
  <w:footnote w:id="116">
    <w:p>
      <w:pPr>
        <w:pStyle w:val="Style32"/>
        <w:widowControl w:val="false"/>
        <w:rPr>
          <w:lang w:val="el-GR"/>
        </w:rPr>
      </w:pPr>
      <w:r>
        <w:rPr>
          <w:rStyle w:val="Style10"/>
        </w:rPr>
        <w:footnoteRef/>
      </w:r>
      <w:r>
        <w:rPr>
          <w:lang w:val="el-GR"/>
        </w:rPr>
        <w:tab/>
        <w:t>Άρθρο 58 του ν. 4412/2016.</w:t>
      </w:r>
    </w:p>
  </w:footnote>
  <w:footnote w:id="117">
    <w:p>
      <w:pPr>
        <w:pStyle w:val="Style32"/>
        <w:widowControl w:val="false"/>
        <w:rPr>
          <w:lang w:val="el-GR"/>
        </w:rPr>
      </w:pPr>
      <w:r>
        <w:rPr>
          <w:rStyle w:val="Style10"/>
        </w:rPr>
        <w:footnoteRef/>
      </w:r>
      <w:r>
        <w:rPr>
          <w:lang w:val="el-GR"/>
        </w:rPr>
        <w:tab/>
        <w:t>Άρθρο 95 του ν. 4412/2016</w:t>
      </w:r>
    </w:p>
  </w:footnote>
  <w:footnote w:id="118">
    <w:p>
      <w:pPr>
        <w:pStyle w:val="Style32"/>
        <w:widowControl w:val="false"/>
        <w:rPr>
          <w:lang w:val="el-GR"/>
        </w:rPr>
      </w:pPr>
      <w:r>
        <w:rPr>
          <w:rStyle w:val="Style10"/>
        </w:rPr>
        <w:footnoteRef/>
      </w:r>
      <w:r>
        <w:rPr>
          <w:szCs w:val="18"/>
          <w:lang w:val="el-GR"/>
        </w:rPr>
        <w:tab/>
        <w:t>Εδώ  πρέπει να καθορίζεται με σαφήνεια η σχετική μονάδα π.χ.  λίτρα κ.α.</w:t>
      </w:r>
    </w:p>
  </w:footnote>
  <w:footnote w:id="119">
    <w:p>
      <w:pPr>
        <w:pStyle w:val="Style32"/>
        <w:widowControl w:val="false"/>
        <w:rPr>
          <w:lang w:val="el-GR"/>
        </w:rPr>
      </w:pPr>
      <w:r>
        <w:rPr>
          <w:rStyle w:val="Style10"/>
        </w:rPr>
        <w:footnoteRef/>
      </w:r>
      <w:r>
        <w:rPr>
          <w:lang w:val="el-GR"/>
        </w:rPr>
        <w:tab/>
        <w:t>Άρθρο 97 ν. 4412/2016</w:t>
      </w:r>
    </w:p>
  </w:footnote>
  <w:footnote w:id="120">
    <w:p>
      <w:pPr>
        <w:pStyle w:val="Style32"/>
        <w:widowControl w:val="false"/>
        <w:rPr>
          <w:lang w:val="el-GR"/>
        </w:rPr>
      </w:pPr>
      <w:r>
        <w:rPr>
          <w:rStyle w:val="Style10"/>
        </w:rPr>
        <w:footnoteRef/>
      </w:r>
      <w:r>
        <w:rPr>
          <w:lang w:val="el-GR"/>
        </w:rPr>
        <w:tab/>
        <w:t>Άρθρο 91 του ν. 4412/2016</w:t>
      </w:r>
    </w:p>
  </w:footnote>
  <w:footnote w:id="121">
    <w:p>
      <w:pPr>
        <w:pStyle w:val="Style32"/>
        <w:widowControl w:val="false"/>
        <w:ind w:left="426" w:hanging="426"/>
        <w:rPr>
          <w:lang w:val="el-GR"/>
        </w:rPr>
      </w:pPr>
      <w:r>
        <w:rPr>
          <w:rStyle w:val="Style10"/>
        </w:rPr>
        <w:footnoteRef/>
      </w:r>
      <w:r>
        <w:rPr>
          <w:lang w:val="el-GR"/>
        </w:rPr>
        <w:tab/>
        <w:t>Άρθρα 92 έως 97, άρθρο 100 καθώς και άρθρα 102 έως 104 του ν. 4412/16</w:t>
      </w:r>
    </w:p>
  </w:footnote>
  <w:footnote w:id="122">
    <w:p>
      <w:pPr>
        <w:pStyle w:val="Style32"/>
        <w:widowControl w:val="false"/>
        <w:rPr>
          <w:lang w:val="el-GR"/>
        </w:rPr>
      </w:pPr>
      <w:r>
        <w:rPr>
          <w:rStyle w:val="Style10"/>
        </w:rPr>
        <w:footnoteRef/>
      </w:r>
      <w:r>
        <w:rPr>
          <w:lang w:val="el-GR"/>
        </w:rPr>
        <w:tab/>
        <w:t>Άρθρο 100 ν. 4412/2016 και άρθρο 16 ΚΥΑ ΕΣΗΔΗΣ Προμήθειες και Υπηρεσίες</w:t>
      </w:r>
    </w:p>
  </w:footnote>
  <w:footnote w:id="123">
    <w:p>
      <w:pPr>
        <w:pStyle w:val="Style32"/>
        <w:widowControl w:val="false"/>
        <w:rPr>
          <w:lang w:val="el-GR"/>
        </w:rPr>
      </w:pPr>
      <w:r>
        <w:rPr>
          <w:rStyle w:val="Style10"/>
        </w:rPr>
        <w:footnoteRef/>
      </w:r>
      <w:r>
        <w:rPr>
          <w:szCs w:val="18"/>
          <w:lang w:val="el-GR"/>
        </w:rPr>
        <w:tab/>
        <w:t>Επισημαίνεται ότι, ως προς τις προθεσμίες για την ολοκλήρωση των ενεργειών της Επιτροπής Διενέργειας Διαγωνισμού ισχύουν τα οριζόμενα στο  άρθρο 221Α του ν. 4412/2016</w:t>
      </w:r>
    </w:p>
  </w:footnote>
  <w:footnote w:id="124">
    <w:p>
      <w:pPr>
        <w:pStyle w:val="Style32"/>
        <w:widowControl w:val="false"/>
        <w:rPr>
          <w:lang w:val="el-GR"/>
        </w:rPr>
      </w:pPr>
      <w:r>
        <w:rPr>
          <w:rStyle w:val="Style10"/>
        </w:rPr>
        <w:footnoteRef/>
      </w:r>
      <w:r>
        <w:rPr>
          <w:lang w:val="el-GR"/>
        </w:rPr>
        <w:tab/>
        <w:t>Άρθρο 16 παρ. 1 και 2 Κ.Υ.Α. ΕΣΗΔΗΣ Προμήθειες και Υπηρεσίες</w:t>
      </w:r>
    </w:p>
  </w:footnote>
  <w:footnote w:id="125">
    <w:p>
      <w:pPr>
        <w:pStyle w:val="Style32"/>
        <w:widowControl w:val="false"/>
        <w:rPr>
          <w:lang w:val="el-GR"/>
        </w:rPr>
      </w:pPr>
      <w:r>
        <w:rPr>
          <w:rStyle w:val="Style10"/>
        </w:rPr>
        <w:footnoteRef/>
      </w:r>
      <w:r>
        <w:rPr>
          <w:lang w:val="el-GR"/>
        </w:rPr>
        <w:tab/>
        <w:t>Στο πλαίσιο των διαδικασιών ανάθεσης δημοσίων συμβάσεων, τα όργανα που γνωμοδοτούν προς τα αποφαινόμενα όργανα ((επιτροπή διενέργειας/επιτροπή αξιολόγησης) ελέγχουν, σύμφωνα με την παρ. 1 του άρθρου 221 του ν. 4412/2016, την καταλληλότητα των προσφερόντων, αξιολογούν τις προσφορές, εισηγούνται τον αποκλεισμό τους από τη διαδικασία, την απόρριψη των προσφορών, την κατακύρωση των αποτελεσμάτων, την αποδέσμευση ή κατάπτωση των εγγυήσεων, τη ματαίωση της διαδικασίας και γνωμοδοτούν για κάθε άλλο θέμα που ανακύπτει κατά τη διαδικασία ανάθεσης.</w:t>
      </w:r>
    </w:p>
  </w:footnote>
  <w:footnote w:id="126">
    <w:p>
      <w:pPr>
        <w:pStyle w:val="Style32"/>
        <w:widowControl w:val="false"/>
        <w:rPr>
          <w:lang w:val="el-GR"/>
        </w:rPr>
      </w:pPr>
      <w:r>
        <w:rPr>
          <w:rStyle w:val="Style10"/>
        </w:rPr>
        <w:footnoteRef/>
      </w:r>
      <w:r>
        <w:rPr>
          <w:lang w:val="el-GR"/>
        </w:rPr>
        <w:tab/>
        <w:t>Ά</w:t>
      </w:r>
      <w:r>
        <w:rPr>
          <w:rFonts w:cs="Times New Roman"/>
          <w:lang w:val="el-GR" w:eastAsia="zh-CN"/>
        </w:rPr>
        <w:t>ρθρο 102 του ν. 4412/2016. Πρβλ και  έκθεση συνεπειών ρυθμίσεων επί του άρθρου 42 του ν. 4781/2021</w:t>
      </w:r>
    </w:p>
  </w:footnote>
  <w:footnote w:id="127">
    <w:p>
      <w:pPr>
        <w:pStyle w:val="Style32"/>
        <w:widowControl w:val="false"/>
        <w:rPr>
          <w:lang w:val="el-GR"/>
        </w:rPr>
      </w:pPr>
      <w:r>
        <w:rPr>
          <w:rStyle w:val="Style10"/>
        </w:rPr>
        <w:footnoteRef/>
      </w:r>
      <w:r>
        <w:rPr>
          <w:lang w:val="el-GR"/>
        </w:rPr>
        <w:tab/>
        <w:t xml:space="preserve">      </w:t>
      </w:r>
      <w:r>
        <w:rPr>
          <w:lang w:val="el-GR"/>
        </w:rPr>
        <w:t>Πρβλ. άρθρα 100 ν. 4412/2016, σε συνδυασμό με άρθρο 16 παρ. 3.2 της «ΚΥΑ ΕΣΗΔΗΣ Προμήθειες και Υπηρεσίες</w:t>
      </w:r>
    </w:p>
  </w:footnote>
  <w:footnote w:id="128">
    <w:p>
      <w:pPr>
        <w:pStyle w:val="Style32"/>
        <w:widowControl w:val="false"/>
        <w:rPr>
          <w:lang w:val="el-GR"/>
        </w:rPr>
      </w:pPr>
      <w:r>
        <w:rPr>
          <w:rStyle w:val="Style10"/>
        </w:rPr>
        <w:footnoteRef/>
      </w:r>
      <w:r>
        <w:rPr>
          <w:lang w:val="el-GR"/>
        </w:rPr>
        <w:tab/>
        <w:t>Άρθρο 72 παρ. 13  του ν. 4412/2016</w:t>
      </w:r>
    </w:p>
  </w:footnote>
  <w:footnote w:id="129">
    <w:p>
      <w:pPr>
        <w:pStyle w:val="Style32"/>
        <w:widowControl w:val="false"/>
        <w:rPr>
          <w:lang w:val="el-GR"/>
        </w:rPr>
      </w:pPr>
      <w:r>
        <w:rPr>
          <w:rStyle w:val="Style10"/>
        </w:rPr>
        <w:footnoteRef/>
      </w:r>
      <w:r>
        <w:rPr>
          <w:lang w:val="el-GR"/>
        </w:rPr>
        <w:tab/>
        <w:t>Η αναθέτουσα αρχή δύναται να εγκρίνει το πρακτικό αυτό με εσωτερική της απόφαση.</w:t>
      </w:r>
    </w:p>
  </w:footnote>
  <w:footnote w:id="130">
    <w:p>
      <w:pPr>
        <w:pStyle w:val="Style32"/>
        <w:widowControl w:val="false"/>
        <w:rPr>
          <w:rFonts w:cs="Times New Roman"/>
          <w:lang w:val="el-GR" w:eastAsia="zh-CN"/>
        </w:rPr>
      </w:pPr>
      <w:r>
        <w:rPr>
          <w:rStyle w:val="Style10"/>
        </w:rPr>
        <w:footnoteRef/>
      </w:r>
      <w:r>
        <w:rPr>
          <w:rFonts w:cs="Times New Roman"/>
          <w:lang w:val="el-GR" w:eastAsia="zh-CN"/>
        </w:rPr>
        <w:tab/>
        <w:t>Άρθρο 90 παρ. 1 του ν. 4412/2016.</w:t>
      </w:r>
    </w:p>
  </w:footnote>
  <w:footnote w:id="131">
    <w:p>
      <w:pPr>
        <w:pStyle w:val="Style32"/>
        <w:widowControl w:val="false"/>
        <w:rPr>
          <w:lang w:val="el-GR"/>
        </w:rPr>
      </w:pPr>
      <w:r>
        <w:rPr>
          <w:rStyle w:val="Style10"/>
        </w:rPr>
        <w:footnoteRef/>
      </w:r>
      <w:r>
        <w:rPr>
          <w:szCs w:val="18"/>
          <w:lang w:val="el-GR"/>
        </w:rPr>
        <w:tab/>
        <w:t>Άρθρο 100 παρ. 2  του ν. 4412/2016</w:t>
      </w:r>
    </w:p>
  </w:footnote>
  <w:footnote w:id="132">
    <w:p>
      <w:pPr>
        <w:pStyle w:val="Style32"/>
        <w:widowControl w:val="false"/>
        <w:rPr>
          <w:lang w:val="el-GR"/>
        </w:rPr>
      </w:pPr>
      <w:r>
        <w:rPr>
          <w:rStyle w:val="Style10"/>
        </w:rPr>
        <w:footnoteRef/>
      </w:r>
      <w:r>
        <w:rPr>
          <w:lang w:val="el-GR"/>
        </w:rPr>
        <w:tab/>
        <w:t xml:space="preserve">     </w:t>
      </w:r>
      <w:r>
        <w:rPr>
          <w:lang w:val="el-GR"/>
        </w:rPr>
        <w:t>Πρβλ. άρθρο 100 παρ. 2 του ν. 4412/2016, σε συνδυασμό με άρθρο 10 παρ. 1 περ. ζ ΄της  ΚΥΑ ΚΗΜΔΗΣ]</w:t>
      </w:r>
    </w:p>
  </w:footnote>
  <w:footnote w:id="133">
    <w:p>
      <w:pPr>
        <w:pStyle w:val="Style32"/>
        <w:widowControl w:val="false"/>
        <w:rPr>
          <w:lang w:val="el-GR"/>
        </w:rPr>
      </w:pPr>
      <w:r>
        <w:rPr>
          <w:rStyle w:val="Style10"/>
        </w:rPr>
        <w:footnoteRef/>
      </w:r>
      <w:r>
        <w:rPr>
          <w:lang w:val="el-GR"/>
        </w:rPr>
        <w:tab/>
        <w:t>Άρθρο 103 του ν. 4412/2016</w:t>
      </w:r>
    </w:p>
  </w:footnote>
  <w:footnote w:id="134">
    <w:p>
      <w:pPr>
        <w:pStyle w:val="Style32"/>
        <w:widowControl w:val="false"/>
        <w:rPr>
          <w:lang w:val="el-GR"/>
        </w:rPr>
      </w:pPr>
      <w:r>
        <w:rPr>
          <w:rStyle w:val="Style10"/>
        </w:rPr>
        <w:footnoteRef/>
      </w:r>
      <w:r>
        <w:rPr>
          <w:lang w:val="el-GR"/>
        </w:rPr>
        <w:tab/>
        <w:t>Πρβλ. άρθρο 17  της  ΚΥΑ ΕΣΗΔΗΣ Προμήθειες και Υπηρεσίες</w:t>
      </w:r>
    </w:p>
  </w:footnote>
  <w:footnote w:id="135">
    <w:p>
      <w:pPr>
        <w:pStyle w:val="Style32"/>
        <w:widowControl w:val="false"/>
        <w:rPr>
          <w:lang w:val="el-GR"/>
        </w:rPr>
      </w:pPr>
      <w:r>
        <w:rPr>
          <w:rStyle w:val="Style10"/>
        </w:rPr>
        <w:footnoteRef/>
      </w:r>
      <w:r>
        <w:rPr>
          <w:lang w:val="el-GR"/>
        </w:rPr>
        <w:tab/>
        <w:t>Άρθρο 104 παρ. 2 και 3 του ν. 4412/2016</w:t>
      </w:r>
    </w:p>
  </w:footnote>
  <w:footnote w:id="136">
    <w:p>
      <w:pPr>
        <w:pStyle w:val="Style32"/>
        <w:widowControl w:val="false"/>
        <w:rPr>
          <w:lang w:val="el-GR"/>
        </w:rPr>
      </w:pPr>
      <w:r>
        <w:rPr>
          <w:rStyle w:val="Style10"/>
        </w:rPr>
        <w:footnoteRef/>
      </w:r>
      <w:r>
        <w:rPr>
          <w:lang w:val="el-GR"/>
        </w:rPr>
        <w:tab/>
        <w:t>Άρθρο 105 του ν. 4412/2016</w:t>
      </w:r>
    </w:p>
  </w:footnote>
  <w:footnote w:id="137">
    <w:p>
      <w:pPr>
        <w:pStyle w:val="Style32"/>
        <w:widowControl w:val="false"/>
        <w:rPr>
          <w:lang w:val="el-GR"/>
        </w:rPr>
      </w:pPr>
      <w:r>
        <w:rPr>
          <w:rStyle w:val="Style10"/>
        </w:rPr>
        <w:footnoteRef/>
      </w:r>
      <w:r>
        <w:rPr>
          <w:lang w:val="el-GR"/>
        </w:rPr>
        <w:tab/>
        <w:t xml:space="preserve"> </w:t>
      </w:r>
      <w:r>
        <w:rPr>
          <w:lang w:val="el-GR"/>
        </w:rPr>
        <w:t>Πρβλ. άρθρο 16 παρ. 3 της  ΚΥΑ ΕΣΗΔΗΣ Προμήθειες και Υπηρεσίες</w:t>
      </w:r>
    </w:p>
  </w:footnote>
  <w:footnote w:id="138">
    <w:p>
      <w:pPr>
        <w:pStyle w:val="Style32"/>
        <w:widowControl w:val="false"/>
        <w:rPr>
          <w:lang w:val="el-GR"/>
        </w:rPr>
      </w:pPr>
      <w:r>
        <w:rPr>
          <w:rStyle w:val="Style10"/>
        </w:rPr>
        <w:footnoteRef/>
      </w:r>
      <w:r>
        <w:rPr>
          <w:lang w:val="el-GR"/>
        </w:rPr>
        <w:tab/>
        <w:t>Άρθρο 100 παρ. 2 του ν. 4412/2016</w:t>
      </w:r>
    </w:p>
  </w:footnote>
  <w:footnote w:id="139">
    <w:p>
      <w:pPr>
        <w:pStyle w:val="Style32"/>
        <w:widowControl w:val="false"/>
        <w:rPr>
          <w:lang w:val="el-GR"/>
        </w:rPr>
      </w:pPr>
      <w:r>
        <w:rPr>
          <w:rStyle w:val="Style10"/>
        </w:rPr>
        <w:footnoteRef/>
      </w:r>
      <w:r>
        <w:rPr>
          <w:lang w:val="el-GR"/>
        </w:rPr>
        <w:tab/>
        <w:t>Άρθρο 360 παρ. 1 του  ν. 4412/2016 και 3 παρ. 1 π.δ. 39/2017.</w:t>
      </w:r>
    </w:p>
  </w:footnote>
  <w:footnote w:id="140">
    <w:p>
      <w:pPr>
        <w:pStyle w:val="Style32"/>
        <w:widowControl w:val="false"/>
        <w:rPr>
          <w:lang w:val="el-GR"/>
        </w:rPr>
      </w:pPr>
      <w:r>
        <w:rPr>
          <w:rStyle w:val="Style10"/>
        </w:rPr>
        <w:footnoteRef/>
      </w:r>
      <w:r>
        <w:rPr>
          <w:lang w:val="el-GR"/>
        </w:rPr>
        <w:tab/>
        <w:t>Άρθρο 361 του ν. 4412/2016 και 4 του  π.δ. 39/2017</w:t>
      </w:r>
    </w:p>
  </w:footnote>
  <w:footnote w:id="141">
    <w:p>
      <w:pPr>
        <w:pStyle w:val="Style32"/>
        <w:widowControl w:val="false"/>
        <w:rPr>
          <w:lang w:val="el-GR"/>
        </w:rPr>
      </w:pPr>
      <w:r>
        <w:rPr>
          <w:rStyle w:val="Style10"/>
        </w:rPr>
        <w:footnoteRef/>
      </w:r>
      <w:r>
        <w:rPr>
          <w:lang w:val="el-GR"/>
        </w:rPr>
        <w:tab/>
        <w:t>Παρ. 2 του άρθρου 9 και άρθρο 18 της Κ.Υ.Α. ΕΣΗΔΗΣ Προμήθειες και Υπηρεσίες</w:t>
      </w:r>
    </w:p>
  </w:footnote>
  <w:footnote w:id="142">
    <w:p>
      <w:pPr>
        <w:pStyle w:val="Style33"/>
        <w:widowControl w:val="false"/>
        <w:ind w:left="227" w:hanging="227"/>
        <w:rPr>
          <w:sz w:val="18"/>
          <w:lang w:val="el-GR"/>
        </w:rPr>
      </w:pPr>
      <w:r>
        <w:rPr>
          <w:rStyle w:val="Style10"/>
        </w:rPr>
        <w:footnoteRef/>
      </w:r>
      <w:r>
        <w:rPr>
          <w:lang w:val="el-GR"/>
        </w:rPr>
        <w:tab/>
        <w:t xml:space="preserve"> </w:t>
      </w:r>
      <w:r>
        <w:rPr>
          <w:sz w:val="18"/>
          <w:lang w:val="el-GR"/>
        </w:rPr>
        <w:t xml:space="preserve">Πρβλ. άρθρο 372 παρ. 3 του  ν. 4412/2016, σύμφωνα με το  οποίο: </w:t>
      </w:r>
      <w:r>
        <w:rPr>
          <w:i/>
          <w:sz w:val="18"/>
          <w:lang w:val="el-GR"/>
        </w:rPr>
        <w:t>«Αρμόδιο για την εκδίκαση των υποθέσεων του παρόντος είναι το Διοικητικό Εφετείο της έδρας της αναθέτουσας αρχής. Κατ` εξαίρεση, διαφορές οποίες προκύπτουν από την ανάθεση δημόσιων συμβάσεων που εμπίπτουν στο πεδίο εφαρμογής των Οδηγιών 2014/24/ΕΕ και 2014/25/ΕΕ, με εκτιμώμενη αξία μεγαλύτερη των δεκαπέντε εκατομμυρίων (15.000.000) ευρώ, εκδικάζονται από το Συμβούλιο της Επικρατείας».</w:t>
      </w:r>
      <w:r>
        <w:rPr>
          <w:sz w:val="18"/>
          <w:lang w:val="el-GR"/>
        </w:rPr>
        <w:t xml:space="preserve"> Κατά συνέπεια, με βάση την εκτιμώμενη αξία εκάστης σύμβασης, η α.α. συμπληρώνει στο παρόν άρθρο</w:t>
      </w:r>
      <w:r>
        <w:rPr>
          <w:rFonts w:ascii="Cambria" w:hAnsi="Cambria"/>
          <w:sz w:val="22"/>
          <w:szCs w:val="22"/>
          <w:lang w:val="el-GR"/>
        </w:rPr>
        <w:t xml:space="preserve"> </w:t>
      </w:r>
      <w:r>
        <w:rPr>
          <w:sz w:val="18"/>
          <w:lang w:val="el-GR"/>
        </w:rPr>
        <w:t>της Διακήρυξης,  το αρμόδιο, ανά περίπτωση, Δικαστήριο, ήτοι το Διοικητικό Εφετείο ή το Συμβούλιο της Επικρατείας αναλόγως.</w:t>
      </w:r>
    </w:p>
    <w:p>
      <w:pPr>
        <w:pStyle w:val="Style32"/>
        <w:widowControl w:val="false"/>
        <w:rPr>
          <w:lang w:val="el-GR"/>
        </w:rPr>
      </w:pPr>
      <w:r>
        <w:rPr/>
      </w:r>
    </w:p>
  </w:footnote>
  <w:footnote w:id="143">
    <w:p>
      <w:pPr>
        <w:pStyle w:val="Style32"/>
        <w:widowControl w:val="false"/>
        <w:rPr>
          <w:lang w:val="el-GR"/>
        </w:rPr>
      </w:pPr>
      <w:r>
        <w:rPr>
          <w:rStyle w:val="Style10"/>
        </w:rPr>
        <w:footnoteRef/>
      </w:r>
      <w:r>
        <w:rPr>
          <w:lang w:val="el-GR"/>
        </w:rPr>
        <w:tab/>
        <w:t xml:space="preserve"> </w:t>
      </w:r>
      <w:r>
        <w:rPr>
          <w:lang w:val="el-GR"/>
        </w:rPr>
        <w:t>Πρβλ. άρθρο 372 παρ. 1 και 2 του ν. 4412/2016.</w:t>
      </w:r>
    </w:p>
  </w:footnote>
  <w:footnote w:id="144">
    <w:p>
      <w:pPr>
        <w:pStyle w:val="Style32"/>
        <w:widowControl w:val="false"/>
        <w:rPr>
          <w:lang w:val="el-GR"/>
        </w:rPr>
      </w:pPr>
      <w:r>
        <w:rPr>
          <w:rStyle w:val="Style10"/>
        </w:rPr>
        <w:footnoteRef/>
      </w:r>
      <w:r>
        <w:rPr>
          <w:lang w:val="el-GR"/>
        </w:rPr>
        <w:tab/>
        <w:t xml:space="preserve"> </w:t>
      </w:r>
      <w:r>
        <w:rPr>
          <w:lang w:val="el-GR"/>
        </w:rPr>
        <w:t>Πρβλ. άρθρο 372 παρ. 4 του ν. 4412/2016.</w:t>
      </w:r>
    </w:p>
  </w:footnote>
  <w:footnote w:id="145">
    <w:p>
      <w:pPr>
        <w:pStyle w:val="Style32"/>
        <w:widowControl w:val="false"/>
        <w:rPr>
          <w:lang w:val="el-GR"/>
        </w:rPr>
      </w:pPr>
      <w:r>
        <w:rPr>
          <w:rStyle w:val="Style10"/>
        </w:rPr>
        <w:footnoteRef/>
      </w:r>
      <w:r>
        <w:rPr>
          <w:lang w:val="el-GR"/>
        </w:rPr>
        <w:tab/>
        <w:t xml:space="preserve"> </w:t>
      </w:r>
      <w:r>
        <w:rPr>
          <w:lang w:val="el-GR"/>
        </w:rPr>
        <w:t>Πρβλ άρθρο 372 παρ. 6 του ν. 4412/2016.</w:t>
      </w:r>
    </w:p>
  </w:footnote>
  <w:footnote w:id="146">
    <w:p>
      <w:pPr>
        <w:pStyle w:val="Style32"/>
        <w:widowControl w:val="false"/>
        <w:rPr>
          <w:lang w:val="el-GR"/>
        </w:rPr>
      </w:pPr>
      <w:r>
        <w:rPr>
          <w:rStyle w:val="Style10"/>
        </w:rPr>
        <w:footnoteRef/>
      </w:r>
      <w:r>
        <w:rPr>
          <w:lang w:val="el-GR"/>
        </w:rPr>
        <w:tab/>
        <w:t xml:space="preserve"> </w:t>
      </w:r>
      <w:r>
        <w:rPr>
          <w:lang w:val="el-GR"/>
        </w:rPr>
        <w:t>Πρβλ. άρθρο 60 παρ. 2 ν. 5043/2023 (Α΄ 91/13-04-2023)</w:t>
      </w:r>
    </w:p>
  </w:footnote>
  <w:footnote w:id="147">
    <w:p>
      <w:pPr>
        <w:pStyle w:val="Style32"/>
        <w:widowControl w:val="false"/>
        <w:rPr>
          <w:lang w:val="el-GR"/>
        </w:rPr>
      </w:pPr>
      <w:r>
        <w:rPr>
          <w:rStyle w:val="Style10"/>
        </w:rPr>
        <w:footnoteRef/>
      </w:r>
      <w:r>
        <w:rPr>
          <w:lang w:val="el-GR"/>
        </w:rPr>
        <w:tab/>
        <w:t>Άρθρο 72 παρ. 10  του ν. 4412/2016</w:t>
      </w:r>
    </w:p>
  </w:footnote>
  <w:footnote w:id="148">
    <w:p>
      <w:pPr>
        <w:pStyle w:val="Style32"/>
        <w:widowControl w:val="false"/>
        <w:rPr>
          <w:lang w:val="el-GR"/>
        </w:rPr>
      </w:pPr>
      <w:r>
        <w:rPr>
          <w:rStyle w:val="Style10"/>
        </w:rPr>
        <w:footnoteRef/>
      </w:r>
      <w:r>
        <w:rPr>
          <w:lang w:val="el-GR"/>
        </w:rPr>
        <w:tab/>
        <w:t>Άρθρο 130 του  ν.4412/2016</w:t>
      </w:r>
    </w:p>
  </w:footnote>
  <w:footnote w:id="149">
    <w:p>
      <w:pPr>
        <w:pStyle w:val="Style32"/>
        <w:widowControl w:val="false"/>
        <w:rPr>
          <w:lang w:val="el-GR"/>
        </w:rPr>
      </w:pPr>
      <w:r>
        <w:rPr>
          <w:rStyle w:val="Style10"/>
        </w:rPr>
        <w:footnoteRef/>
      </w:r>
      <w:r>
        <w:rPr>
          <w:lang w:val="el-GR"/>
        </w:rPr>
        <w:tab/>
        <w:t xml:space="preserve">      </w:t>
      </w:r>
      <w:r>
        <w:rPr>
          <w:lang w:val="el-GR"/>
        </w:rPr>
        <w:t>Πρβλ. άρθρο 24 του ν. 4412/2016</w:t>
      </w:r>
    </w:p>
  </w:footnote>
  <w:footnote w:id="150">
    <w:p>
      <w:pPr>
        <w:pStyle w:val="Style32"/>
        <w:widowControl w:val="false"/>
        <w:rPr>
          <w:lang w:val="el-GR"/>
        </w:rPr>
      </w:pPr>
      <w:r>
        <w:rPr>
          <w:rStyle w:val="Style10"/>
        </w:rPr>
        <w:footnoteRef/>
      </w:r>
      <w:r>
        <w:rPr>
          <w:lang w:val="el-GR"/>
        </w:rPr>
        <w:tab/>
        <w:t>Πρβλ.  παρ. 2 του άρθρου 78 του ν. 4412/2016</w:t>
      </w:r>
    </w:p>
  </w:footnote>
  <w:footnote w:id="151">
    <w:p>
      <w:pPr>
        <w:pStyle w:val="Style32"/>
        <w:widowControl w:val="false"/>
        <w:rPr>
          <w:lang w:val="el-GR"/>
        </w:rPr>
      </w:pPr>
      <w:r>
        <w:rPr>
          <w:rStyle w:val="Style10"/>
        </w:rPr>
        <w:footnoteRef/>
      </w:r>
      <w:r>
        <w:rPr>
          <w:lang w:val="el-GR"/>
        </w:rPr>
        <w:tab/>
        <w:t xml:space="preserve"> </w:t>
      </w:r>
      <w:r>
        <w:rPr>
          <w:lang w:val="el-GR"/>
        </w:rPr>
        <w:t>Πρβλ. άρθρο 132 του ν. 4412/2016</w:t>
      </w:r>
    </w:p>
  </w:footnote>
  <w:footnote w:id="152">
    <w:p>
      <w:pPr>
        <w:pStyle w:val="Style32"/>
        <w:widowControl w:val="false"/>
        <w:rPr>
          <w:lang w:val="el-GR"/>
        </w:rPr>
      </w:pPr>
      <w:r>
        <w:rPr>
          <w:rStyle w:val="Style10"/>
        </w:rPr>
        <w:footnoteRef/>
      </w:r>
      <w:r>
        <w:rPr>
          <w:lang w:val="el-GR"/>
        </w:rPr>
        <w:tab/>
        <w:t>Πρβλ. άρθρο 201 του ν. 4412/2016, σε συνδυασμό με την περίπτωση στ΄ της παρ. 11 του</w:t>
      </w:r>
      <w:r>
        <w:rPr>
          <w:lang w:val="en-GB"/>
        </w:rPr>
        <w:t> </w:t>
      </w:r>
      <w:hyperlink r:id="rId5">
        <w:r>
          <w:rPr>
            <w:lang w:val="el-GR"/>
          </w:rPr>
          <w:t>άρθρου 221</w:t>
        </w:r>
      </w:hyperlink>
      <w:r>
        <w:rPr>
          <w:lang w:val="el-GR"/>
        </w:rPr>
        <w:t>. Ειδικά για την περίπτωση των Κεντρικών Αρχών Αγορών, για ζητήματα τροποποίησης συμφωνιών - πλαίσιο και συμβάσεων κεντρικών προμήθειών που συνάπτονται από αυτές, γνωμοδοτεί η επιτροπή της περ. α’ της παρ. 11 του άρθρου 221 ((επιτροπή διενέργειας/επιτροπή αξιολόγησης)</w:t>
      </w:r>
    </w:p>
  </w:footnote>
  <w:footnote w:id="153">
    <w:p>
      <w:pPr>
        <w:pStyle w:val="Style32"/>
        <w:widowControl w:val="false"/>
        <w:rPr>
          <w:lang w:val="el-GR"/>
        </w:rPr>
      </w:pPr>
      <w:r>
        <w:rPr>
          <w:rStyle w:val="Style10"/>
        </w:rPr>
        <w:footnoteRef/>
      </w:r>
      <w:r>
        <w:rPr>
          <w:lang w:val="el-GR"/>
        </w:rPr>
        <w:tab/>
        <w:t>Δυνατότητα της Α.Α. να προβλέψει στη διακήρυξη ρήτρες αναθεώρησης/ προαιρέσεις. Στην περίπτωση αυτή και εφόσον πρόκειται για σαφείς, ακριβείς και ρητές ρήτρες αναθεώρησης, στις οποίες μπορεί να περιλαμβάνονται και ρήτρες αναθεώρησης τιμών ή προαιρέσεις, επιτρέπεται η τροποποίηση της σύμβασης χωρίς νέα διαδικασία σύναψης, ανεξαρτήτως της χρηματικής αξίας της τροποποίησης. Οι ρήτρες αυτές αναφέρουν το αντικείμενο και τη φύση των ενδεχόμενων τροποποιήσεων ή προαιρέσεων, καθώς και τους όρους υπό τους οποίους μπορούν να ενεργοποιηθούν. Οι προβλεπόμενες τροποποιήσεις ή προαιρέσεις δεν  πρέπει να μεταβάλουν τη συνολική φύση της σύμβασης (Πρβλ. άρθρο 132 παρ. 1 α΄ του ν. 4412/2016).</w:t>
      </w:r>
    </w:p>
  </w:footnote>
  <w:footnote w:id="154">
    <w:p>
      <w:pPr>
        <w:pStyle w:val="Style32"/>
        <w:widowControl w:val="false"/>
        <w:rPr>
          <w:lang w:val="el-GR"/>
        </w:rPr>
      </w:pPr>
      <w:r>
        <w:rPr>
          <w:rStyle w:val="Style10"/>
        </w:rPr>
        <w:footnoteRef/>
      </w:r>
      <w:r>
        <w:rPr>
          <w:lang w:val="el-GR"/>
        </w:rPr>
        <w:tab/>
        <w:t xml:space="preserve">      </w:t>
      </w:r>
      <w:r>
        <w:rPr>
          <w:lang w:val="el-GR"/>
        </w:rPr>
        <w:t>Βλ. ιδίως την περ. γ΄ της παρ.4  του άρθρου 203 του ν. 4412/2016</w:t>
      </w:r>
    </w:p>
  </w:footnote>
  <w:footnote w:id="155">
    <w:p>
      <w:pPr>
        <w:pStyle w:val="Style32"/>
        <w:widowControl w:val="false"/>
        <w:rPr>
          <w:lang w:val="el-GR"/>
        </w:rPr>
      </w:pPr>
      <w:r>
        <w:rPr>
          <w:rStyle w:val="Style10"/>
        </w:rPr>
        <w:footnoteRef/>
      </w:r>
      <w:r>
        <w:rPr>
          <w:lang w:val="el-GR"/>
        </w:rPr>
        <w:tab/>
        <w:t xml:space="preserve">      </w:t>
      </w:r>
      <w:r>
        <w:rPr>
          <w:lang w:val="el-GR"/>
        </w:rPr>
        <w:t>Άρθρο 132, παρ. 1δ) περ. αα΄ του ν. 4412/2016.</w:t>
      </w:r>
    </w:p>
    <w:p>
      <w:pPr>
        <w:pStyle w:val="Style32"/>
        <w:widowControl w:val="false"/>
        <w:rPr>
          <w:lang w:val="el-GR"/>
        </w:rPr>
      </w:pPr>
      <w:r>
        <w:rPr>
          <w:lang w:val="el-GR"/>
        </w:rPr>
        <w:t xml:space="preserve"> </w:t>
      </w:r>
      <w:r>
        <w:rPr>
          <w:lang w:val="el-GR"/>
        </w:rPr>
        <w:t>Πρβλ., επίσης, Κατευθυντήρια Οδηγία 22 της Αρχής, με τίτλο «Τροποποίηση συμβάσεων κατά τη διάρκειά τους», Κεφάλαιο ΙΙΙ.Δ. σημείο Ι, σελ. 17 (ΑΔΑ: 7ΜΥΤΟΞΤΒ-ΖΓΖ).</w:t>
      </w:r>
    </w:p>
  </w:footnote>
  <w:footnote w:id="156">
    <w:p>
      <w:pPr>
        <w:pStyle w:val="Style32"/>
        <w:widowControl w:val="false"/>
        <w:rPr>
          <w:lang w:val="el-GR"/>
        </w:rPr>
      </w:pPr>
      <w:r>
        <w:rPr>
          <w:rStyle w:val="Style10"/>
        </w:rPr>
        <w:footnoteRef/>
      </w:r>
      <w:r>
        <w:rPr>
          <w:lang w:val="el-GR"/>
        </w:rPr>
        <w:tab/>
        <w:t>Άρθρο 133 του ν. 4412/2016 Δικαίωμα μονομερούς λύσης της σύμβασης</w:t>
      </w:r>
    </w:p>
  </w:footnote>
  <w:footnote w:id="157">
    <w:p>
      <w:pPr>
        <w:pStyle w:val="Style32"/>
        <w:widowControl w:val="false"/>
        <w:rPr>
          <w:lang w:val="el-GR"/>
        </w:rPr>
      </w:pPr>
      <w:r>
        <w:rPr>
          <w:rStyle w:val="Style10"/>
        </w:rPr>
        <w:footnoteRef/>
      </w:r>
      <w:r>
        <w:rPr>
          <w:lang w:val="el-GR"/>
        </w:rPr>
        <w:tab/>
        <w:t xml:space="preserve">     </w:t>
      </w:r>
      <w:r>
        <w:rPr>
          <w:lang w:val="el-GR"/>
        </w:rPr>
        <w:t>Για τα τιμολόγια που εκδίδονται κατά την εκτέλεση των δημοσίων συμβάσεων, ανεξαρτήτως αξίας αυτών, οι αναθέτουσες αρχές υποχρεούνται να παραλαμβάνουν και να επεξεργάζονται ηλεκτρονικά τιμολόγια που είναι σύμφωνα με το ευρωπαϊκό πρότυπο έκδοσης ηλεκτρονικών τιμολογίων, σύμφωνα με τις διατάξεις των άρθρων 148 έως και 153  του ν. 4601/2019 (Α΄44) και των, κατ’ εξουσιοδότηση του άρθρου 154 του νόμου αυτού, κανονιστικών αποφάσεων.</w:t>
      </w:r>
    </w:p>
  </w:footnote>
  <w:footnote w:id="158">
    <w:p>
      <w:pPr>
        <w:pStyle w:val="Style32"/>
        <w:widowControl w:val="false"/>
        <w:rPr>
          <w:lang w:val="el-GR"/>
        </w:rPr>
      </w:pPr>
      <w:r>
        <w:rPr>
          <w:rStyle w:val="Style10"/>
        </w:rPr>
        <w:footnoteRef/>
      </w:r>
      <w:r>
        <w:rPr>
          <w:lang w:val="el-GR"/>
        </w:rPr>
        <w:tab/>
        <w:t>Άρθρο 200 παρ. 4 του ν. 4412/2016, όπως τροποποιήθηκε με το άρθρο 102 του ν. 4782/2021.</w:t>
      </w:r>
    </w:p>
  </w:footnote>
  <w:footnote w:id="159">
    <w:p>
      <w:pPr>
        <w:pStyle w:val="Style32"/>
        <w:widowControl w:val="false"/>
        <w:rPr>
          <w:lang w:val="el-GR"/>
        </w:rPr>
      </w:pPr>
      <w:r>
        <w:rPr>
          <w:rStyle w:val="Style10"/>
        </w:rPr>
        <w:footnoteRef/>
      </w:r>
      <w:r>
        <w:rPr>
          <w:lang w:val="el-GR"/>
        </w:rPr>
        <w:tab/>
        <w:t>Ά</w:t>
      </w:r>
      <w:r>
        <w:rPr>
          <w:szCs w:val="18"/>
          <w:lang w:val="el-GR"/>
        </w:rPr>
        <w:t>ρθρο 350,  παρ. 3  του ν. 4412/2016, όπως ισχύει.</w:t>
      </w:r>
    </w:p>
  </w:footnote>
  <w:footnote w:id="160">
    <w:p>
      <w:pPr>
        <w:pStyle w:val="Style32"/>
        <w:widowControl w:val="false"/>
        <w:rPr>
          <w:lang w:val="el-GR"/>
        </w:rPr>
      </w:pPr>
      <w:r>
        <w:rPr>
          <w:rStyle w:val="Style10"/>
        </w:rPr>
        <w:footnoteRef/>
      </w:r>
      <w:r>
        <w:rPr>
          <w:lang w:val="el-GR"/>
        </w:rPr>
        <w:tab/>
        <w:t xml:space="preserve">Πρβλ. παρ. 1 άρθρου 25 του  ν. 5039/2023 (Α' 83), σύμφωνα με την οποία: </w:t>
      </w:r>
      <w:r>
        <w:rPr>
          <w:i/>
          <w:lang w:val="el-GR"/>
        </w:rPr>
        <w:t>«Στο άρθρο 376 του ν. 4412/2016 (Α’ 147) περί μεταβατικών διατάξεων, προστίθεται παρ. 18, ως εξής: «18. Μέχρι την έκδοση της κοινής απόφασης της παρ. 6 του άρθρου 36 η κράτηση της παρ. 1 του ιδίου άρθρου του πρώτου εδαφίου της ιδίας παραγράφου δεν επιβάλλεται.»</w:t>
      </w:r>
    </w:p>
  </w:footnote>
  <w:footnote w:id="161">
    <w:p>
      <w:pPr>
        <w:pStyle w:val="Style32"/>
        <w:widowControl w:val="false"/>
        <w:rPr>
          <w:lang w:val="el-GR"/>
        </w:rPr>
      </w:pPr>
      <w:r>
        <w:rPr>
          <w:rStyle w:val="Style10"/>
        </w:rPr>
        <w:footnoteRef/>
      </w:r>
      <w:r>
        <w:rPr>
          <w:lang w:val="el-GR"/>
        </w:rPr>
        <w:tab/>
        <w:t>Άρθρο 203 του ν. 4412/2016</w:t>
      </w:r>
    </w:p>
  </w:footnote>
  <w:footnote w:id="162">
    <w:p>
      <w:pPr>
        <w:pStyle w:val="Style32"/>
        <w:widowControl w:val="false"/>
        <w:rPr>
          <w:lang w:val="el-GR"/>
        </w:rPr>
      </w:pPr>
      <w:r>
        <w:rPr>
          <w:rStyle w:val="Style10"/>
        </w:rPr>
        <w:footnoteRef/>
      </w:r>
      <w:r>
        <w:rPr/>
      </w:r>
    </w:p>
  </w:footnote>
  <w:footnote w:id="163">
    <w:p>
      <w:pPr>
        <w:pStyle w:val="Style32"/>
        <w:widowControl w:val="false"/>
        <w:rPr>
          <w:lang w:val="el-GR"/>
        </w:rPr>
      </w:pPr>
      <w:r>
        <w:rPr>
          <w:rStyle w:val="Style10"/>
        </w:rPr>
        <w:footnoteRef/>
      </w:r>
      <w:r>
        <w:rPr>
          <w:lang w:val="el-GR"/>
        </w:rPr>
        <w:tab/>
        <w:t>Άρθρο 207 του ν. 4412/2016.</w:t>
      </w:r>
    </w:p>
  </w:footnote>
  <w:footnote w:id="164">
    <w:p>
      <w:pPr>
        <w:pStyle w:val="Style32"/>
        <w:widowControl w:val="false"/>
        <w:rPr>
          <w:lang w:val="el-GR"/>
        </w:rPr>
      </w:pPr>
      <w:r>
        <w:rPr>
          <w:rStyle w:val="Style10"/>
        </w:rPr>
        <w:footnoteRef/>
      </w:r>
      <w:r>
        <w:rPr>
          <w:lang w:val="el-GR"/>
        </w:rPr>
        <w:tab/>
        <w:t>Άρθρο 205 του ν. 4412/2016. Για την εξέταση των προβλεπόμενων προσφυγών, συγκροτείται ειδικό γνωμοδοτικό όργανο, τριμελές ή πενταμελές), τα μέλη του οποίου είναι διαφορετικά από τα μέλη του γνωμοδοτικού οργάνου που είναι αρμόδιο για τα υπόλοιπα θέματα που ανακύπτουν κατά τη διαδικασία εκτέλεσης.</w:t>
      </w:r>
    </w:p>
  </w:footnote>
  <w:footnote w:id="165">
    <w:p>
      <w:pPr>
        <w:pStyle w:val="Style32"/>
        <w:widowControl w:val="false"/>
        <w:rPr>
          <w:lang w:val="el-GR"/>
        </w:rPr>
      </w:pPr>
      <w:r>
        <w:rPr>
          <w:rStyle w:val="Style10"/>
        </w:rPr>
        <w:footnoteRef/>
      </w:r>
      <w:r>
        <w:rPr>
          <w:lang w:val="el-GR"/>
        </w:rPr>
        <w:tab/>
        <w:t>Άρθρο 205Α του ν. 4412/2016.</w:t>
      </w:r>
    </w:p>
  </w:footnote>
  <w:footnote w:id="166">
    <w:p>
      <w:pPr>
        <w:pStyle w:val="Style32"/>
        <w:widowControl w:val="false"/>
        <w:rPr>
          <w:lang w:val="el-GR"/>
        </w:rPr>
      </w:pPr>
      <w:r>
        <w:rPr>
          <w:rStyle w:val="Style10"/>
        </w:rPr>
        <w:footnoteRef/>
      </w:r>
      <w:r>
        <w:rPr>
          <w:lang w:val="el-GR"/>
        </w:rPr>
        <w:tab/>
        <w:t xml:space="preserve">      </w:t>
      </w:r>
      <w:r>
        <w:rPr>
          <w:lang w:val="el-GR"/>
        </w:rPr>
        <w:t>Παρ. 1 και 2 άρθρου 206</w:t>
      </w:r>
    </w:p>
  </w:footnote>
  <w:footnote w:id="167">
    <w:p>
      <w:pPr>
        <w:pStyle w:val="Style32"/>
        <w:widowControl w:val="false"/>
        <w:rPr>
          <w:i/>
          <w:i/>
          <w:color w:val="FF0000"/>
          <w:lang w:val="el-GR"/>
        </w:rPr>
      </w:pPr>
      <w:r>
        <w:rPr>
          <w:rStyle w:val="Style10"/>
        </w:rPr>
        <w:footnoteRef/>
      </w:r>
      <w:r>
        <w:rPr>
          <w:lang w:val="el-GR"/>
        </w:rPr>
        <w:tab/>
        <w:t xml:space="preserve">Άρθρο 221 παρ. 11 β) του ν. 4412/2016: </w:t>
      </w:r>
      <w:r>
        <w:rPr>
          <w:i/>
          <w:lang w:val="el-GR"/>
        </w:rPr>
        <w:t>«Για την παρακολούθηση και την παραλαβή της σύμβασης προμήθειας συγκροτείται τριμελής ή πενταμελής επιτροπή παρακολούθησης και παραλαβής με απόφαση του αρμόδιου οργάνου της αναθέτουσας αρχής ή του φορέα εκτέλεσης της σύμβασης. Εφόσον απαιτούνται ειδικές γνώσεις, ένα τουλάχιστον μέλος της επιτροπής πρέπει να έχει την αντίστοιχη ειδικότητα. Εφόσον μεταξύ των υπηρετούντων στην αναθέτουσα αρχή δεν υπάρχει υπάλληλος με την αντίστοιχη ειδικότητα, η αναθέτουσα αρχή ζητεί τη συνδρομή άλλων φορέων του δημοσίου ή του ευρύτερου δημοσίου τομέα. Το όργανο αυτό εισηγείται για όλα τα θέματα παραλαβής του φυσικού αντικειμένου της σύμβασης, προβαίνοντας σε μακροσκοπικούς, λειτουργικούς ή και επιχειρησιακούς ελέγχους του προς παραλαβή αντικειμένου της σύμβασης, εφόσον προβλέπεται από τη σύμβαση ή κρίνεται αναγκαίο, συντάσσει τα σχετικά πρωτόκολλα, παρακολουθεί και ελέγχει την προσήκουσα εκτέλεση όλων των όρων της σύμβασης και την εκπλήρωση των υποχρεώσεων του αναδόχου και εισηγείται τη λήψη των επιβεβλημένων μέτρων λόγω μη τήρησης των ως άνω όρων. Με απόφαση του αρμόδιου αποφαινομένου οργάνου μπορεί να συγκροτείται δευτεροβάθμια επιτροπή παρακολούθησης και παραλαβής με τις παραπάνω αρμοδιότητες. […]»</w:t>
      </w:r>
    </w:p>
    <w:p>
      <w:pPr>
        <w:pStyle w:val="Style32"/>
        <w:widowControl w:val="false"/>
        <w:rPr>
          <w:lang w:val="el-GR"/>
        </w:rPr>
      </w:pPr>
      <w:r>
        <w:rPr>
          <w:lang w:val="el-GR"/>
        </w:rPr>
        <w:t xml:space="preserve">”   </w:t>
      </w:r>
      <w:r>
        <w:rPr>
          <w:lang w:val="el-GR"/>
        </w:rPr>
        <w:t>Το κείμενο της διάταξης είναι διαφορετικό (εν μέρει, τουλάχιστον).</w:t>
      </w:r>
    </w:p>
  </w:footnote>
  <w:footnote w:id="168">
    <w:p>
      <w:pPr>
        <w:pStyle w:val="Style32"/>
        <w:widowControl w:val="false"/>
        <w:rPr>
          <w:lang w:val="el-GR"/>
        </w:rPr>
      </w:pPr>
      <w:r>
        <w:rPr>
          <w:rStyle w:val="Style10"/>
        </w:rPr>
        <w:footnoteRef/>
      </w:r>
      <w:r>
        <w:rPr>
          <w:lang w:val="el-GR"/>
        </w:rPr>
        <w:tab/>
        <w:t>Στο άρθρο αυτό η Α.Α. μπορεί να χρησιμοποιήσει μεταβατικά τις οδηγίες που δίνονται στην ΥΑ Π1/2489/6.09.1995 (Β΄ 764), η οποία δεν έχει καταργηθεί.</w:t>
      </w:r>
    </w:p>
  </w:footnote>
  <w:footnote w:id="169">
    <w:p>
      <w:pPr>
        <w:pStyle w:val="Style32"/>
        <w:widowControl w:val="false"/>
        <w:rPr>
          <w:lang w:val="el-GR"/>
        </w:rPr>
      </w:pPr>
      <w:r>
        <w:rPr>
          <w:rStyle w:val="Style10"/>
        </w:rPr>
        <w:footnoteRef/>
      </w:r>
      <w:r>
        <w:rPr>
          <w:lang w:val="el-GR"/>
        </w:rPr>
        <w:tab/>
        <w:t>Άρθρο 215 του ν. 4412/2016</w:t>
      </w:r>
    </w:p>
  </w:footnote>
  <w:footnote w:id="170">
    <w:p>
      <w:pPr>
        <w:pStyle w:val="Style32"/>
        <w:widowControl w:val="false"/>
        <w:rPr>
          <w:lang w:val="el-GR"/>
        </w:rPr>
      </w:pPr>
      <w:r>
        <w:rPr>
          <w:rStyle w:val="Style10"/>
        </w:rPr>
        <w:footnoteRef/>
      </w:r>
      <w:r>
        <w:rPr>
          <w:lang w:val="el-GR"/>
        </w:rPr>
        <w:tab/>
        <w:t>Πρβλ άρθρο 215  του ν. 4412/2016</w:t>
      </w:r>
    </w:p>
  </w:footnote>
  <w:footnote w:id="171">
    <w:p>
      <w:pPr>
        <w:pStyle w:val="Style32"/>
        <w:widowControl w:val="false"/>
        <w:rPr>
          <w:i/>
          <w:i/>
          <w:lang w:val="el-GR"/>
        </w:rPr>
      </w:pPr>
      <w:r>
        <w:rPr>
          <w:rStyle w:val="Style10"/>
        </w:rPr>
        <w:footnoteRef/>
      </w:r>
      <w:r>
        <w:rPr>
          <w:lang w:val="el-GR"/>
        </w:rPr>
        <w:tab/>
        <w:t xml:space="preserve">Άρθρο 53 παρ. 9 και 9α του ν. 4412/2016. Πρβλ και την με αριθμ. πρωτ. 95213/05-10-2022 εγκύκλιο του Υπουργείου Ανάπτυξης και Επενδύσεων, με θέμα  </w:t>
      </w:r>
      <w:r>
        <w:rPr>
          <w:i/>
          <w:lang w:val="el-GR"/>
        </w:rPr>
        <w:t>«Εγκύκλιος  εφαρμογής των παρ. 9 έως 10</w:t>
      </w:r>
      <w:r>
        <w:rPr>
          <w:i/>
          <w:vertAlign w:val="superscript"/>
          <w:lang w:val="el-GR"/>
        </w:rPr>
        <w:t>α</w:t>
      </w:r>
      <w:r>
        <w:rPr>
          <w:i/>
          <w:lang w:val="el-GR"/>
        </w:rPr>
        <w:t xml:space="preserve"> του άρθρου 53 του ν.4412/2016, περί εφαρμογής της ρήτρας αναπροσαρμογής των τιμών στις δημόσιες συμβάσεις προμηθειών και υπηρεσιών» (ΑΔΑ: 6Μ8Ο46ΜΤΛΡ-ΔΛΓ).</w:t>
      </w:r>
    </w:p>
  </w:footnote>
  <w:footnote w:id="172">
    <w:p>
      <w:pPr>
        <w:pStyle w:val="Style32"/>
        <w:widowControl w:val="false"/>
        <w:rPr>
          <w:lang w:val="el-GR"/>
        </w:rPr>
      </w:pPr>
      <w:r>
        <w:rPr>
          <w:rStyle w:val="Style10"/>
        </w:rPr>
        <w:footnoteRef/>
      </w:r>
      <w:r>
        <w:rPr>
          <w:lang w:val="el-GR"/>
        </w:rPr>
        <w:tab/>
        <w:t xml:space="preserve"> </w:t>
      </w:r>
      <w:r>
        <w:rPr>
          <w:lang w:val="el-GR"/>
        </w:rPr>
        <w:t xml:space="preserve">Πρβλ. ιδίως  Ελ.Συν Τμ. </w:t>
      </w:r>
      <w:r>
        <w:rPr>
          <w:lang w:val="en-US"/>
        </w:rPr>
        <w:t>VI</w:t>
      </w:r>
      <w:r>
        <w:rPr>
          <w:lang w:val="el-GR"/>
        </w:rPr>
        <w:t xml:space="preserve"> 57/2011,   Κλ. ΣΤ΄373/2019 &amp; 158/2019</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31"/>
      <w:spacing w:before="0" w:after="120"/>
      <w:rPr/>
    </w:pPr>
    <w:r>
      <w:rPr/>
      <w:drawing>
        <wp:inline distT="0" distB="0" distL="0" distR="0">
          <wp:extent cx="6096000" cy="781050"/>
          <wp:effectExtent l="0" t="0" r="0" b="0"/>
          <wp:docPr id="1" name="Εικόνα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1" descr=""/>
                  <pic:cNvPicPr>
                    <a:picLocks noChangeAspect="1" noChangeArrowheads="1"/>
                  </pic:cNvPicPr>
                </pic:nvPicPr>
                <pic:blipFill>
                  <a:blip r:embed="rId1"/>
                  <a:srcRect l="-30" t="-184" r="-30" b="-184"/>
                  <a:stretch>
                    <a:fillRect/>
                  </a:stretch>
                </pic:blipFill>
                <pic:spPr bwMode="auto">
                  <a:xfrm>
                    <a:off x="0" y="0"/>
                    <a:ext cx="6096000" cy="781050"/>
                  </a:xfrm>
                  <a:prstGeom prst="rect">
                    <a:avLst/>
                  </a:prstGeom>
                </pic:spPr>
              </pic:pic>
            </a:graphicData>
          </a:graphic>
        </wp:inline>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432" w:hanging="432"/>
      </w:pPr>
      <w:rPr/>
    </w:lvl>
    <w:lvl w:ilvl="1">
      <w:start w:val="1"/>
      <w:numFmt w:val="none"/>
      <w:suff w:val="nothing"/>
      <w:lvlText w:val=""/>
      <w:lvlJc w:val="left"/>
      <w:pPr>
        <w:tabs>
          <w:tab w:val="num" w:pos="0"/>
        </w:tabs>
        <w:ind w:left="576" w:hanging="576"/>
      </w:pPr>
      <w:rPr/>
    </w:lvl>
    <w:lvl w:ilvl="2">
      <w:start w:val="1"/>
      <w:numFmt w:val="none"/>
      <w:suff w:val="nothing"/>
      <w:lvlText w:val=""/>
      <w:lvlJc w:val="left"/>
      <w:pPr>
        <w:tabs>
          <w:tab w:val="num" w:pos="0"/>
        </w:tabs>
        <w:ind w:left="720" w:hanging="720"/>
      </w:pPr>
      <w:rPr/>
    </w:lvl>
    <w:lvl w:ilvl="3">
      <w:start w:val="1"/>
      <w:numFmt w:val="none"/>
      <w:suff w:val="nothing"/>
      <w:lvlText w:val=""/>
      <w:lvlJc w:val="left"/>
      <w:pPr>
        <w:tabs>
          <w:tab w:val="num" w:pos="0"/>
        </w:tabs>
        <w:ind w:left="864" w:hanging="864"/>
      </w:pPr>
      <w:rPr/>
    </w:lvl>
    <w:lvl w:ilvl="4">
      <w:start w:val="1"/>
      <w:pStyle w:val="5"/>
      <w:numFmt w:val="lowerLetter"/>
      <w:lvlText w:val="()%5"/>
      <w:lvlJc w:val="left"/>
      <w:pPr>
        <w:tabs>
          <w:tab w:val="num" w:pos="3050"/>
        </w:tabs>
        <w:ind w:left="3050" w:hanging="850"/>
      </w:pPr>
      <w:rPr>
        <w:sz w:val="20"/>
        <w:i w:val="false"/>
        <w:b w:val="false"/>
        <w:szCs w:val="20"/>
        <w:rFonts w:ascii="Arial" w:hAnsi="Arial" w:cs="Times New Roman"/>
      </w:rPr>
    </w:lvl>
    <w:lvl w:ilvl="5">
      <w:start w:val="1"/>
      <w:numFmt w:val="none"/>
      <w:suff w:val="nothing"/>
      <w:lvlText w:val=""/>
      <w:lvlJc w:val="left"/>
      <w:pPr>
        <w:tabs>
          <w:tab w:val="num" w:pos="0"/>
        </w:tabs>
        <w:ind w:left="1152" w:hanging="1152"/>
      </w:pPr>
      <w:rPr/>
    </w:lvl>
    <w:lvl w:ilvl="6">
      <w:start w:val="1"/>
      <w:numFmt w:val="none"/>
      <w:suff w:val="nothing"/>
      <w:lvlText w:val=""/>
      <w:lvlJc w:val="left"/>
      <w:pPr>
        <w:tabs>
          <w:tab w:val="num" w:pos="0"/>
        </w:tabs>
        <w:ind w:left="1296" w:hanging="1296"/>
      </w:pPr>
      <w:rPr/>
    </w:lvl>
    <w:lvl w:ilvl="7">
      <w:start w:val="1"/>
      <w:numFmt w:val="none"/>
      <w:suff w:val="nothing"/>
      <w:lvlText w:val=""/>
      <w:lvlJc w:val="left"/>
      <w:pPr>
        <w:tabs>
          <w:tab w:val="num" w:pos="0"/>
        </w:tabs>
        <w:ind w:left="1440" w:hanging="1440"/>
      </w:pPr>
      <w:rPr/>
    </w:lvl>
    <w:lvl w:ilvl="8">
      <w:start w:val="1"/>
      <w:numFmt w:val="none"/>
      <w:suff w:val="nothing"/>
      <w:lvlText w:val=""/>
      <w:lvlJc w:val="left"/>
      <w:pPr>
        <w:tabs>
          <w:tab w:val="num" w:pos="0"/>
        </w:tabs>
        <w:ind w:left="1584" w:hanging="1584"/>
      </w:pPr>
      <w:rPr/>
    </w:lvl>
  </w:abstractNum>
  <w:abstractNum w:abstractNumId="2">
    <w:lvl w:ilvl="0">
      <w:start w:val="1"/>
      <w:numFmt w:val="bullet"/>
      <w:lvlText w:val=""/>
      <w:lvlJc w:val="left"/>
      <w:pPr>
        <w:tabs>
          <w:tab w:val="num" w:pos="643"/>
        </w:tabs>
        <w:ind w:left="643" w:hanging="360"/>
      </w:pPr>
      <w:rPr>
        <w:rFonts w:ascii="Symbol" w:hAnsi="Symbol" w:cs="Symbol" w:hint="default"/>
        <w:lang w:val="el-G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3">
    <w:lvl w:ilvl="0">
      <w:start w:val="1"/>
      <w:numFmt w:val="decimal"/>
      <w:lvlText w:val="%1."/>
      <w:lvlJc w:val="left"/>
      <w:pPr>
        <w:tabs>
          <w:tab w:val="num" w:pos="0"/>
        </w:tabs>
        <w:ind w:left="720" w:hanging="360"/>
      </w:pPr>
      <w:rPr>
        <w:lang w:val="el-G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4">
    <w:lvl w:ilvl="0">
      <w:start w:val="1"/>
      <w:numFmt w:val="bullet"/>
      <w:lvlText w:val=""/>
      <w:lvlJc w:val="left"/>
      <w:pPr>
        <w:tabs>
          <w:tab w:val="num" w:pos="397"/>
        </w:tabs>
        <w:ind w:left="397" w:hanging="397"/>
      </w:pPr>
      <w:rPr>
        <w:rFonts w:ascii="Webdings" w:hAnsi="Webdings" w:cs="Webdings" w:hint="default"/>
        <w:sz w:val="16"/>
        <w:color w:val="333399"/>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5">
    <w:lvl w:ilvl="0">
      <w:start w:val="1"/>
      <w:numFmt w:val="bullet"/>
      <w:lvlText w:val=""/>
      <w:lvlJc w:val="left"/>
      <w:pPr>
        <w:tabs>
          <w:tab w:val="num" w:pos="0"/>
        </w:tabs>
        <w:ind w:left="1440" w:hanging="360"/>
      </w:pPr>
      <w:rPr>
        <w:rFonts w:ascii="Symbol" w:hAnsi="Symbol" w:cs="Symbol" w:hint="default"/>
        <w:kern w:val="2"/>
        <w:shd w:fill="C0C0C0" w:val="clear"/>
        <w:lang w:val="el-G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6">
    <w:lvl w:ilvl="0">
      <w:start w:val="1"/>
      <w:numFmt w:val="bullet"/>
      <w:lvlText w:val=""/>
      <w:lvlJc w:val="left"/>
      <w:pPr>
        <w:tabs>
          <w:tab w:val="num" w:pos="0"/>
        </w:tabs>
        <w:ind w:left="720" w:hanging="360"/>
      </w:pPr>
      <w:rPr>
        <w:rFonts w:ascii="Symbol" w:hAnsi="Symbol" w:cs="Symbol" w:hint="default"/>
        <w:lang w:val="el-G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7">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8">
    <w:lvl w:ilvl="0">
      <w:start w:val="1"/>
      <w:numFmt w:val="bullet"/>
      <w:lvlText w:val="-"/>
      <w:lvlJc w:val="left"/>
      <w:pPr>
        <w:tabs>
          <w:tab w:val="num" w:pos="0"/>
        </w:tabs>
        <w:ind w:left="720" w:hanging="360"/>
      </w:pPr>
      <w:rPr>
        <w:rFonts w:ascii="Angsana New" w:hAnsi="Angsana New" w:cs="Angsana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lvl w:ilvl="0">
      <w:start w:val="1"/>
      <w:numFmt w:val="bullet"/>
      <w:lvlText w:val=""/>
      <w:lvlJc w:val="left"/>
      <w:pPr>
        <w:tabs>
          <w:tab w:val="num" w:pos="0"/>
        </w:tabs>
        <w:ind w:left="766" w:hanging="360"/>
      </w:pPr>
      <w:rPr>
        <w:rFonts w:ascii="Wingdings" w:hAnsi="Wingdings" w:cs="Wingdings" w:hint="default"/>
      </w:rPr>
    </w:lvl>
    <w:lvl w:ilvl="1">
      <w:start w:val="1"/>
      <w:numFmt w:val="bullet"/>
      <w:lvlText w:val="o"/>
      <w:lvlJc w:val="left"/>
      <w:pPr>
        <w:tabs>
          <w:tab w:val="num" w:pos="0"/>
        </w:tabs>
        <w:ind w:left="1486" w:hanging="360"/>
      </w:pPr>
      <w:rPr>
        <w:rFonts w:ascii="Courier New" w:hAnsi="Courier New" w:cs="Courier New" w:hint="default"/>
      </w:rPr>
    </w:lvl>
    <w:lvl w:ilvl="2">
      <w:start w:val="1"/>
      <w:numFmt w:val="bullet"/>
      <w:lvlText w:val=""/>
      <w:lvlJc w:val="left"/>
      <w:pPr>
        <w:tabs>
          <w:tab w:val="num" w:pos="0"/>
        </w:tabs>
        <w:ind w:left="2206" w:hanging="360"/>
      </w:pPr>
      <w:rPr>
        <w:rFonts w:ascii="Wingdings" w:hAnsi="Wingdings" w:cs="Wingdings" w:hint="default"/>
      </w:rPr>
    </w:lvl>
    <w:lvl w:ilvl="3">
      <w:start w:val="1"/>
      <w:numFmt w:val="bullet"/>
      <w:lvlText w:val=""/>
      <w:lvlJc w:val="left"/>
      <w:pPr>
        <w:tabs>
          <w:tab w:val="num" w:pos="0"/>
        </w:tabs>
        <w:ind w:left="2926" w:hanging="360"/>
      </w:pPr>
      <w:rPr>
        <w:rFonts w:ascii="Symbol" w:hAnsi="Symbol" w:cs="Symbol" w:hint="default"/>
      </w:rPr>
    </w:lvl>
    <w:lvl w:ilvl="4">
      <w:start w:val="1"/>
      <w:numFmt w:val="bullet"/>
      <w:lvlText w:val="o"/>
      <w:lvlJc w:val="left"/>
      <w:pPr>
        <w:tabs>
          <w:tab w:val="num" w:pos="0"/>
        </w:tabs>
        <w:ind w:left="3646" w:hanging="360"/>
      </w:pPr>
      <w:rPr>
        <w:rFonts w:ascii="Courier New" w:hAnsi="Courier New" w:cs="Courier New" w:hint="default"/>
      </w:rPr>
    </w:lvl>
    <w:lvl w:ilvl="5">
      <w:start w:val="1"/>
      <w:numFmt w:val="bullet"/>
      <w:lvlText w:val=""/>
      <w:lvlJc w:val="left"/>
      <w:pPr>
        <w:tabs>
          <w:tab w:val="num" w:pos="0"/>
        </w:tabs>
        <w:ind w:left="4366" w:hanging="360"/>
      </w:pPr>
      <w:rPr>
        <w:rFonts w:ascii="Wingdings" w:hAnsi="Wingdings" w:cs="Wingdings" w:hint="default"/>
      </w:rPr>
    </w:lvl>
    <w:lvl w:ilvl="6">
      <w:start w:val="1"/>
      <w:numFmt w:val="bullet"/>
      <w:lvlText w:val=""/>
      <w:lvlJc w:val="left"/>
      <w:pPr>
        <w:tabs>
          <w:tab w:val="num" w:pos="0"/>
        </w:tabs>
        <w:ind w:left="5086" w:hanging="360"/>
      </w:pPr>
      <w:rPr>
        <w:rFonts w:ascii="Symbol" w:hAnsi="Symbol" w:cs="Symbol" w:hint="default"/>
      </w:rPr>
    </w:lvl>
    <w:lvl w:ilvl="7">
      <w:start w:val="1"/>
      <w:numFmt w:val="bullet"/>
      <w:lvlText w:val="o"/>
      <w:lvlJc w:val="left"/>
      <w:pPr>
        <w:tabs>
          <w:tab w:val="num" w:pos="0"/>
        </w:tabs>
        <w:ind w:left="5806" w:hanging="360"/>
      </w:pPr>
      <w:rPr>
        <w:rFonts w:ascii="Courier New" w:hAnsi="Courier New" w:cs="Courier New" w:hint="default"/>
      </w:rPr>
    </w:lvl>
    <w:lvl w:ilvl="8">
      <w:start w:val="1"/>
      <w:numFmt w:val="bullet"/>
      <w:lvlText w:val=""/>
      <w:lvlJc w:val="left"/>
      <w:pPr>
        <w:tabs>
          <w:tab w:val="num" w:pos="0"/>
        </w:tabs>
        <w:ind w:left="6526" w:hanging="360"/>
      </w:pPr>
      <w:rPr>
        <w:rFonts w:ascii="Wingdings" w:hAnsi="Wingdings" w:cs="Wingdings"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w="http://schemas.openxmlformats.org/wordprocessingml/2006/main">
  <w:zoom w:percent="100"/>
  <w:embedSystemFonts/>
  <w:defaultTabStop w:val="720"/>
  <w:autoHyphenation w:val="true"/>
  <w:footnotePr>
    <w:numFmt w:val="decimal"/>
    <w:footnote w:id="0"/>
    <w:footnote w:id="1"/>
  </w:footnotePr>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l-GR" w:eastAsia="el-GR"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uiPriority="0"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uiPriority="0" w:semiHidden="1" w:unhideWhenUsed="1"/>
    <w:lsdException w:name="endnote text" w:uiPriority="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f0746c"/>
    <w:pPr>
      <w:widowControl/>
      <w:suppressAutoHyphens w:val="true"/>
      <w:bidi w:val="0"/>
      <w:spacing w:before="0" w:after="120"/>
      <w:jc w:val="both"/>
    </w:pPr>
    <w:rPr>
      <w:rFonts w:ascii="Calibri" w:hAnsi="Calibri" w:eastAsia="Times New Roman" w:cs="Calibri"/>
      <w:color w:val="auto"/>
      <w:kern w:val="0"/>
      <w:sz w:val="22"/>
      <w:szCs w:val="24"/>
      <w:lang w:val="en-GB" w:eastAsia="ar-SA" w:bidi="ar-SA"/>
    </w:rPr>
  </w:style>
  <w:style w:type="paragraph" w:styleId="1">
    <w:name w:val="Heading 1"/>
    <w:basedOn w:val="Normal"/>
    <w:next w:val="Normal"/>
    <w:uiPriority w:val="9"/>
    <w:qFormat/>
    <w:pPr>
      <w:keepNext w:val="true"/>
      <w:pageBreakBefore/>
      <w:pBdr>
        <w:bottom w:val="single" w:sz="20" w:space="1" w:color="000080"/>
      </w:pBdr>
      <w:spacing w:before="320" w:after="160"/>
      <w:outlineLvl w:val="0"/>
    </w:pPr>
    <w:rPr>
      <w:rFonts w:ascii="Arial" w:hAnsi="Arial" w:cs="Arial"/>
      <w:b/>
      <w:bCs/>
      <w:color w:val="333399"/>
      <w:sz w:val="28"/>
      <w:szCs w:val="32"/>
      <w:lang w:val="en-US"/>
    </w:rPr>
  </w:style>
  <w:style w:type="paragraph" w:styleId="2">
    <w:name w:val="Heading 2"/>
    <w:basedOn w:val="1"/>
    <w:next w:val="Normal"/>
    <w:link w:val="2Char"/>
    <w:uiPriority w:val="9"/>
    <w:qFormat/>
    <w:pPr>
      <w:pageBreakBefore w:val="false"/>
      <w:pBdr>
        <w:bottom w:val="single" w:sz="8" w:space="1" w:color="000080"/>
      </w:pBdr>
      <w:tabs>
        <w:tab w:val="clear" w:pos="720"/>
        <w:tab w:val="left" w:pos="567" w:leader="none"/>
      </w:tabs>
      <w:spacing w:before="240" w:after="80"/>
      <w:ind w:left="567" w:hanging="567"/>
      <w:outlineLvl w:val="1"/>
    </w:pPr>
    <w:rPr>
      <w:bCs w:val="false"/>
      <w:color w:val="002060"/>
      <w:sz w:val="24"/>
      <w:szCs w:val="22"/>
      <w:lang w:val="en-GB"/>
    </w:rPr>
  </w:style>
  <w:style w:type="paragraph" w:styleId="3">
    <w:name w:val="Heading 3"/>
    <w:basedOn w:val="Normal"/>
    <w:next w:val="Normal"/>
    <w:uiPriority w:val="9"/>
    <w:qFormat/>
    <w:pPr>
      <w:keepNext w:val="true"/>
      <w:spacing w:before="240" w:after="60"/>
      <w:ind w:left="567" w:hanging="567"/>
      <w:outlineLvl w:val="2"/>
    </w:pPr>
    <w:rPr>
      <w:rFonts w:ascii="Arial" w:hAnsi="Arial" w:cs="Times New Roman"/>
      <w:b/>
      <w:bCs/>
      <w:szCs w:val="26"/>
    </w:rPr>
  </w:style>
  <w:style w:type="paragraph" w:styleId="4">
    <w:name w:val="Heading 4"/>
    <w:basedOn w:val="Normal"/>
    <w:next w:val="Normal"/>
    <w:uiPriority w:val="9"/>
    <w:qFormat/>
    <w:pPr>
      <w:keepNext w:val="true"/>
      <w:spacing w:before="240" w:after="60"/>
      <w:outlineLvl w:val="3"/>
    </w:pPr>
    <w:rPr>
      <w:rFonts w:ascii="Arial" w:hAnsi="Arial" w:cs="Times New Roman"/>
      <w:b/>
      <w:bCs/>
      <w:szCs w:val="28"/>
    </w:rPr>
  </w:style>
  <w:style w:type="paragraph" w:styleId="5">
    <w:name w:val="Heading 5"/>
    <w:basedOn w:val="Normal"/>
    <w:next w:val="Normal"/>
    <w:uiPriority w:val="9"/>
    <w:qFormat/>
    <w:pPr>
      <w:numPr>
        <w:ilvl w:val="4"/>
        <w:numId w:val="1"/>
      </w:numPr>
      <w:spacing w:lineRule="exact" w:line="280" w:before="200" w:after="200"/>
      <w:outlineLvl w:val="4"/>
    </w:pPr>
    <w:rPr>
      <w:rFonts w:ascii="Lucida Sans" w:hAnsi="Lucida Sans" w:cs="Lucida Sans"/>
      <w:b/>
      <w:szCs w:val="20"/>
      <w:lang w:val="en-US"/>
    </w:rPr>
  </w:style>
  <w:style w:type="character" w:styleId="DefaultParagraphFont" w:default="1">
    <w:name w:val="Default Paragraph Font"/>
    <w:uiPriority w:val="1"/>
    <w:semiHidden/>
    <w:unhideWhenUsed/>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rFonts w:ascii="Arial" w:hAnsi="Arial" w:cs="Times New Roman"/>
      <w:b w:val="false"/>
      <w:i w:val="false"/>
      <w:sz w:val="20"/>
      <w:szCs w:val="20"/>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2z0" w:customStyle="1">
    <w:name w:val="WW8Num2z0"/>
    <w:qFormat/>
    <w:rPr>
      <w:rFonts w:ascii="Symbol" w:hAnsi="Symbol" w:cs="Symbol"/>
      <w:lang w:val="el-GR"/>
    </w:rPr>
  </w:style>
  <w:style w:type="character" w:styleId="WW8Num3z0" w:customStyle="1">
    <w:name w:val="WW8Num3z0"/>
    <w:qFormat/>
    <w:rPr>
      <w:lang w:val="el-GR"/>
    </w:rPr>
  </w:style>
  <w:style w:type="character" w:styleId="WW8Num4z0" w:customStyle="1">
    <w:name w:val="WW8Num4z0"/>
    <w:qFormat/>
    <w:rPr>
      <w:rFonts w:ascii="Webdings" w:hAnsi="Webdings" w:cs="Webdings"/>
      <w:color w:val="333399"/>
      <w:sz w:val="16"/>
    </w:rPr>
  </w:style>
  <w:style w:type="character" w:styleId="WW8Num5z0" w:customStyle="1">
    <w:name w:val="WW8Num5z0"/>
    <w:qFormat/>
    <w:rPr>
      <w:shd w:fill="FFFF00" w:val="clear"/>
      <w:lang w:val="el-GR"/>
    </w:rPr>
  </w:style>
  <w:style w:type="character" w:styleId="WW8Num6z0" w:customStyle="1">
    <w:name w:val="WW8Num6z0"/>
    <w:qFormat/>
    <w:rPr>
      <w:b/>
      <w:bCs/>
      <w:szCs w:val="22"/>
      <w:lang w:val="el-GR"/>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b/>
      <w:bCs/>
      <w:szCs w:val="22"/>
      <w:lang w:val="el-GR"/>
    </w:rPr>
  </w:style>
  <w:style w:type="character" w:styleId="WW8Num7z1" w:customStyle="1">
    <w:name w:val="WW8Num7z1"/>
    <w:qFormat/>
    <w:rPr>
      <w:rFonts w:eastAsia="Calibri"/>
      <w:lang w:val="el-GR"/>
    </w:rPr>
  </w:style>
  <w:style w:type="character" w:styleId="WW8Num7z2" w:customStyle="1">
    <w:name w:val="WW8Num7z2"/>
    <w:qFormat/>
    <w:rPr/>
  </w:style>
  <w:style w:type="character" w:styleId="WW8Num7z3" w:customStyle="1">
    <w:name w:val="WW8Num7z3"/>
    <w:qFormat/>
    <w:rPr/>
  </w:style>
  <w:style w:type="character" w:styleId="WW8Num7z4" w:customStyle="1">
    <w:name w:val="WW8Num7z4"/>
    <w:qFormat/>
    <w:rPr/>
  </w:style>
  <w:style w:type="character" w:styleId="WW8Num7z5" w:customStyle="1">
    <w:name w:val="WW8Num7z5"/>
    <w:qFormat/>
    <w:rPr/>
  </w:style>
  <w:style w:type="character" w:styleId="WW8Num7z6" w:customStyle="1">
    <w:name w:val="WW8Num7z6"/>
    <w:qFormat/>
    <w:rPr/>
  </w:style>
  <w:style w:type="character" w:styleId="WW8Num7z7" w:customStyle="1">
    <w:name w:val="WW8Num7z7"/>
    <w:qFormat/>
    <w:rPr/>
  </w:style>
  <w:style w:type="character" w:styleId="WW8Num7z8" w:customStyle="1">
    <w:name w:val="WW8Num7z8"/>
    <w:qFormat/>
    <w:rPr/>
  </w:style>
  <w:style w:type="character" w:styleId="WW8Num8z0" w:customStyle="1">
    <w:name w:val="WW8Num8z0"/>
    <w:qFormat/>
    <w:rPr>
      <w:rFonts w:ascii="Symbol" w:hAnsi="Symbol" w:cs="OpenSymbol"/>
      <w:color w:val="5B9BD5"/>
    </w:rPr>
  </w:style>
  <w:style w:type="character" w:styleId="WW8Num9z0" w:customStyle="1">
    <w:name w:val="WW8Num9z0"/>
    <w:qFormat/>
    <w:rPr>
      <w:rFonts w:ascii="Angsana New" w:hAnsi="Angsana New" w:cs="Angsana New"/>
      <w:color w:val="000000"/>
      <w:kern w:val="2"/>
      <w:szCs w:val="22"/>
      <w:shd w:fill="FFFFFF" w:val="clear"/>
      <w:lang w:val="el-GR"/>
    </w:rPr>
  </w:style>
  <w:style w:type="character" w:styleId="WW8Num10z0" w:customStyle="1">
    <w:name w:val="WW8Num10z0"/>
    <w:qFormat/>
    <w:rPr>
      <w:rFonts w:ascii="Symbol" w:hAnsi="Symbol" w:cs="Symbol"/>
      <w:kern w:val="2"/>
      <w:shd w:fill="C0C0C0" w:val="clear"/>
      <w:lang w:val="el-GR"/>
    </w:rPr>
  </w:style>
  <w:style w:type="character" w:styleId="WW8Num11z0" w:customStyle="1">
    <w:name w:val="WW8Num11z0"/>
    <w:qFormat/>
    <w:rPr>
      <w:rFonts w:ascii="Symbol" w:hAnsi="Symbol" w:cs="Symbol"/>
      <w:lang w:val="el-GR"/>
    </w:rPr>
  </w:style>
  <w:style w:type="character" w:styleId="WW8Num11z1" w:customStyle="1">
    <w:name w:val="WW8Num11z1"/>
    <w:qFormat/>
    <w:rPr>
      <w:rFonts w:ascii="Courier New" w:hAnsi="Courier New" w:cs="Courier New"/>
    </w:rPr>
  </w:style>
  <w:style w:type="character" w:styleId="WW8Num11z2" w:customStyle="1">
    <w:name w:val="WW8Num11z2"/>
    <w:qFormat/>
    <w:rPr>
      <w:rFonts w:ascii="Wingdings" w:hAnsi="Wingdings" w:cs="Wingdings"/>
    </w:rPr>
  </w:style>
  <w:style w:type="character" w:styleId="51" w:customStyle="1">
    <w:name w:val="Προεπιλεγμένη γραμματοσειρά5"/>
    <w:qFormat/>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 w:customStyle="1">
    <w:name w:val="WW-Προεπιλεγμένη γραμματοσειρά"/>
    <w:qFormat/>
    <w:rPr/>
  </w:style>
  <w:style w:type="character" w:styleId="WWDefaultParagraphFont" w:customStyle="1">
    <w:name w:val="WW-Default Paragraph Font"/>
    <w:qFormat/>
    <w:rPr/>
  </w:style>
  <w:style w:type="character" w:styleId="WW8Num8z1" w:customStyle="1">
    <w:name w:val="WW8Num8z1"/>
    <w:qFormat/>
    <w:rPr>
      <w:rFonts w:eastAsia="Calibri"/>
      <w:lang w:val="el-GR"/>
    </w:rPr>
  </w:style>
  <w:style w:type="character" w:styleId="WW8Num8z2" w:customStyle="1">
    <w:name w:val="WW8Num8z2"/>
    <w:qFormat/>
    <w:rPr/>
  </w:style>
  <w:style w:type="character" w:styleId="WW8Num8z3" w:customStyle="1">
    <w:name w:val="WW8Num8z3"/>
    <w:qFormat/>
    <w:rPr/>
  </w:style>
  <w:style w:type="character" w:styleId="WW8Num8z4" w:customStyle="1">
    <w:name w:val="WW8Num8z4"/>
    <w:qFormat/>
    <w:rPr/>
  </w:style>
  <w:style w:type="character" w:styleId="WW8Num8z5" w:customStyle="1">
    <w:name w:val="WW8Num8z5"/>
    <w:qFormat/>
    <w:rPr/>
  </w:style>
  <w:style w:type="character" w:styleId="WW8Num8z6" w:customStyle="1">
    <w:name w:val="WW8Num8z6"/>
    <w:qFormat/>
    <w:rPr/>
  </w:style>
  <w:style w:type="character" w:styleId="WW8Num8z7" w:customStyle="1">
    <w:name w:val="WW8Num8z7"/>
    <w:qFormat/>
    <w:rPr/>
  </w:style>
  <w:style w:type="character" w:styleId="WW8Num8z8" w:customStyle="1">
    <w:name w:val="WW8Num8z8"/>
    <w:qFormat/>
    <w:rPr/>
  </w:style>
  <w:style w:type="character" w:styleId="WW8Num11z3" w:customStyle="1">
    <w:name w:val="WW8Num11z3"/>
    <w:qFormat/>
    <w:rPr/>
  </w:style>
  <w:style w:type="character" w:styleId="WW8Num11z4" w:customStyle="1">
    <w:name w:val="WW8Num11z4"/>
    <w:qFormat/>
    <w:rPr/>
  </w:style>
  <w:style w:type="character" w:styleId="WW8Num11z5" w:customStyle="1">
    <w:name w:val="WW8Num11z5"/>
    <w:qFormat/>
    <w:rPr/>
  </w:style>
  <w:style w:type="character" w:styleId="WW8Num11z6" w:customStyle="1">
    <w:name w:val="WW8Num11z6"/>
    <w:qFormat/>
    <w:rPr/>
  </w:style>
  <w:style w:type="character" w:styleId="WW8Num11z7" w:customStyle="1">
    <w:name w:val="WW8Num11z7"/>
    <w:qFormat/>
    <w:rPr/>
  </w:style>
  <w:style w:type="character" w:styleId="WW8Num11z8" w:customStyle="1">
    <w:name w:val="WW8Num11z8"/>
    <w:qFormat/>
    <w:rPr/>
  </w:style>
  <w:style w:type="character" w:styleId="WWDefaultParagraphFont1" w:customStyle="1">
    <w:name w:val="WW-Default Paragraph Font1"/>
    <w:qFormat/>
    <w:rPr/>
  </w:style>
  <w:style w:type="character" w:styleId="41" w:customStyle="1">
    <w:name w:val="Προεπιλεγμένη γραμματοσειρά4"/>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rFonts w:ascii="Arial" w:hAnsi="Arial" w:cs="Times New Roman"/>
      <w:b w:val="false"/>
      <w:i w:val="false"/>
      <w:sz w:val="20"/>
      <w:szCs w:val="20"/>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WW8Num9z1" w:customStyle="1">
    <w:name w:val="WW8Num9z1"/>
    <w:qFormat/>
    <w:rPr>
      <w:rFonts w:eastAsia="Calibri"/>
      <w:lang w:val="el-GR"/>
    </w:rPr>
  </w:style>
  <w:style w:type="character" w:styleId="WW8Num9z2" w:customStyle="1">
    <w:name w:val="WW8Num9z2"/>
    <w:qFormat/>
    <w:rPr/>
  </w:style>
  <w:style w:type="character" w:styleId="WW8Num9z3" w:customStyle="1">
    <w:name w:val="WW8Num9z3"/>
    <w:qFormat/>
    <w:rPr/>
  </w:style>
  <w:style w:type="character" w:styleId="WW8Num9z4" w:customStyle="1">
    <w:name w:val="WW8Num9z4"/>
    <w:qFormat/>
    <w:rPr/>
  </w:style>
  <w:style w:type="character" w:styleId="WW8Num9z5" w:customStyle="1">
    <w:name w:val="WW8Num9z5"/>
    <w:qFormat/>
    <w:rPr/>
  </w:style>
  <w:style w:type="character" w:styleId="WW8Num9z6" w:customStyle="1">
    <w:name w:val="WW8Num9z6"/>
    <w:qFormat/>
    <w:rPr/>
  </w:style>
  <w:style w:type="character" w:styleId="WW8Num9z7" w:customStyle="1">
    <w:name w:val="WW8Num9z7"/>
    <w:qFormat/>
    <w:rPr/>
  </w:style>
  <w:style w:type="character" w:styleId="WW8Num9z8" w:customStyle="1">
    <w:name w:val="WW8Num9z8"/>
    <w:qFormat/>
    <w:rPr/>
  </w:style>
  <w:style w:type="character" w:styleId="WWDefaultParagraphFont11" w:customStyle="1">
    <w:name w:val="WW-Default Paragraph Font11"/>
    <w:qFormat/>
    <w:rPr/>
  </w:style>
  <w:style w:type="character" w:styleId="WW8Num12z0" w:customStyle="1">
    <w:name w:val="WW8Num12z0"/>
    <w:qFormat/>
    <w:rPr>
      <w:rFonts w:ascii="Symbol" w:hAnsi="Symbol" w:cs="Symbol"/>
    </w:rPr>
  </w:style>
  <w:style w:type="character" w:styleId="WW8Num12z1" w:customStyle="1">
    <w:name w:val="WW8Num12z1"/>
    <w:qFormat/>
    <w:rPr>
      <w:rFonts w:ascii="Courier New" w:hAnsi="Courier New" w:cs="Courier New"/>
    </w:rPr>
  </w:style>
  <w:style w:type="character" w:styleId="WW8Num12z2" w:customStyle="1">
    <w:name w:val="WW8Num12z2"/>
    <w:qFormat/>
    <w:rPr>
      <w:rFonts w:ascii="Wingdings" w:hAnsi="Wingdings" w:cs="Wingdings"/>
    </w:rPr>
  </w:style>
  <w:style w:type="character" w:styleId="WWDefaultParagraphFont111" w:customStyle="1">
    <w:name w:val="WW-Default Paragraph Font111"/>
    <w:qFormat/>
    <w:rPr/>
  </w:style>
  <w:style w:type="character" w:styleId="WWDefaultParagraphFont1111" w:customStyle="1">
    <w:name w:val="WW-Default Paragraph Font1111"/>
    <w:qFormat/>
    <w:rPr/>
  </w:style>
  <w:style w:type="character" w:styleId="WWDefaultParagraphFont11111" w:customStyle="1">
    <w:name w:val="WW-Default Paragraph Font11111"/>
    <w:qFormat/>
    <w:rPr/>
  </w:style>
  <w:style w:type="character" w:styleId="31" w:customStyle="1">
    <w:name w:val="Προεπιλεγμένη γραμματοσειρά3"/>
    <w:qFormat/>
    <w:rPr/>
  </w:style>
  <w:style w:type="character" w:styleId="WWDefaultParagraphFont111111" w:customStyle="1">
    <w:name w:val="WW-Default Paragraph Font111111"/>
    <w:qFormat/>
    <w:rPr/>
  </w:style>
  <w:style w:type="character" w:styleId="DefaultParagraphFont2" w:customStyle="1">
    <w:name w:val="Default Paragraph Font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Symbol" w:hAnsi="Symbol" w:cs="OpenSymbol"/>
    </w:rPr>
  </w:style>
  <w:style w:type="character" w:styleId="WWDefaultParagraphFont1111111" w:customStyle="1">
    <w:name w:val="WW-Default Paragraph Font1111111"/>
    <w:qFormat/>
    <w:rPr/>
  </w:style>
  <w:style w:type="character" w:styleId="WW8Num13z1" w:customStyle="1">
    <w:name w:val="WW8Num13z1"/>
    <w:qFormat/>
    <w:rPr>
      <w:rFonts w:eastAsia="Calibri"/>
      <w:lang w:val="el-GR"/>
    </w:rPr>
  </w:style>
  <w:style w:type="character" w:styleId="WW8Num13z2" w:customStyle="1">
    <w:name w:val="WW8Num13z2"/>
    <w:qFormat/>
    <w:rPr/>
  </w:style>
  <w:style w:type="character" w:styleId="WW8Num13z3" w:customStyle="1">
    <w:name w:val="WW8Num13z3"/>
    <w:qFormat/>
    <w:rPr/>
  </w:style>
  <w:style w:type="character" w:styleId="WW8Num13z4" w:customStyle="1">
    <w:name w:val="WW8Num13z4"/>
    <w:qFormat/>
    <w:rPr/>
  </w:style>
  <w:style w:type="character" w:styleId="WW8Num13z5" w:customStyle="1">
    <w:name w:val="WW8Num13z5"/>
    <w:qFormat/>
    <w:rPr/>
  </w:style>
  <w:style w:type="character" w:styleId="WW8Num13z6" w:customStyle="1">
    <w:name w:val="WW8Num13z6"/>
    <w:qFormat/>
    <w:rPr/>
  </w:style>
  <w:style w:type="character" w:styleId="WW8Num13z7" w:customStyle="1">
    <w:name w:val="WW8Num13z7"/>
    <w:qFormat/>
    <w:rPr/>
  </w:style>
  <w:style w:type="character" w:styleId="WW8Num13z8" w:customStyle="1">
    <w:name w:val="WW8Num13z8"/>
    <w:qFormat/>
    <w:rPr/>
  </w:style>
  <w:style w:type="character" w:styleId="WW8Num14z0" w:customStyle="1">
    <w:name w:val="WW8Num14z0"/>
    <w:qFormat/>
    <w:rPr>
      <w:rFonts w:ascii="Symbol" w:hAnsi="Symbol" w:cs="OpenSymbol"/>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WW8Num16z0" w:customStyle="1">
    <w:name w:val="WW8Num16z0"/>
    <w:qFormat/>
    <w:rPr/>
  </w:style>
  <w:style w:type="character" w:styleId="WW8Num16z1" w:customStyle="1">
    <w:name w:val="WW8Num16z1"/>
    <w:qFormat/>
    <w:rPr/>
  </w:style>
  <w:style w:type="character" w:styleId="WW8Num16z2" w:customStyle="1">
    <w:name w:val="WW8Num16z2"/>
    <w:qFormat/>
    <w:rPr/>
  </w:style>
  <w:style w:type="character" w:styleId="WW8Num16z3" w:customStyle="1">
    <w:name w:val="WW8Num16z3"/>
    <w:qFormat/>
    <w:rPr/>
  </w:style>
  <w:style w:type="character" w:styleId="WW8Num16z4" w:customStyle="1">
    <w:name w:val="WW8Num16z4"/>
    <w:qFormat/>
    <w:rPr/>
  </w:style>
  <w:style w:type="character" w:styleId="WW8Num16z5" w:customStyle="1">
    <w:name w:val="WW8Num16z5"/>
    <w:qFormat/>
    <w:rPr/>
  </w:style>
  <w:style w:type="character" w:styleId="WW8Num16z6" w:customStyle="1">
    <w:name w:val="WW8Num16z6"/>
    <w:qFormat/>
    <w:rPr/>
  </w:style>
  <w:style w:type="character" w:styleId="WW8Num16z7" w:customStyle="1">
    <w:name w:val="WW8Num16z7"/>
    <w:qFormat/>
    <w:rPr/>
  </w:style>
  <w:style w:type="character" w:styleId="WW8Num16z8" w:customStyle="1">
    <w:name w:val="WW8Num16z8"/>
    <w:qFormat/>
    <w:rPr/>
  </w:style>
  <w:style w:type="character" w:styleId="WWDefaultParagraphFont11111111" w:customStyle="1">
    <w:name w:val="WW-Default Paragraph Font11111111"/>
    <w:qFormat/>
    <w:rPr/>
  </w:style>
  <w:style w:type="character" w:styleId="WWDefaultParagraphFont111111111" w:customStyle="1">
    <w:name w:val="WW-Default Paragraph Font111111111"/>
    <w:qFormat/>
    <w:rPr/>
  </w:style>
  <w:style w:type="character" w:styleId="WWDefaultParagraphFont1111111111" w:customStyle="1">
    <w:name w:val="WW-Default Paragraph Font1111111111"/>
    <w:qFormat/>
    <w:rPr/>
  </w:style>
  <w:style w:type="character" w:styleId="WWDefaultParagraphFont11111111111" w:customStyle="1">
    <w:name w:val="WW-Default Paragraph Font11111111111"/>
    <w:qFormat/>
    <w:rPr/>
  </w:style>
  <w:style w:type="character" w:styleId="WWDefaultParagraphFont111111111111" w:customStyle="1">
    <w:name w:val="WW-Default Paragraph Font111111111111"/>
    <w:qFormat/>
    <w:rPr/>
  </w:style>
  <w:style w:type="character" w:styleId="WW8Num17z0" w:customStyle="1">
    <w:name w:val="WW8Num17z0"/>
    <w:qFormat/>
    <w:rPr/>
  </w:style>
  <w:style w:type="character" w:styleId="WW8Num17z1" w:customStyle="1">
    <w:name w:val="WW8Num17z1"/>
    <w:qFormat/>
    <w:rPr/>
  </w:style>
  <w:style w:type="character" w:styleId="WW8Num17z2" w:customStyle="1">
    <w:name w:val="WW8Num17z2"/>
    <w:qFormat/>
    <w:rPr/>
  </w:style>
  <w:style w:type="character" w:styleId="WW8Num17z3" w:customStyle="1">
    <w:name w:val="WW8Num17z3"/>
    <w:qFormat/>
    <w:rPr/>
  </w:style>
  <w:style w:type="character" w:styleId="WW8Num17z4" w:customStyle="1">
    <w:name w:val="WW8Num17z4"/>
    <w:qFormat/>
    <w:rPr/>
  </w:style>
  <w:style w:type="character" w:styleId="WW8Num17z5" w:customStyle="1">
    <w:name w:val="WW8Num17z5"/>
    <w:qFormat/>
    <w:rPr/>
  </w:style>
  <w:style w:type="character" w:styleId="WW8Num17z6" w:customStyle="1">
    <w:name w:val="WW8Num17z6"/>
    <w:qFormat/>
    <w:rPr/>
  </w:style>
  <w:style w:type="character" w:styleId="WW8Num17z7" w:customStyle="1">
    <w:name w:val="WW8Num17z7"/>
    <w:qFormat/>
    <w:rPr/>
  </w:style>
  <w:style w:type="character" w:styleId="WW8Num17z8" w:customStyle="1">
    <w:name w:val="WW8Num17z8"/>
    <w:qFormat/>
    <w:rPr/>
  </w:style>
  <w:style w:type="character" w:styleId="WW8Num18z0" w:customStyle="1">
    <w:name w:val="WW8Num18z0"/>
    <w:qFormat/>
    <w:rPr/>
  </w:style>
  <w:style w:type="character" w:styleId="WW8Num18z1" w:customStyle="1">
    <w:name w:val="WW8Num18z1"/>
    <w:qFormat/>
    <w:rPr/>
  </w:style>
  <w:style w:type="character" w:styleId="WW8Num18z2" w:customStyle="1">
    <w:name w:val="WW8Num18z2"/>
    <w:qFormat/>
    <w:rPr/>
  </w:style>
  <w:style w:type="character" w:styleId="WW8Num18z3" w:customStyle="1">
    <w:name w:val="WW8Num18z3"/>
    <w:qFormat/>
    <w:rPr/>
  </w:style>
  <w:style w:type="character" w:styleId="WW8Num18z4" w:customStyle="1">
    <w:name w:val="WW8Num18z4"/>
    <w:qFormat/>
    <w:rPr/>
  </w:style>
  <w:style w:type="character" w:styleId="WW8Num18z5" w:customStyle="1">
    <w:name w:val="WW8Num18z5"/>
    <w:qFormat/>
    <w:rPr/>
  </w:style>
  <w:style w:type="character" w:styleId="WW8Num18z6" w:customStyle="1">
    <w:name w:val="WW8Num18z6"/>
    <w:qFormat/>
    <w:rPr/>
  </w:style>
  <w:style w:type="character" w:styleId="WW8Num18z7" w:customStyle="1">
    <w:name w:val="WW8Num18z7"/>
    <w:qFormat/>
    <w:rPr/>
  </w:style>
  <w:style w:type="character" w:styleId="WW8Num18z8" w:customStyle="1">
    <w:name w:val="WW8Num18z8"/>
    <w:qFormat/>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rFonts w:ascii="Arial" w:hAnsi="Arial" w:cs="Times New Roman"/>
      <w:b w:val="false"/>
      <w:i w:val="false"/>
      <w:sz w:val="20"/>
      <w:szCs w:val="20"/>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DefaultParagraphFont1111111111111" w:customStyle="1">
    <w:name w:val="WW-Default Paragraph Font1111111111111"/>
    <w:qFormat/>
    <w:rPr/>
  </w:style>
  <w:style w:type="character" w:styleId="WWDefaultParagraphFont11111111111111" w:customStyle="1">
    <w:name w:val="WW-Default Paragraph Font11111111111111"/>
    <w:qFormat/>
    <w:rPr/>
  </w:style>
  <w:style w:type="character" w:styleId="WWDefaultParagraphFont111111111111111" w:customStyle="1">
    <w:name w:val="WW-Default Paragraph Font111111111111111"/>
    <w:qFormat/>
    <w:rPr/>
  </w:style>
  <w:style w:type="character" w:styleId="WWDefaultParagraphFont1111111111111111" w:customStyle="1">
    <w:name w:val="WW-Default Paragraph Font1111111111111111"/>
    <w:qFormat/>
    <w:rPr/>
  </w:style>
  <w:style w:type="character" w:styleId="21" w:customStyle="1">
    <w:name w:val="Προεπιλεγμένη γραμματοσειρά2"/>
    <w:qFormat/>
    <w:rPr/>
  </w:style>
  <w:style w:type="character" w:styleId="WW8Num19z0" w:customStyle="1">
    <w:name w:val="WW8Num19z0"/>
    <w:qFormat/>
    <w:rPr>
      <w:rFonts w:ascii="Calibri" w:hAnsi="Calibri" w:cs="Calibri"/>
    </w:rPr>
  </w:style>
  <w:style w:type="character" w:styleId="WW8Num19z1" w:customStyle="1">
    <w:name w:val="WW8Num19z1"/>
    <w:qFormat/>
    <w:rPr/>
  </w:style>
  <w:style w:type="character" w:styleId="WW8Num20z0" w:customStyle="1">
    <w:name w:val="WW8Num20z0"/>
    <w:qFormat/>
    <w:rPr>
      <w:rFonts w:ascii="Calibri" w:hAnsi="Calibri" w:eastAsia="Calibri" w:cs="Times New Roman"/>
    </w:rPr>
  </w:style>
  <w:style w:type="character" w:styleId="WW8Num20z1" w:customStyle="1">
    <w:name w:val="WW8Num20z1"/>
    <w:qFormat/>
    <w:rPr>
      <w:rFonts w:ascii="Courier New" w:hAnsi="Courier New" w:cs="Courier New"/>
    </w:rPr>
  </w:style>
  <w:style w:type="character" w:styleId="WW8Num20z2" w:customStyle="1">
    <w:name w:val="WW8Num20z2"/>
    <w:qFormat/>
    <w:rPr>
      <w:rFonts w:ascii="Wingdings" w:hAnsi="Wingdings" w:cs="Wingdings"/>
    </w:rPr>
  </w:style>
  <w:style w:type="character" w:styleId="WW8Num20z3" w:customStyle="1">
    <w:name w:val="WW8Num20z3"/>
    <w:qFormat/>
    <w:rPr>
      <w:rFonts w:ascii="Symbol" w:hAnsi="Symbol" w:cs="Symbol"/>
    </w:rPr>
  </w:style>
  <w:style w:type="character" w:styleId="WWDefaultParagraphFont11111111111111111" w:customStyle="1">
    <w:name w:val="WW-Default Paragraph Font11111111111111111"/>
    <w:qFormat/>
    <w:rPr/>
  </w:style>
  <w:style w:type="character" w:styleId="WW8Num19z2" w:customStyle="1">
    <w:name w:val="WW8Num19z2"/>
    <w:qFormat/>
    <w:rPr/>
  </w:style>
  <w:style w:type="character" w:styleId="WW8Num19z3" w:customStyle="1">
    <w:name w:val="WW8Num19z3"/>
    <w:qFormat/>
    <w:rPr/>
  </w:style>
  <w:style w:type="character" w:styleId="WW8Num19z4" w:customStyle="1">
    <w:name w:val="WW8Num19z4"/>
    <w:qFormat/>
    <w:rPr/>
  </w:style>
  <w:style w:type="character" w:styleId="WW8Num19z5" w:customStyle="1">
    <w:name w:val="WW8Num19z5"/>
    <w:qFormat/>
    <w:rPr/>
  </w:style>
  <w:style w:type="character" w:styleId="WW8Num19z6" w:customStyle="1">
    <w:name w:val="WW8Num19z6"/>
    <w:qFormat/>
    <w:rPr/>
  </w:style>
  <w:style w:type="character" w:styleId="WW8Num19z7" w:customStyle="1">
    <w:name w:val="WW8Num19z7"/>
    <w:qFormat/>
    <w:rPr/>
  </w:style>
  <w:style w:type="character" w:styleId="WW8Num19z8" w:customStyle="1">
    <w:name w:val="WW8Num19z8"/>
    <w:qFormat/>
    <w:rPr/>
  </w:style>
  <w:style w:type="character" w:styleId="WW8Num20z4" w:customStyle="1">
    <w:name w:val="WW8Num20z4"/>
    <w:qFormat/>
    <w:rPr/>
  </w:style>
  <w:style w:type="character" w:styleId="WW8Num20z5" w:customStyle="1">
    <w:name w:val="WW8Num20z5"/>
    <w:qFormat/>
    <w:rPr/>
  </w:style>
  <w:style w:type="character" w:styleId="WW8Num20z6" w:customStyle="1">
    <w:name w:val="WW8Num20z6"/>
    <w:qFormat/>
    <w:rPr/>
  </w:style>
  <w:style w:type="character" w:styleId="WW8Num20z7" w:customStyle="1">
    <w:name w:val="WW8Num20z7"/>
    <w:qFormat/>
    <w:rPr/>
  </w:style>
  <w:style w:type="character" w:styleId="WW8Num20z8" w:customStyle="1">
    <w:name w:val="WW8Num20z8"/>
    <w:qFormat/>
    <w:rPr/>
  </w:style>
  <w:style w:type="character" w:styleId="WWDefaultParagraphFont111111111111111111" w:customStyle="1">
    <w:name w:val="WW-Default Paragraph Font111111111111111111"/>
    <w:qFormat/>
    <w:rPr/>
  </w:style>
  <w:style w:type="character" w:styleId="WWDefaultParagraphFont1111111111111111111" w:customStyle="1">
    <w:name w:val="WW-Default Paragraph Font1111111111111111111"/>
    <w:qFormat/>
    <w:rPr/>
  </w:style>
  <w:style w:type="character" w:styleId="WW8Num21z0" w:customStyle="1">
    <w:name w:val="WW8Num21z0"/>
    <w:qFormat/>
    <w:rPr>
      <w:rFonts w:ascii="Calibri" w:hAnsi="Calibri" w:eastAsia="Times New Roman" w:cs="Calibri"/>
    </w:rPr>
  </w:style>
  <w:style w:type="character" w:styleId="WW8Num21z1" w:customStyle="1">
    <w:name w:val="WW8Num21z1"/>
    <w:qFormat/>
    <w:rPr>
      <w:rFonts w:ascii="Courier New" w:hAnsi="Courier New" w:cs="Courier New"/>
    </w:rPr>
  </w:style>
  <w:style w:type="character" w:styleId="WW8Num21z2" w:customStyle="1">
    <w:name w:val="WW8Num21z2"/>
    <w:qFormat/>
    <w:rPr>
      <w:rFonts w:ascii="Wingdings" w:hAnsi="Wingdings" w:cs="Wingdings"/>
    </w:rPr>
  </w:style>
  <w:style w:type="character" w:styleId="WW8Num21z3" w:customStyle="1">
    <w:name w:val="WW8Num21z3"/>
    <w:qFormat/>
    <w:rPr>
      <w:rFonts w:ascii="Symbol" w:hAnsi="Symbol" w:cs="Symbol"/>
    </w:rPr>
  </w:style>
  <w:style w:type="character" w:styleId="WW8Num22z0" w:customStyle="1">
    <w:name w:val="WW8Num22z0"/>
    <w:qFormat/>
    <w:rPr>
      <w:rFonts w:ascii="Symbol" w:hAnsi="Symbol" w:cs="Symbol"/>
    </w:rPr>
  </w:style>
  <w:style w:type="character" w:styleId="WW8Num22z1" w:customStyle="1">
    <w:name w:val="WW8Num22z1"/>
    <w:qFormat/>
    <w:rPr>
      <w:rFonts w:ascii="Courier New" w:hAnsi="Courier New" w:cs="Courier New"/>
    </w:rPr>
  </w:style>
  <w:style w:type="character" w:styleId="WW8Num22z2" w:customStyle="1">
    <w:name w:val="WW8Num22z2"/>
    <w:qFormat/>
    <w:rPr>
      <w:rFonts w:ascii="Wingdings" w:hAnsi="Wingdings" w:cs="Wingdings"/>
    </w:rPr>
  </w:style>
  <w:style w:type="character" w:styleId="WW8Num23z0" w:customStyle="1">
    <w:name w:val="WW8Num23z0"/>
    <w:qFormat/>
    <w:rPr>
      <w:rFonts w:ascii="Calibri" w:hAnsi="Calibri" w:eastAsia="Times New Roman" w:cs="Calibri"/>
    </w:rPr>
  </w:style>
  <w:style w:type="character" w:styleId="WW8Num23z1" w:customStyle="1">
    <w:name w:val="WW8Num23z1"/>
    <w:qFormat/>
    <w:rPr>
      <w:rFonts w:ascii="Courier New" w:hAnsi="Courier New" w:cs="Courier New"/>
    </w:rPr>
  </w:style>
  <w:style w:type="character" w:styleId="WW8Num23z2" w:customStyle="1">
    <w:name w:val="WW8Num23z2"/>
    <w:qFormat/>
    <w:rPr>
      <w:rFonts w:ascii="Wingdings" w:hAnsi="Wingdings" w:cs="Wingdings"/>
    </w:rPr>
  </w:style>
  <w:style w:type="character" w:styleId="WW8Num23z3" w:customStyle="1">
    <w:name w:val="WW8Num23z3"/>
    <w:qFormat/>
    <w:rPr>
      <w:rFonts w:ascii="Symbol" w:hAnsi="Symbol" w:cs="Symbol"/>
    </w:rPr>
  </w:style>
  <w:style w:type="character" w:styleId="WW8Num24z0" w:customStyle="1">
    <w:name w:val="WW8Num24z0"/>
    <w:qFormat/>
    <w:rPr>
      <w:rFonts w:ascii="Symbol" w:hAnsi="Symbol" w:cs="Symbol"/>
      <w:strike/>
      <w:color w:val="0070C0"/>
      <w:position w:val="0"/>
      <w:sz w:val="24"/>
      <w:sz w:val="24"/>
      <w:vertAlign w:val="baseline"/>
      <w:lang w:val="el-GR"/>
    </w:rPr>
  </w:style>
  <w:style w:type="character" w:styleId="WW8Num24z1" w:customStyle="1">
    <w:name w:val="WW8Num24z1"/>
    <w:qFormat/>
    <w:rPr>
      <w:rFonts w:ascii="Courier New" w:hAnsi="Courier New" w:cs="Courier New"/>
    </w:rPr>
  </w:style>
  <w:style w:type="character" w:styleId="WW8Num24z2" w:customStyle="1">
    <w:name w:val="WW8Num24z2"/>
    <w:qFormat/>
    <w:rPr>
      <w:rFonts w:ascii="Wingdings" w:hAnsi="Wingdings" w:cs="Wingdings"/>
    </w:rPr>
  </w:style>
  <w:style w:type="character" w:styleId="WW8Num25z0" w:customStyle="1">
    <w:name w:val="WW8Num25z0"/>
    <w:qFormat/>
    <w:rPr>
      <w:rFonts w:ascii="Symbol" w:hAnsi="Symbol" w:cs="Symbol"/>
    </w:rPr>
  </w:style>
  <w:style w:type="character" w:styleId="WW8Num25z1" w:customStyle="1">
    <w:name w:val="WW8Num25z1"/>
    <w:qFormat/>
    <w:rPr>
      <w:rFonts w:ascii="Courier New" w:hAnsi="Courier New" w:cs="Courier New"/>
    </w:rPr>
  </w:style>
  <w:style w:type="character" w:styleId="WW8Num25z2" w:customStyle="1">
    <w:name w:val="WW8Num25z2"/>
    <w:qFormat/>
    <w:rPr>
      <w:rFonts w:ascii="Wingdings" w:hAnsi="Wingdings" w:cs="Wingdings"/>
    </w:rPr>
  </w:style>
  <w:style w:type="character" w:styleId="WW8Num26z0" w:customStyle="1">
    <w:name w:val="WW8Num26z0"/>
    <w:qFormat/>
    <w:rPr>
      <w:rFonts w:ascii="Symbol" w:hAnsi="Symbol" w:cs="Symbol"/>
    </w:rPr>
  </w:style>
  <w:style w:type="character" w:styleId="WW8Num26z1" w:customStyle="1">
    <w:name w:val="WW8Num26z1"/>
    <w:qFormat/>
    <w:rPr>
      <w:rFonts w:ascii="Courier New" w:hAnsi="Courier New" w:cs="Courier New"/>
    </w:rPr>
  </w:style>
  <w:style w:type="character" w:styleId="WW8Num26z2" w:customStyle="1">
    <w:name w:val="WW8Num26z2"/>
    <w:qFormat/>
    <w:rPr>
      <w:rFonts w:ascii="Wingdings" w:hAnsi="Wingdings" w:cs="Wingdings"/>
    </w:rPr>
  </w:style>
  <w:style w:type="character" w:styleId="WW8Num27z0" w:customStyle="1">
    <w:name w:val="WW8Num27z0"/>
    <w:qFormat/>
    <w:rPr>
      <w:rFonts w:ascii="Calibri" w:hAnsi="Calibri" w:eastAsia="Times New Roman" w:cs="Calibri"/>
    </w:rPr>
  </w:style>
  <w:style w:type="character" w:styleId="WW8Num27z1" w:customStyle="1">
    <w:name w:val="WW8Num27z1"/>
    <w:qFormat/>
    <w:rPr>
      <w:rFonts w:ascii="Courier New" w:hAnsi="Courier New" w:cs="Courier New"/>
    </w:rPr>
  </w:style>
  <w:style w:type="character" w:styleId="WW8Num27z2" w:customStyle="1">
    <w:name w:val="WW8Num27z2"/>
    <w:qFormat/>
    <w:rPr>
      <w:rFonts w:ascii="Wingdings" w:hAnsi="Wingdings" w:cs="Wingdings"/>
    </w:rPr>
  </w:style>
  <w:style w:type="character" w:styleId="WW8Num27z3" w:customStyle="1">
    <w:name w:val="WW8Num27z3"/>
    <w:qFormat/>
    <w:rPr>
      <w:rFonts w:ascii="Symbol" w:hAnsi="Symbol" w:cs="Symbol"/>
    </w:rPr>
  </w:style>
  <w:style w:type="character" w:styleId="WW8Num28z0" w:customStyle="1">
    <w:name w:val="WW8Num28z0"/>
    <w:qFormat/>
    <w:rPr>
      <w:rFonts w:ascii="Symbol" w:hAnsi="Symbol" w:cs="Symbol"/>
    </w:rPr>
  </w:style>
  <w:style w:type="character" w:styleId="WW8Num28z1" w:customStyle="1">
    <w:name w:val="WW8Num28z1"/>
    <w:qFormat/>
    <w:rPr>
      <w:rFonts w:ascii="Courier New" w:hAnsi="Courier New" w:cs="Courier New"/>
    </w:rPr>
  </w:style>
  <w:style w:type="character" w:styleId="WW8Num28z2" w:customStyle="1">
    <w:name w:val="WW8Num28z2"/>
    <w:qFormat/>
    <w:rPr>
      <w:rFonts w:ascii="Wingdings" w:hAnsi="Wingdings" w:cs="Wingdings"/>
    </w:rPr>
  </w:style>
  <w:style w:type="character" w:styleId="WW8Num29z0" w:customStyle="1">
    <w:name w:val="WW8Num29z0"/>
    <w:qFormat/>
    <w:rPr>
      <w:rFonts w:ascii="Calibri" w:hAnsi="Calibri" w:eastAsia="Times New Roman" w:cs="Calibri"/>
    </w:rPr>
  </w:style>
  <w:style w:type="character" w:styleId="WW8Num29z1" w:customStyle="1">
    <w:name w:val="WW8Num29z1"/>
    <w:qFormat/>
    <w:rPr>
      <w:rFonts w:ascii="Courier New" w:hAnsi="Courier New" w:cs="Courier New"/>
    </w:rPr>
  </w:style>
  <w:style w:type="character" w:styleId="WW8Num29z2" w:customStyle="1">
    <w:name w:val="WW8Num29z2"/>
    <w:qFormat/>
    <w:rPr>
      <w:rFonts w:ascii="Wingdings" w:hAnsi="Wingdings" w:cs="Wingdings"/>
    </w:rPr>
  </w:style>
  <w:style w:type="character" w:styleId="WW8Num29z3" w:customStyle="1">
    <w:name w:val="WW8Num29z3"/>
    <w:qFormat/>
    <w:rPr>
      <w:rFonts w:ascii="Symbol" w:hAnsi="Symbol" w:cs="Symbol"/>
    </w:rPr>
  </w:style>
  <w:style w:type="character" w:styleId="WW8Num30z0" w:customStyle="1">
    <w:name w:val="WW8Num30z0"/>
    <w:qFormat/>
    <w:rPr>
      <w:rFonts w:ascii="Symbol" w:hAnsi="Symbol" w:cs="Symbol"/>
      <w:shd w:fill="FFFF00" w:val="clear"/>
    </w:rPr>
  </w:style>
  <w:style w:type="character" w:styleId="WW8Num30z1" w:customStyle="1">
    <w:name w:val="WW8Num30z1"/>
    <w:qFormat/>
    <w:rPr>
      <w:rFonts w:ascii="Courier New" w:hAnsi="Courier New" w:cs="Courier New"/>
    </w:rPr>
  </w:style>
  <w:style w:type="character" w:styleId="WW8Num30z2" w:customStyle="1">
    <w:name w:val="WW8Num30z2"/>
    <w:qFormat/>
    <w:rPr>
      <w:rFonts w:ascii="Wingdings" w:hAnsi="Wingdings" w:cs="Wingdings"/>
    </w:rPr>
  </w:style>
  <w:style w:type="character" w:styleId="WW8Num31z0" w:customStyle="1">
    <w:name w:val="WW8Num31z0"/>
    <w:qFormat/>
    <w:rPr>
      <w:rFonts w:cs="Times New Roman"/>
    </w:rPr>
  </w:style>
  <w:style w:type="character" w:styleId="WW8Num32z0" w:customStyle="1">
    <w:name w:val="WW8Num32z0"/>
    <w:qFormat/>
    <w:rPr/>
  </w:style>
  <w:style w:type="character" w:styleId="WW8Num32z1" w:customStyle="1">
    <w:name w:val="WW8Num32z1"/>
    <w:qFormat/>
    <w:rPr/>
  </w:style>
  <w:style w:type="character" w:styleId="WW8Num32z2" w:customStyle="1">
    <w:name w:val="WW8Num32z2"/>
    <w:qFormat/>
    <w:rPr/>
  </w:style>
  <w:style w:type="character" w:styleId="WW8Num32z3" w:customStyle="1">
    <w:name w:val="WW8Num32z3"/>
    <w:qFormat/>
    <w:rPr/>
  </w:style>
  <w:style w:type="character" w:styleId="WW8Num32z4" w:customStyle="1">
    <w:name w:val="WW8Num32z4"/>
    <w:qFormat/>
    <w:rPr/>
  </w:style>
  <w:style w:type="character" w:styleId="WW8Num32z5" w:customStyle="1">
    <w:name w:val="WW8Num32z5"/>
    <w:qFormat/>
    <w:rPr/>
  </w:style>
  <w:style w:type="character" w:styleId="WW8Num32z6" w:customStyle="1">
    <w:name w:val="WW8Num32z6"/>
    <w:qFormat/>
    <w:rPr/>
  </w:style>
  <w:style w:type="character" w:styleId="WW8Num32z7" w:customStyle="1">
    <w:name w:val="WW8Num32z7"/>
    <w:qFormat/>
    <w:rPr/>
  </w:style>
  <w:style w:type="character" w:styleId="WW8Num32z8" w:customStyle="1">
    <w:name w:val="WW8Num32z8"/>
    <w:qFormat/>
    <w:rPr/>
  </w:style>
  <w:style w:type="character" w:styleId="WW8Num33z0" w:customStyle="1">
    <w:name w:val="WW8Num33z0"/>
    <w:qFormat/>
    <w:rPr>
      <w:rFonts w:ascii="Symbol" w:hAnsi="Symbol" w:eastAsia="Calibri" w:cs="Symbol"/>
    </w:rPr>
  </w:style>
  <w:style w:type="character" w:styleId="WW8Num33z1" w:customStyle="1">
    <w:name w:val="WW8Num33z1"/>
    <w:qFormat/>
    <w:rPr>
      <w:rFonts w:ascii="Courier New" w:hAnsi="Courier New" w:cs="Courier New"/>
    </w:rPr>
  </w:style>
  <w:style w:type="character" w:styleId="WW8Num33z2" w:customStyle="1">
    <w:name w:val="WW8Num33z2"/>
    <w:qFormat/>
    <w:rPr>
      <w:rFonts w:ascii="Wingdings" w:hAnsi="Wingdings" w:cs="Wingdings"/>
    </w:rPr>
  </w:style>
  <w:style w:type="character" w:styleId="WW8Num34z0" w:customStyle="1">
    <w:name w:val="WW8Num34z0"/>
    <w:qFormat/>
    <w:rPr>
      <w:rFonts w:ascii="Symbol" w:hAnsi="Symbol" w:cs="Symbol"/>
    </w:rPr>
  </w:style>
  <w:style w:type="character" w:styleId="WW8Num34z1" w:customStyle="1">
    <w:name w:val="WW8Num34z1"/>
    <w:qFormat/>
    <w:rPr>
      <w:rFonts w:ascii="Courier New" w:hAnsi="Courier New" w:cs="Courier New"/>
    </w:rPr>
  </w:style>
  <w:style w:type="character" w:styleId="WW8Num34z2" w:customStyle="1">
    <w:name w:val="WW8Num34z2"/>
    <w:qFormat/>
    <w:rPr>
      <w:rFonts w:ascii="Wingdings" w:hAnsi="Wingdings" w:cs="Wingdings"/>
    </w:rPr>
  </w:style>
  <w:style w:type="character" w:styleId="WW8Num35z0" w:customStyle="1">
    <w:name w:val="WW8Num35z0"/>
    <w:qFormat/>
    <w:rPr>
      <w:rFonts w:ascii="Calibri" w:hAnsi="Calibri" w:eastAsia="Times New Roman" w:cs="Calibri"/>
    </w:rPr>
  </w:style>
  <w:style w:type="character" w:styleId="WW8Num35z1" w:customStyle="1">
    <w:name w:val="WW8Num35z1"/>
    <w:qFormat/>
    <w:rPr>
      <w:rFonts w:ascii="Courier New" w:hAnsi="Courier New" w:cs="Courier New"/>
    </w:rPr>
  </w:style>
  <w:style w:type="character" w:styleId="WW8Num35z2" w:customStyle="1">
    <w:name w:val="WW8Num35z2"/>
    <w:qFormat/>
    <w:rPr>
      <w:rFonts w:ascii="Wingdings" w:hAnsi="Wingdings" w:cs="Wingdings"/>
    </w:rPr>
  </w:style>
  <w:style w:type="character" w:styleId="WW8Num35z3" w:customStyle="1">
    <w:name w:val="WW8Num35z3"/>
    <w:qFormat/>
    <w:rPr>
      <w:rFonts w:ascii="Symbol" w:hAnsi="Symbol" w:cs="Symbol"/>
    </w:rPr>
  </w:style>
  <w:style w:type="character" w:styleId="WW8Num36z0" w:customStyle="1">
    <w:name w:val="WW8Num36z0"/>
    <w:qFormat/>
    <w:rPr>
      <w:lang w:val="el-GR"/>
    </w:rPr>
  </w:style>
  <w:style w:type="character" w:styleId="WW8Num36z1" w:customStyle="1">
    <w:name w:val="WW8Num36z1"/>
    <w:qFormat/>
    <w:rPr/>
  </w:style>
  <w:style w:type="character" w:styleId="WW8Num36z2" w:customStyle="1">
    <w:name w:val="WW8Num36z2"/>
    <w:qFormat/>
    <w:rPr/>
  </w:style>
  <w:style w:type="character" w:styleId="WW8Num36z3" w:customStyle="1">
    <w:name w:val="WW8Num36z3"/>
    <w:qFormat/>
    <w:rPr/>
  </w:style>
  <w:style w:type="character" w:styleId="WW8Num36z4" w:customStyle="1">
    <w:name w:val="WW8Num36z4"/>
    <w:qFormat/>
    <w:rPr/>
  </w:style>
  <w:style w:type="character" w:styleId="WW8Num36z5" w:customStyle="1">
    <w:name w:val="WW8Num36z5"/>
    <w:qFormat/>
    <w:rPr/>
  </w:style>
  <w:style w:type="character" w:styleId="WW8Num36z6" w:customStyle="1">
    <w:name w:val="WW8Num36z6"/>
    <w:qFormat/>
    <w:rPr/>
  </w:style>
  <w:style w:type="character" w:styleId="WW8Num36z7" w:customStyle="1">
    <w:name w:val="WW8Num36z7"/>
    <w:qFormat/>
    <w:rPr/>
  </w:style>
  <w:style w:type="character" w:styleId="WW8Num36z8" w:customStyle="1">
    <w:name w:val="WW8Num36z8"/>
    <w:qFormat/>
    <w:rPr/>
  </w:style>
  <w:style w:type="character" w:styleId="WW8Num37z0" w:customStyle="1">
    <w:name w:val="WW8Num37z0"/>
    <w:qFormat/>
    <w:rPr>
      <w:rFonts w:ascii="Calibri" w:hAnsi="Calibri" w:eastAsia="Times New Roman" w:cs="Calibri"/>
    </w:rPr>
  </w:style>
  <w:style w:type="character" w:styleId="WW8Num37z1" w:customStyle="1">
    <w:name w:val="WW8Num37z1"/>
    <w:qFormat/>
    <w:rPr>
      <w:rFonts w:ascii="Courier New" w:hAnsi="Courier New" w:cs="Courier New"/>
    </w:rPr>
  </w:style>
  <w:style w:type="character" w:styleId="WW8Num37z2" w:customStyle="1">
    <w:name w:val="WW8Num37z2"/>
    <w:qFormat/>
    <w:rPr>
      <w:rFonts w:ascii="Wingdings" w:hAnsi="Wingdings" w:cs="Wingdings"/>
    </w:rPr>
  </w:style>
  <w:style w:type="character" w:styleId="WW8Num37z3" w:customStyle="1">
    <w:name w:val="WW8Num37z3"/>
    <w:qFormat/>
    <w:rPr>
      <w:rFonts w:ascii="Symbol" w:hAnsi="Symbol" w:cs="Symbol"/>
    </w:rPr>
  </w:style>
  <w:style w:type="character" w:styleId="WW8Num38z0" w:customStyle="1">
    <w:name w:val="WW8Num38z0"/>
    <w:qFormat/>
    <w:rPr/>
  </w:style>
  <w:style w:type="character" w:styleId="WW8Num38z1" w:customStyle="1">
    <w:name w:val="WW8Num38z1"/>
    <w:qFormat/>
    <w:rPr/>
  </w:style>
  <w:style w:type="character" w:styleId="WW8Num38z2" w:customStyle="1">
    <w:name w:val="WW8Num38z2"/>
    <w:qFormat/>
    <w:rPr/>
  </w:style>
  <w:style w:type="character" w:styleId="WW8Num38z3" w:customStyle="1">
    <w:name w:val="WW8Num38z3"/>
    <w:qFormat/>
    <w:rPr/>
  </w:style>
  <w:style w:type="character" w:styleId="WW8Num38z4" w:customStyle="1">
    <w:name w:val="WW8Num38z4"/>
    <w:qFormat/>
    <w:rPr/>
  </w:style>
  <w:style w:type="character" w:styleId="WW8Num38z5" w:customStyle="1">
    <w:name w:val="WW8Num38z5"/>
    <w:qFormat/>
    <w:rPr/>
  </w:style>
  <w:style w:type="character" w:styleId="WW8Num38z6" w:customStyle="1">
    <w:name w:val="WW8Num38z6"/>
    <w:qFormat/>
    <w:rPr/>
  </w:style>
  <w:style w:type="character" w:styleId="WW8Num38z7" w:customStyle="1">
    <w:name w:val="WW8Num38z7"/>
    <w:qFormat/>
    <w:rPr/>
  </w:style>
  <w:style w:type="character" w:styleId="WW8Num38z8" w:customStyle="1">
    <w:name w:val="WW8Num38z8"/>
    <w:qFormat/>
    <w:rPr/>
  </w:style>
  <w:style w:type="character" w:styleId="WWDefaultParagraphFont11111111111111111111" w:customStyle="1">
    <w:name w:val="WW-Default Paragraph Font11111111111111111111"/>
    <w:qFormat/>
    <w:rPr/>
  </w:style>
  <w:style w:type="character" w:styleId="WW8Num4z1" w:customStyle="1">
    <w:name w:val="WW8Num4z1"/>
    <w:qFormat/>
    <w:rPr>
      <w:rFonts w:cs="Times New Roman"/>
    </w:rPr>
  </w:style>
  <w:style w:type="character" w:styleId="WW8Num5z1" w:customStyle="1">
    <w:name w:val="WW8Num5z1"/>
    <w:qFormat/>
    <w:rPr>
      <w:rFonts w:cs="Times New Roman"/>
    </w:rPr>
  </w:style>
  <w:style w:type="character" w:styleId="WW8Num29z4" w:customStyle="1">
    <w:name w:val="WW8Num29z4"/>
    <w:qFormat/>
    <w:rPr/>
  </w:style>
  <w:style w:type="character" w:styleId="WW8Num29z5" w:customStyle="1">
    <w:name w:val="WW8Num29z5"/>
    <w:qFormat/>
    <w:rPr/>
  </w:style>
  <w:style w:type="character" w:styleId="WW8Num29z6" w:customStyle="1">
    <w:name w:val="WW8Num29z6"/>
    <w:qFormat/>
    <w:rPr/>
  </w:style>
  <w:style w:type="character" w:styleId="WW8Num29z7" w:customStyle="1">
    <w:name w:val="WW8Num29z7"/>
    <w:qFormat/>
    <w:rPr/>
  </w:style>
  <w:style w:type="character" w:styleId="WW8Num29z8" w:customStyle="1">
    <w:name w:val="WW8Num29z8"/>
    <w:qFormat/>
    <w:rPr/>
  </w:style>
  <w:style w:type="character" w:styleId="WW8Num30z3" w:customStyle="1">
    <w:name w:val="WW8Num30z3"/>
    <w:qFormat/>
    <w:rPr>
      <w:rFonts w:ascii="Symbol" w:hAnsi="Symbol" w:cs="Symbol"/>
    </w:rPr>
  </w:style>
  <w:style w:type="character" w:styleId="WW8Num31z1" w:customStyle="1">
    <w:name w:val="WW8Num31z1"/>
    <w:qFormat/>
    <w:rPr/>
  </w:style>
  <w:style w:type="character" w:styleId="WW8Num31z2" w:customStyle="1">
    <w:name w:val="WW8Num31z2"/>
    <w:qFormat/>
    <w:rPr/>
  </w:style>
  <w:style w:type="character" w:styleId="WW8Num31z3" w:customStyle="1">
    <w:name w:val="WW8Num31z3"/>
    <w:qFormat/>
    <w:rPr/>
  </w:style>
  <w:style w:type="character" w:styleId="WW8Num31z4" w:customStyle="1">
    <w:name w:val="WW8Num31z4"/>
    <w:qFormat/>
    <w:rPr/>
  </w:style>
  <w:style w:type="character" w:styleId="WW8Num31z5" w:customStyle="1">
    <w:name w:val="WW8Num31z5"/>
    <w:qFormat/>
    <w:rPr/>
  </w:style>
  <w:style w:type="character" w:styleId="WW8Num31z6" w:customStyle="1">
    <w:name w:val="WW8Num31z6"/>
    <w:qFormat/>
    <w:rPr/>
  </w:style>
  <w:style w:type="character" w:styleId="WW8Num31z7" w:customStyle="1">
    <w:name w:val="WW8Num31z7"/>
    <w:qFormat/>
    <w:rPr/>
  </w:style>
  <w:style w:type="character" w:styleId="WW8Num31z8" w:customStyle="1">
    <w:name w:val="WW8Num31z8"/>
    <w:qFormat/>
    <w:rPr/>
  </w:style>
  <w:style w:type="character" w:styleId="WW8Num39z0" w:customStyle="1">
    <w:name w:val="WW8Num39z0"/>
    <w:qFormat/>
    <w:rPr>
      <w:rFonts w:ascii="Calibri" w:hAnsi="Calibri" w:eastAsia="Times New Roman" w:cs="Calibri"/>
    </w:rPr>
  </w:style>
  <w:style w:type="character" w:styleId="WW8Num39z1" w:customStyle="1">
    <w:name w:val="WW8Num39z1"/>
    <w:qFormat/>
    <w:rPr>
      <w:rFonts w:ascii="Courier New" w:hAnsi="Courier New" w:cs="Courier New"/>
    </w:rPr>
  </w:style>
  <w:style w:type="character" w:styleId="WW8Num39z2" w:customStyle="1">
    <w:name w:val="WW8Num39z2"/>
    <w:qFormat/>
    <w:rPr>
      <w:rFonts w:ascii="Wingdings" w:hAnsi="Wingdings" w:cs="Wingdings"/>
    </w:rPr>
  </w:style>
  <w:style w:type="character" w:styleId="WW8Num39z3" w:customStyle="1">
    <w:name w:val="WW8Num39z3"/>
    <w:qFormat/>
    <w:rPr>
      <w:rFonts w:ascii="Symbol" w:hAnsi="Symbol" w:cs="Symbol"/>
    </w:rPr>
  </w:style>
  <w:style w:type="character" w:styleId="WW8Num40z0" w:customStyle="1">
    <w:name w:val="WW8Num40z0"/>
    <w:qFormat/>
    <w:rPr>
      <w:rFonts w:ascii="Symbol" w:hAnsi="Symbol" w:cs="Symbol"/>
    </w:rPr>
  </w:style>
  <w:style w:type="character" w:styleId="WW8Num40z1" w:customStyle="1">
    <w:name w:val="WW8Num40z1"/>
    <w:qFormat/>
    <w:rPr>
      <w:rFonts w:ascii="Courier New" w:hAnsi="Courier New" w:cs="Courier New"/>
    </w:rPr>
  </w:style>
  <w:style w:type="character" w:styleId="WW8Num40z2" w:customStyle="1">
    <w:name w:val="WW8Num40z2"/>
    <w:qFormat/>
    <w:rPr>
      <w:rFonts w:ascii="Wingdings" w:hAnsi="Wingdings" w:cs="Wingdings"/>
    </w:rPr>
  </w:style>
  <w:style w:type="character" w:styleId="WW8Num41z0" w:customStyle="1">
    <w:name w:val="WW8Num41z0"/>
    <w:qFormat/>
    <w:rPr>
      <w:rFonts w:ascii="Arial" w:hAnsi="Arial" w:cs="Times New Roman"/>
      <w:b/>
      <w:i w:val="false"/>
      <w:sz w:val="20"/>
      <w:szCs w:val="20"/>
    </w:rPr>
  </w:style>
  <w:style w:type="character" w:styleId="WW8Num41z1" w:customStyle="1">
    <w:name w:val="WW8Num41z1"/>
    <w:qFormat/>
    <w:rPr>
      <w:rFonts w:cs="Times New Roman"/>
    </w:rPr>
  </w:style>
  <w:style w:type="character" w:styleId="WW8Num41z2" w:customStyle="1">
    <w:name w:val="WW8Num41z2"/>
    <w:qFormat/>
    <w:rPr>
      <w:rFonts w:ascii="Arial" w:hAnsi="Arial" w:cs="Times New Roman"/>
      <w:b w:val="false"/>
      <w:i w:val="false"/>
    </w:rPr>
  </w:style>
  <w:style w:type="character" w:styleId="WW8Num41z3" w:customStyle="1">
    <w:name w:val="WW8Num41z3"/>
    <w:qFormat/>
    <w:rPr>
      <w:rFonts w:ascii="Arial" w:hAnsi="Arial" w:cs="Times New Roman"/>
      <w:b w:val="false"/>
      <w:i w:val="false"/>
      <w:sz w:val="20"/>
      <w:szCs w:val="20"/>
    </w:rPr>
  </w:style>
  <w:style w:type="character" w:styleId="DefaultParagraphFont1" w:customStyle="1">
    <w:name w:val="Default Paragraph Font1"/>
    <w:qFormat/>
    <w:rPr/>
  </w:style>
  <w:style w:type="character" w:styleId="Heading1Char" w:customStyle="1">
    <w:name w:val="Heading 1 Char"/>
    <w:qFormat/>
    <w:rPr>
      <w:rFonts w:ascii="Arial" w:hAnsi="Arial" w:cs="Arial"/>
      <w:b/>
      <w:bCs/>
      <w:color w:val="333399"/>
      <w:sz w:val="28"/>
      <w:szCs w:val="32"/>
      <w:lang w:val="en-US"/>
    </w:rPr>
  </w:style>
  <w:style w:type="character" w:styleId="Heading2Char" w:customStyle="1">
    <w:name w:val="Heading 2 Char"/>
    <w:qFormat/>
    <w:rPr>
      <w:rFonts w:ascii="Arial" w:hAnsi="Arial" w:cs="Arial"/>
      <w:b/>
      <w:color w:val="002060"/>
      <w:sz w:val="24"/>
      <w:szCs w:val="22"/>
      <w:lang w:val="en-GB"/>
    </w:rPr>
  </w:style>
  <w:style w:type="character" w:styleId="Heading5Char" w:customStyle="1">
    <w:name w:val="Heading 5 Char"/>
    <w:qFormat/>
    <w:rPr>
      <w:rFonts w:ascii="Calibri" w:hAnsi="Calibri" w:eastAsia="Times New Roman" w:cs="Times New Roman"/>
      <w:b/>
      <w:bCs/>
      <w:i/>
      <w:iCs/>
      <w:sz w:val="26"/>
      <w:szCs w:val="26"/>
      <w:lang w:val="en-GB"/>
    </w:rPr>
  </w:style>
  <w:style w:type="character" w:styleId="DateChar" w:customStyle="1">
    <w:name w:val="Date Char"/>
    <w:qFormat/>
    <w:rPr>
      <w:sz w:val="24"/>
      <w:szCs w:val="24"/>
      <w:lang w:val="en-GB"/>
    </w:rPr>
  </w:style>
  <w:style w:type="character" w:styleId="FooterChar" w:customStyle="1">
    <w:name w:val="Footer Char"/>
    <w:qFormat/>
    <w:rPr>
      <w:rFonts w:eastAsia="MS Mincho" w:cs="Times New Roman"/>
      <w:sz w:val="24"/>
      <w:szCs w:val="24"/>
      <w:lang w:val="en-US" w:eastAsia="ja-JP"/>
    </w:rPr>
  </w:style>
  <w:style w:type="character" w:styleId="22" w:customStyle="1">
    <w:name w:val="Παραπομπή σχολίου2"/>
    <w:qFormat/>
    <w:rPr>
      <w:sz w:val="16"/>
    </w:rPr>
  </w:style>
  <w:style w:type="character" w:styleId="Style9">
    <w:name w:val="Σύνδεσμος διαδικτύου"/>
    <w:uiPriority w:val="99"/>
    <w:rPr>
      <w:color w:val="0000FF"/>
      <w:u w:val="single"/>
    </w:rPr>
  </w:style>
  <w:style w:type="character" w:styleId="HeaderChar" w:customStyle="1">
    <w:name w:val="Header Char"/>
    <w:qFormat/>
    <w:rPr>
      <w:rFonts w:cs="Times New Roman"/>
      <w:sz w:val="24"/>
      <w:szCs w:val="24"/>
      <w:lang w:val="en-GB"/>
    </w:rPr>
  </w:style>
  <w:style w:type="character" w:styleId="Pagenumber">
    <w:name w:val="page number"/>
    <w:qFormat/>
    <w:rPr>
      <w:rFonts w:cs="Times New Roman"/>
    </w:rPr>
  </w:style>
  <w:style w:type="character" w:styleId="BalloonTextChar" w:customStyle="1">
    <w:name w:val="Balloon Text Char"/>
    <w:qFormat/>
    <w:rPr>
      <w:rFonts w:ascii="Tahoma" w:hAnsi="Tahoma" w:cs="Tahoma"/>
      <w:sz w:val="16"/>
      <w:szCs w:val="16"/>
      <w:lang w:val="en-GB"/>
    </w:rPr>
  </w:style>
  <w:style w:type="character" w:styleId="CommentTextChar" w:customStyle="1">
    <w:name w:val="Comment Text Char"/>
    <w:qFormat/>
    <w:rPr>
      <w:rFonts w:cs="Times New Roman"/>
      <w:lang w:val="en-GB"/>
    </w:rPr>
  </w:style>
  <w:style w:type="character" w:styleId="CommentSubjectChar" w:customStyle="1">
    <w:name w:val="Comment Subject Char"/>
    <w:qFormat/>
    <w:rPr>
      <w:rFonts w:cs="Times New Roman"/>
      <w:b/>
      <w:bCs/>
      <w:lang w:val="en-GB"/>
    </w:rPr>
  </w:style>
  <w:style w:type="character" w:styleId="BodyTextChar" w:customStyle="1">
    <w:name w:val="Body Text Char"/>
    <w:qFormat/>
    <w:rPr>
      <w:rFonts w:cs="Times New Roman"/>
      <w:sz w:val="24"/>
      <w:szCs w:val="24"/>
      <w:lang w:val="en-GB"/>
    </w:rPr>
  </w:style>
  <w:style w:type="character" w:styleId="11" w:customStyle="1">
    <w:name w:val="Κείμενο κράτησης θέσης1"/>
    <w:qFormat/>
    <w:rPr>
      <w:rFonts w:cs="Times New Roman"/>
      <w:color w:val="808080"/>
    </w:rPr>
  </w:style>
  <w:style w:type="character" w:styleId="Style10" w:customStyle="1">
    <w:name w:val="Χαρακτήρες υποσημείωσης"/>
    <w:qFormat/>
    <w:rPr>
      <w:rFonts w:cs="Times New Roman"/>
      <w:vertAlign w:val="superscript"/>
    </w:rPr>
  </w:style>
  <w:style w:type="character" w:styleId="FootnoteTextChar" w:customStyle="1">
    <w:name w:val="Footnote Text Char"/>
    <w:qFormat/>
    <w:rPr>
      <w:rFonts w:ascii="Calibri" w:hAnsi="Calibri" w:cs="Times New Roman"/>
      <w:lang w:val="x-none"/>
    </w:rPr>
  </w:style>
  <w:style w:type="character" w:styleId="Heading3Char" w:customStyle="1">
    <w:name w:val="Heading 3 Char"/>
    <w:qFormat/>
    <w:rPr>
      <w:rFonts w:ascii="Arial" w:hAnsi="Arial" w:cs="Arial"/>
      <w:b/>
      <w:bCs/>
      <w:sz w:val="22"/>
      <w:szCs w:val="26"/>
      <w:lang w:val="en-GB"/>
    </w:rPr>
  </w:style>
  <w:style w:type="character" w:styleId="Heading4Char" w:customStyle="1">
    <w:name w:val="Heading 4 Char"/>
    <w:qFormat/>
    <w:rPr>
      <w:rFonts w:ascii="Arial" w:hAnsi="Arial" w:eastAsia="Times New Roman" w:cs="Times New Roman"/>
      <w:b/>
      <w:bCs/>
      <w:sz w:val="22"/>
      <w:szCs w:val="28"/>
      <w:lang w:val="en-GB"/>
    </w:rPr>
  </w:style>
  <w:style w:type="character" w:styleId="DocTitleChar" w:customStyle="1">
    <w:name w:val="Doc Title Char"/>
    <w:basedOn w:val="Heading1Char"/>
    <w:qFormat/>
    <w:rPr>
      <w:rFonts w:ascii="Arial" w:hAnsi="Arial" w:cs="Arial"/>
      <w:b/>
      <w:bCs/>
      <w:color w:val="333399"/>
      <w:sz w:val="28"/>
      <w:szCs w:val="32"/>
      <w:lang w:val="en-US"/>
    </w:rPr>
  </w:style>
  <w:style w:type="character" w:styleId="Style1Char" w:customStyle="1">
    <w:name w:val="Style1 Char"/>
    <w:qFormat/>
    <w:rPr>
      <w:rFonts w:ascii="Calibri" w:hAnsi="Calibri" w:cs="Calibri"/>
      <w:b/>
      <w:bCs/>
      <w:color w:val="333399"/>
      <w:sz w:val="40"/>
      <w:szCs w:val="40"/>
      <w:lang w:val="en-US"/>
    </w:rPr>
  </w:style>
  <w:style w:type="character" w:styleId="ContentsChar" w:customStyle="1">
    <w:name w:val="Contents Char"/>
    <w:qFormat/>
    <w:rPr>
      <w:rFonts w:ascii="Calibri" w:hAnsi="Calibri" w:cs="Calibri"/>
      <w:b/>
      <w:bCs/>
      <w:color w:val="333399"/>
      <w:sz w:val="28"/>
      <w:szCs w:val="32"/>
      <w:lang w:val="en-US"/>
    </w:rPr>
  </w:style>
  <w:style w:type="character" w:styleId="EndnoteTextChar" w:customStyle="1">
    <w:name w:val="Endnote Text Char"/>
    <w:qFormat/>
    <w:rPr>
      <w:rFonts w:ascii="Calibri" w:hAnsi="Calibri" w:cs="Calibri"/>
      <w:lang w:val="en-GB"/>
    </w:rPr>
  </w:style>
  <w:style w:type="character" w:styleId="Style11" w:customStyle="1">
    <w:name w:val="Χαρακτήρες σημείωσης τέλους"/>
    <w:qFormat/>
    <w:rPr>
      <w:vertAlign w:val="superscript"/>
    </w:rPr>
  </w:style>
  <w:style w:type="character" w:styleId="FootnoteReference2" w:customStyle="1">
    <w:name w:val="Footnote Reference2"/>
    <w:qFormat/>
    <w:rPr>
      <w:vertAlign w:val="superscript"/>
    </w:rPr>
  </w:style>
  <w:style w:type="character" w:styleId="EndnoteReference1" w:customStyle="1">
    <w:name w:val="Endnote Reference1"/>
    <w:qFormat/>
    <w:rPr>
      <w:vertAlign w:val="superscript"/>
    </w:rPr>
  </w:style>
  <w:style w:type="character" w:styleId="Style12" w:customStyle="1">
    <w:name w:val="Κουκκίδες"/>
    <w:qFormat/>
    <w:rPr>
      <w:rFonts w:ascii="OpenSymbol" w:hAnsi="OpenSymbol" w:eastAsia="OpenSymbol" w:cs="OpenSymbol"/>
    </w:rPr>
  </w:style>
  <w:style w:type="character" w:styleId="Strong">
    <w:name w:val="Strong"/>
    <w:uiPriority w:val="22"/>
    <w:qFormat/>
    <w:rPr>
      <w:b/>
      <w:bCs/>
    </w:rPr>
  </w:style>
  <w:style w:type="character" w:styleId="12" w:customStyle="1">
    <w:name w:val="Προεπιλεγμένη γραμματοσειρά1"/>
    <w:qFormat/>
    <w:rPr/>
  </w:style>
  <w:style w:type="character" w:styleId="Style13" w:customStyle="1">
    <w:name w:val="Σύμβολο υποσημείωσης"/>
    <w:qFormat/>
    <w:rPr>
      <w:vertAlign w:val="superscript"/>
    </w:rPr>
  </w:style>
  <w:style w:type="character" w:styleId="Style14">
    <w:name w:val="Έμφαση"/>
    <w:uiPriority w:val="20"/>
    <w:qFormat/>
    <w:rPr>
      <w:i/>
      <w:iCs/>
    </w:rPr>
  </w:style>
  <w:style w:type="character" w:styleId="Style15" w:customStyle="1">
    <w:name w:val="Χαρακτήρες αρίθμησης"/>
    <w:qFormat/>
    <w:rPr/>
  </w:style>
  <w:style w:type="character" w:styleId="NormalwithoutspacingChar" w:customStyle="1">
    <w:name w:val="normal_without_spacing Char"/>
    <w:qFormat/>
    <w:rPr>
      <w:rFonts w:ascii="Calibri" w:hAnsi="Calibri" w:cs="Calibri"/>
      <w:sz w:val="22"/>
      <w:szCs w:val="24"/>
    </w:rPr>
  </w:style>
  <w:style w:type="character" w:styleId="FootnoteTextChar1" w:customStyle="1">
    <w:name w:val="Footnote Text Char1"/>
    <w:qFormat/>
    <w:rPr>
      <w:rFonts w:ascii="Calibri" w:hAnsi="Calibri" w:cs="Calibri"/>
      <w:lang w:val="en-IE" w:eastAsia="zh-CN"/>
    </w:rPr>
  </w:style>
  <w:style w:type="character" w:styleId="FoothangingChar" w:customStyle="1">
    <w:name w:val="foot_hanging Char"/>
    <w:qFormat/>
    <w:rPr>
      <w:rFonts w:ascii="Calibri" w:hAnsi="Calibri" w:cs="Calibri"/>
      <w:sz w:val="18"/>
      <w:szCs w:val="18"/>
      <w:lang w:val="en-IE" w:eastAsia="zh-CN"/>
    </w:rPr>
  </w:style>
  <w:style w:type="character" w:styleId="HTMLPreformattedChar" w:customStyle="1">
    <w:name w:val="HTML Preformatted Char"/>
    <w:qFormat/>
    <w:rPr>
      <w:rFonts w:ascii="Courier New" w:hAnsi="Courier New" w:cs="Courier New"/>
    </w:rPr>
  </w:style>
  <w:style w:type="character" w:styleId="Appleconvertedspace" w:customStyle="1">
    <w:name w:val="apple-converted-space"/>
    <w:basedOn w:val="WWDefaultParagraphFont11111111111111111111"/>
    <w:qFormat/>
    <w:rPr/>
  </w:style>
  <w:style w:type="character" w:styleId="BodyTextIndent3Char" w:customStyle="1">
    <w:name w:val="Body Text Indent 3 Char"/>
    <w:qFormat/>
    <w:rPr>
      <w:rFonts w:ascii="Calibri" w:hAnsi="Calibri" w:cs="Calibri"/>
      <w:sz w:val="16"/>
      <w:szCs w:val="16"/>
      <w:lang w:val="en-GB"/>
    </w:rPr>
  </w:style>
  <w:style w:type="character" w:styleId="WWFootnoteReference" w:customStyle="1">
    <w:name w:val="WW-Footnote Reference"/>
    <w:qFormat/>
    <w:rPr>
      <w:vertAlign w:val="superscript"/>
    </w:rPr>
  </w:style>
  <w:style w:type="character" w:styleId="WWEndnoteReference" w:customStyle="1">
    <w:name w:val="WW-Endnote Reference"/>
    <w:qFormat/>
    <w:rPr>
      <w:vertAlign w:val="superscript"/>
    </w:rPr>
  </w:style>
  <w:style w:type="character" w:styleId="FootnoteReference1" w:customStyle="1">
    <w:name w:val="Footnote Reference1"/>
    <w:qFormat/>
    <w:rPr>
      <w:vertAlign w:val="superscript"/>
    </w:rPr>
  </w:style>
  <w:style w:type="character" w:styleId="FootnoteTextChar2" w:customStyle="1">
    <w:name w:val="Footnote Text Char2"/>
    <w:qFormat/>
    <w:rPr>
      <w:rFonts w:ascii="Calibri" w:hAnsi="Calibri" w:cs="Calibri"/>
      <w:sz w:val="18"/>
      <w:lang w:val="en-IE" w:eastAsia="zh-CN"/>
    </w:rPr>
  </w:style>
  <w:style w:type="character" w:styleId="FoothangingChar1" w:customStyle="1">
    <w:name w:val="foot_hanging Char1"/>
    <w:qFormat/>
    <w:rPr>
      <w:rFonts w:ascii="Calibri" w:hAnsi="Calibri" w:cs="Calibri"/>
      <w:sz w:val="18"/>
      <w:szCs w:val="18"/>
      <w:lang w:val="en-IE" w:eastAsia="zh-CN"/>
    </w:rPr>
  </w:style>
  <w:style w:type="character" w:styleId="FootersChar" w:customStyle="1">
    <w:name w:val="footers Char"/>
    <w:basedOn w:val="FoothangingChar1"/>
    <w:qFormat/>
    <w:rPr>
      <w:rFonts w:ascii="Calibri" w:hAnsi="Calibri" w:cs="Calibri"/>
      <w:sz w:val="18"/>
      <w:szCs w:val="18"/>
      <w:lang w:val="en-IE" w:eastAsia="zh-CN"/>
    </w:rPr>
  </w:style>
  <w:style w:type="character" w:styleId="CommentTextChar1" w:customStyle="1">
    <w:name w:val="Comment Text Char1"/>
    <w:qFormat/>
    <w:rPr>
      <w:rFonts w:ascii="Calibri" w:hAnsi="Calibri" w:cs="Calibri"/>
      <w:lang w:val="en-GB" w:eastAsia="zh-CN"/>
    </w:rPr>
  </w:style>
  <w:style w:type="character" w:styleId="HTMLPreformattedChar1" w:customStyle="1">
    <w:name w:val="HTML Preformatted Char1"/>
    <w:qFormat/>
    <w:rPr>
      <w:rFonts w:ascii="Courier New" w:hAnsi="Courier New" w:cs="Courier New"/>
      <w:lang w:eastAsia="zh-CN"/>
    </w:rPr>
  </w:style>
  <w:style w:type="character" w:styleId="BodyText3Char" w:customStyle="1">
    <w:name w:val="Body Text 3 Char"/>
    <w:qFormat/>
    <w:rPr>
      <w:rFonts w:ascii="Calibri" w:hAnsi="Calibri" w:cs="Calibri"/>
      <w:sz w:val="16"/>
      <w:szCs w:val="16"/>
      <w:lang w:val="en-GB" w:eastAsia="zh-CN"/>
    </w:rPr>
  </w:style>
  <w:style w:type="character" w:styleId="WWFootnoteReference1" w:customStyle="1">
    <w:name w:val="WW-Footnote Reference1"/>
    <w:qFormat/>
    <w:rPr>
      <w:vertAlign w:val="superscript"/>
    </w:rPr>
  </w:style>
  <w:style w:type="character" w:styleId="WWEndnoteReference1" w:customStyle="1">
    <w:name w:val="WW-Endnote Reference1"/>
    <w:qFormat/>
    <w:rPr>
      <w:vertAlign w:val="superscript"/>
    </w:rPr>
  </w:style>
  <w:style w:type="character" w:styleId="WWFootnoteReference2" w:customStyle="1">
    <w:name w:val="WW-Footnote Reference2"/>
    <w:qFormat/>
    <w:rPr>
      <w:vertAlign w:val="superscript"/>
    </w:rPr>
  </w:style>
  <w:style w:type="character" w:styleId="WWEndnoteReference2" w:customStyle="1">
    <w:name w:val="WW-Endnote Reference2"/>
    <w:qFormat/>
    <w:rPr>
      <w:vertAlign w:val="superscript"/>
    </w:rPr>
  </w:style>
  <w:style w:type="character" w:styleId="FootnoteTextChar3" w:customStyle="1">
    <w:name w:val="Footnote Text Char3"/>
    <w:qFormat/>
    <w:rPr>
      <w:rFonts w:ascii="Calibri" w:hAnsi="Calibri" w:cs="Calibri"/>
      <w:sz w:val="18"/>
      <w:lang w:val="en-IE" w:eastAsia="zh-CN"/>
    </w:rPr>
  </w:style>
  <w:style w:type="character" w:styleId="FoothangingChar2" w:customStyle="1">
    <w:name w:val="foot_hanging Char2"/>
    <w:qFormat/>
    <w:rPr>
      <w:rFonts w:ascii="Calibri" w:hAnsi="Calibri" w:cs="Calibri"/>
      <w:sz w:val="18"/>
      <w:szCs w:val="18"/>
      <w:lang w:val="en-IE" w:eastAsia="zh-CN"/>
    </w:rPr>
  </w:style>
  <w:style w:type="character" w:styleId="FootersChar1" w:customStyle="1">
    <w:name w:val="footers Char1"/>
    <w:basedOn w:val="FoothangingChar2"/>
    <w:qFormat/>
    <w:rPr>
      <w:rFonts w:ascii="Calibri" w:hAnsi="Calibri" w:cs="Calibri"/>
      <w:sz w:val="18"/>
      <w:szCs w:val="18"/>
      <w:lang w:val="en-IE" w:eastAsia="zh-CN"/>
    </w:rPr>
  </w:style>
  <w:style w:type="character" w:styleId="FoootChar" w:customStyle="1">
    <w:name w:val="fooot Char"/>
    <w:basedOn w:val="FootersChar1"/>
    <w:qFormat/>
    <w:rPr>
      <w:rFonts w:ascii="Calibri" w:hAnsi="Calibri" w:cs="Calibri"/>
      <w:sz w:val="18"/>
      <w:szCs w:val="18"/>
      <w:lang w:val="en-IE" w:eastAsia="zh-CN"/>
    </w:rPr>
  </w:style>
  <w:style w:type="character" w:styleId="13" w:customStyle="1">
    <w:name w:val="Παραπομπή υποσημείωσης1"/>
    <w:qFormat/>
    <w:rPr>
      <w:vertAlign w:val="superscript"/>
    </w:rPr>
  </w:style>
  <w:style w:type="character" w:styleId="14" w:customStyle="1">
    <w:name w:val="Παραπομπή σημείωσης τέλους1"/>
    <w:qFormat/>
    <w:rPr>
      <w:vertAlign w:val="superscript"/>
    </w:rPr>
  </w:style>
  <w:style w:type="character" w:styleId="Char" w:customStyle="1">
    <w:name w:val="Κείμενο πλαισίου Char"/>
    <w:qFormat/>
    <w:rPr>
      <w:rFonts w:ascii="Tahoma" w:hAnsi="Tahoma" w:cs="Tahoma"/>
      <w:sz w:val="16"/>
      <w:szCs w:val="16"/>
      <w:lang w:val="en-GB"/>
    </w:rPr>
  </w:style>
  <w:style w:type="character" w:styleId="15" w:customStyle="1">
    <w:name w:val="Παραπομπή σχολίου1"/>
    <w:qFormat/>
    <w:rPr>
      <w:sz w:val="16"/>
      <w:szCs w:val="16"/>
    </w:rPr>
  </w:style>
  <w:style w:type="character" w:styleId="Char1" w:customStyle="1">
    <w:name w:val="Κείμενο σχολίου Char"/>
    <w:qFormat/>
    <w:rPr>
      <w:rFonts w:ascii="Calibri" w:hAnsi="Calibri" w:cs="Calibri"/>
      <w:lang w:val="en-GB"/>
    </w:rPr>
  </w:style>
  <w:style w:type="character" w:styleId="Char2" w:customStyle="1">
    <w:name w:val="Θέμα σχολίου Char"/>
    <w:qFormat/>
    <w:rPr>
      <w:rFonts w:ascii="Calibri" w:hAnsi="Calibri" w:cs="Calibri"/>
      <w:b/>
      <w:bCs/>
      <w:lang w:val="en-GB"/>
    </w:rPr>
  </w:style>
  <w:style w:type="character" w:styleId="HTMLChar" w:customStyle="1">
    <w:name w:val="Προ-διαμορφωμένο HTML Char"/>
    <w:link w:val="HTMLPreformatted"/>
    <w:uiPriority w:val="99"/>
    <w:qFormat/>
    <w:rPr>
      <w:rFonts w:ascii="Courier New" w:hAnsi="Courier New" w:eastAsia="Times New Roman" w:cs="Courier New"/>
    </w:rPr>
  </w:style>
  <w:style w:type="character" w:styleId="WWFootnoteReference3" w:customStyle="1">
    <w:name w:val="WW-Footnote Reference3"/>
    <w:qFormat/>
    <w:rPr>
      <w:vertAlign w:val="superscript"/>
    </w:rPr>
  </w:style>
  <w:style w:type="character" w:styleId="WWEndnoteReference3" w:customStyle="1">
    <w:name w:val="WW-Endnote Reference3"/>
    <w:qFormat/>
    <w:rPr>
      <w:vertAlign w:val="superscript"/>
    </w:rPr>
  </w:style>
  <w:style w:type="character" w:styleId="WWFootnoteReference4" w:customStyle="1">
    <w:name w:val="WW-Footnote Reference4"/>
    <w:qFormat/>
    <w:rPr>
      <w:vertAlign w:val="superscript"/>
    </w:rPr>
  </w:style>
  <w:style w:type="character" w:styleId="WWEndnoteReference4" w:customStyle="1">
    <w:name w:val="WW-Endnote Reference4"/>
    <w:qFormat/>
    <w:rPr>
      <w:vertAlign w:val="superscript"/>
    </w:rPr>
  </w:style>
  <w:style w:type="character" w:styleId="WWFootnoteReference5" w:customStyle="1">
    <w:name w:val="WW-Footnote Reference5"/>
    <w:qFormat/>
    <w:rPr>
      <w:vertAlign w:val="superscript"/>
    </w:rPr>
  </w:style>
  <w:style w:type="character" w:styleId="WWEndnoteReference5" w:customStyle="1">
    <w:name w:val="WW-Endnote Reference5"/>
    <w:qFormat/>
    <w:rPr>
      <w:vertAlign w:val="superscript"/>
    </w:rPr>
  </w:style>
  <w:style w:type="character" w:styleId="WWFootnoteReference6" w:customStyle="1">
    <w:name w:val="WW-Footnote Reference6"/>
    <w:qFormat/>
    <w:rPr>
      <w:vertAlign w:val="superscript"/>
    </w:rPr>
  </w:style>
  <w:style w:type="character" w:styleId="Style16">
    <w:name w:val="Αναγνωσμένος δεσμός διαδικτύου"/>
    <w:rPr>
      <w:color w:val="800000"/>
      <w:u w:val="single"/>
    </w:rPr>
  </w:style>
  <w:style w:type="character" w:styleId="WWEndnoteReference6" w:customStyle="1">
    <w:name w:val="WW-Endnote Reference6"/>
    <w:qFormat/>
    <w:rPr>
      <w:vertAlign w:val="superscript"/>
    </w:rPr>
  </w:style>
  <w:style w:type="character" w:styleId="WWFootnoteReference7" w:customStyle="1">
    <w:name w:val="WW-Footnote Reference7"/>
    <w:qFormat/>
    <w:rPr>
      <w:vertAlign w:val="superscript"/>
    </w:rPr>
  </w:style>
  <w:style w:type="character" w:styleId="WWEndnoteReference7" w:customStyle="1">
    <w:name w:val="WW-Endnote Reference7"/>
    <w:qFormat/>
    <w:rPr>
      <w:vertAlign w:val="superscript"/>
    </w:rPr>
  </w:style>
  <w:style w:type="character" w:styleId="WWFootnoteReference8" w:customStyle="1">
    <w:name w:val="WW-Footnote Reference8"/>
    <w:qFormat/>
    <w:rPr>
      <w:vertAlign w:val="superscript"/>
    </w:rPr>
  </w:style>
  <w:style w:type="character" w:styleId="WWEndnoteReference8" w:customStyle="1">
    <w:name w:val="WW-Endnote Reference8"/>
    <w:qFormat/>
    <w:rPr>
      <w:vertAlign w:val="superscript"/>
    </w:rPr>
  </w:style>
  <w:style w:type="character" w:styleId="WWFootnoteReference9" w:customStyle="1">
    <w:name w:val="WW-Footnote Reference9"/>
    <w:qFormat/>
    <w:rPr>
      <w:vertAlign w:val="superscript"/>
    </w:rPr>
  </w:style>
  <w:style w:type="character" w:styleId="WWEndnoteReference9" w:customStyle="1">
    <w:name w:val="WW-Endnote Reference9"/>
    <w:qFormat/>
    <w:rPr>
      <w:vertAlign w:val="superscript"/>
    </w:rPr>
  </w:style>
  <w:style w:type="character" w:styleId="WWFootnoteReference10" w:customStyle="1">
    <w:name w:val="WW-Footnote Reference10"/>
    <w:qFormat/>
    <w:rPr>
      <w:vertAlign w:val="superscript"/>
    </w:rPr>
  </w:style>
  <w:style w:type="character" w:styleId="WWEndnoteReference10" w:customStyle="1">
    <w:name w:val="WW-Endnote Reference10"/>
    <w:qFormat/>
    <w:rPr>
      <w:vertAlign w:val="superscript"/>
    </w:rPr>
  </w:style>
  <w:style w:type="character" w:styleId="WWFootnoteReference11" w:customStyle="1">
    <w:name w:val="WW-Footnote Reference11"/>
    <w:qFormat/>
    <w:rPr>
      <w:vertAlign w:val="superscript"/>
    </w:rPr>
  </w:style>
  <w:style w:type="character" w:styleId="WWEndnoteReference11" w:customStyle="1">
    <w:name w:val="WW-Endnote Reference11"/>
    <w:qFormat/>
    <w:rPr>
      <w:vertAlign w:val="superscript"/>
    </w:rPr>
  </w:style>
  <w:style w:type="character" w:styleId="WWFootnoteReference12" w:customStyle="1">
    <w:name w:val="WW-Footnote Reference12"/>
    <w:qFormat/>
    <w:rPr>
      <w:vertAlign w:val="superscript"/>
    </w:rPr>
  </w:style>
  <w:style w:type="character" w:styleId="WWEndnoteReference12" w:customStyle="1">
    <w:name w:val="WW-Endnote Reference12"/>
    <w:qFormat/>
    <w:rPr>
      <w:vertAlign w:val="superscript"/>
    </w:rPr>
  </w:style>
  <w:style w:type="character" w:styleId="WWFootnoteReference13" w:customStyle="1">
    <w:name w:val="WW-Footnote Reference13"/>
    <w:qFormat/>
    <w:rPr>
      <w:vertAlign w:val="superscript"/>
    </w:rPr>
  </w:style>
  <w:style w:type="character" w:styleId="WWEndnoteReference13" w:customStyle="1">
    <w:name w:val="WW-Endnote Reference13"/>
    <w:qFormat/>
    <w:rPr>
      <w:vertAlign w:val="superscript"/>
    </w:rPr>
  </w:style>
  <w:style w:type="character" w:styleId="42" w:customStyle="1">
    <w:name w:val="Παραπομπή υποσημείωσης4"/>
    <w:qFormat/>
    <w:rPr>
      <w:vertAlign w:val="superscript"/>
    </w:rPr>
  </w:style>
  <w:style w:type="character" w:styleId="Style17" w:customStyle="1">
    <w:name w:val="Σύμβολα σημείωσης τέλους"/>
    <w:qFormat/>
    <w:rPr>
      <w:vertAlign w:val="superscript"/>
    </w:rPr>
  </w:style>
  <w:style w:type="character" w:styleId="23" w:customStyle="1">
    <w:name w:val="Παραπομπή υποσημείωσης2"/>
    <w:qFormat/>
    <w:rPr>
      <w:vertAlign w:val="superscript"/>
    </w:rPr>
  </w:style>
  <w:style w:type="character" w:styleId="24" w:customStyle="1">
    <w:name w:val="Παραπομπή σημείωσης τέλους2"/>
    <w:qFormat/>
    <w:rPr>
      <w:vertAlign w:val="superscript"/>
    </w:rPr>
  </w:style>
  <w:style w:type="character" w:styleId="WWFootnoteReference14" w:customStyle="1">
    <w:name w:val="WW-Footnote Reference14"/>
    <w:qFormat/>
    <w:rPr>
      <w:vertAlign w:val="superscript"/>
    </w:rPr>
  </w:style>
  <w:style w:type="character" w:styleId="WWEndnoteReference14" w:customStyle="1">
    <w:name w:val="WW-Endnote Reference14"/>
    <w:qFormat/>
    <w:rPr>
      <w:vertAlign w:val="superscript"/>
    </w:rPr>
  </w:style>
  <w:style w:type="character" w:styleId="WWFootnoteReference15" w:customStyle="1">
    <w:name w:val="WW-Footnote Reference15"/>
    <w:qFormat/>
    <w:rPr>
      <w:vertAlign w:val="superscript"/>
    </w:rPr>
  </w:style>
  <w:style w:type="character" w:styleId="WWEndnoteReference15" w:customStyle="1">
    <w:name w:val="WW-Endnote Reference15"/>
    <w:qFormat/>
    <w:rPr>
      <w:vertAlign w:val="superscript"/>
    </w:rPr>
  </w:style>
  <w:style w:type="character" w:styleId="WWFootnoteReference16" w:customStyle="1">
    <w:name w:val="WW-Footnote Reference16"/>
    <w:qFormat/>
    <w:rPr>
      <w:vertAlign w:val="superscript"/>
    </w:rPr>
  </w:style>
  <w:style w:type="character" w:styleId="WWEndnoteReference16" w:customStyle="1">
    <w:name w:val="WW-Endnote Reference16"/>
    <w:qFormat/>
    <w:rPr>
      <w:vertAlign w:val="superscript"/>
    </w:rPr>
  </w:style>
  <w:style w:type="character" w:styleId="WWFootnoteReference17" w:customStyle="1">
    <w:name w:val="WW-Footnote Reference17"/>
    <w:qFormat/>
    <w:rPr>
      <w:vertAlign w:val="superscript"/>
    </w:rPr>
  </w:style>
  <w:style w:type="character" w:styleId="WWEndnoteReference17" w:customStyle="1">
    <w:name w:val="WW-Endnote Reference17"/>
    <w:qFormat/>
    <w:rPr>
      <w:vertAlign w:val="superscript"/>
    </w:rPr>
  </w:style>
  <w:style w:type="character" w:styleId="32" w:customStyle="1">
    <w:name w:val="Παραπομπή υποσημείωσης3"/>
    <w:qFormat/>
    <w:rPr>
      <w:vertAlign w:val="superscript"/>
    </w:rPr>
  </w:style>
  <w:style w:type="character" w:styleId="33" w:customStyle="1">
    <w:name w:val="Παραπομπή σημείωσης τέλους3"/>
    <w:qFormat/>
    <w:rPr>
      <w:vertAlign w:val="superscript"/>
    </w:rPr>
  </w:style>
  <w:style w:type="character" w:styleId="WWFootnoteReference18" w:customStyle="1">
    <w:name w:val="WW-Footnote Reference18"/>
    <w:qFormat/>
    <w:rPr>
      <w:vertAlign w:val="superscript"/>
    </w:rPr>
  </w:style>
  <w:style w:type="character" w:styleId="WWEndnoteReference18" w:customStyle="1">
    <w:name w:val="WW-Endnote Reference18"/>
    <w:qFormat/>
    <w:rPr>
      <w:vertAlign w:val="superscript"/>
    </w:rPr>
  </w:style>
  <w:style w:type="character" w:styleId="WWFootnoteReference19" w:customStyle="1">
    <w:name w:val="WW-Footnote Reference19"/>
    <w:qFormat/>
    <w:rPr>
      <w:vertAlign w:val="superscript"/>
    </w:rPr>
  </w:style>
  <w:style w:type="character" w:styleId="WWEndnoteReference19" w:customStyle="1">
    <w:name w:val="WW-Endnote Reference19"/>
    <w:qFormat/>
    <w:rPr>
      <w:vertAlign w:val="superscript"/>
    </w:rPr>
  </w:style>
  <w:style w:type="character" w:styleId="WWFootnoteReference20" w:customStyle="1">
    <w:name w:val="WW-Footnote Reference20"/>
    <w:qFormat/>
    <w:rPr>
      <w:vertAlign w:val="superscript"/>
    </w:rPr>
  </w:style>
  <w:style w:type="character" w:styleId="WWEndnoteReference20" w:customStyle="1">
    <w:name w:val="WW-Endnote Reference20"/>
    <w:qFormat/>
    <w:rPr>
      <w:vertAlign w:val="superscript"/>
    </w:rPr>
  </w:style>
  <w:style w:type="character" w:styleId="Style18" w:customStyle="1">
    <w:name w:val="Σύνδεση ευρετηρίου"/>
    <w:qFormat/>
    <w:rPr/>
  </w:style>
  <w:style w:type="character" w:styleId="WW1" w:customStyle="1">
    <w:name w:val="WW-Παραπομπή υποσημείωσης"/>
    <w:qFormat/>
    <w:rPr>
      <w:vertAlign w:val="superscript"/>
    </w:rPr>
  </w:style>
  <w:style w:type="character" w:styleId="43" w:customStyle="1">
    <w:name w:val="Παραπομπή σημείωσης τέλους4"/>
    <w:qFormat/>
    <w:rPr>
      <w:vertAlign w:val="superscript"/>
    </w:rPr>
  </w:style>
  <w:style w:type="character" w:styleId="Char3" w:customStyle="1">
    <w:name w:val="Κείμενο υποσημείωσης Char"/>
    <w:qFormat/>
    <w:rPr>
      <w:rFonts w:ascii="Calibri" w:hAnsi="Calibri" w:cs="Calibri"/>
      <w:sz w:val="18"/>
      <w:lang w:val="en-IE" w:eastAsia="zh-CN"/>
    </w:rPr>
  </w:style>
  <w:style w:type="character" w:styleId="Style19">
    <w:name w:val="Αγκίστρωση υποσημείωσης"/>
    <w:rPr>
      <w:vertAlign w:val="superscript"/>
    </w:rPr>
  </w:style>
  <w:style w:type="character" w:styleId="FootnoteCharacters">
    <w:name w:val="Footnote Characters"/>
    <w:uiPriority w:val="99"/>
    <w:qFormat/>
    <w:rPr>
      <w:vertAlign w:val="superscript"/>
    </w:rPr>
  </w:style>
  <w:style w:type="character" w:styleId="Style20">
    <w:name w:val="Αγκίστρωση σημειώσεων τέλους"/>
    <w:rPr>
      <w:vertAlign w:val="superscript"/>
    </w:rPr>
  </w:style>
  <w:style w:type="character" w:styleId="EndnoteCharacters">
    <w:name w:val="Endnote Characters"/>
    <w:qFormat/>
    <w:rPr>
      <w:vertAlign w:val="superscript"/>
    </w:rPr>
  </w:style>
  <w:style w:type="character" w:styleId="WWFootnoteReference123" w:customStyle="1">
    <w:name w:val="WW-Footnote Reference123"/>
    <w:qFormat/>
    <w:rPr>
      <w:vertAlign w:val="superscript"/>
    </w:rPr>
  </w:style>
  <w:style w:type="character" w:styleId="Char11" w:customStyle="1">
    <w:name w:val="Κείμενο πλαισίου Char1"/>
    <w:link w:val="BalloonText"/>
    <w:uiPriority w:val="99"/>
    <w:semiHidden/>
    <w:qFormat/>
    <w:rsid w:val="009e5776"/>
    <w:rPr>
      <w:rFonts w:ascii="Segoe UI" w:hAnsi="Segoe UI" w:cs="Segoe UI"/>
      <w:sz w:val="18"/>
      <w:szCs w:val="18"/>
      <w:lang w:val="en-GB" w:eastAsia="ar-SA"/>
    </w:rPr>
  </w:style>
  <w:style w:type="character" w:styleId="Annotationreference">
    <w:name w:val="annotation reference"/>
    <w:uiPriority w:val="99"/>
    <w:unhideWhenUsed/>
    <w:qFormat/>
    <w:rsid w:val="009e5776"/>
    <w:rPr>
      <w:sz w:val="16"/>
      <w:szCs w:val="16"/>
    </w:rPr>
  </w:style>
  <w:style w:type="character" w:styleId="Char12" w:customStyle="1">
    <w:name w:val="Κείμενο σχολίου Char1"/>
    <w:link w:val="Annotationtext"/>
    <w:uiPriority w:val="99"/>
    <w:qFormat/>
    <w:rsid w:val="009e5776"/>
    <w:rPr>
      <w:rFonts w:ascii="Calibri" w:hAnsi="Calibri" w:cs="Calibri"/>
      <w:lang w:val="en-GB" w:eastAsia="ar-SA"/>
    </w:rPr>
  </w:style>
  <w:style w:type="character" w:styleId="Char13" w:customStyle="1">
    <w:name w:val="Θέμα σχολίου Char1"/>
    <w:link w:val="Annotationsubject"/>
    <w:uiPriority w:val="99"/>
    <w:semiHidden/>
    <w:qFormat/>
    <w:rsid w:val="009e5776"/>
    <w:rPr>
      <w:rFonts w:ascii="Calibri" w:hAnsi="Calibri" w:cs="Calibri"/>
      <w:b/>
      <w:bCs/>
      <w:lang w:val="en-GB" w:eastAsia="ar-SA"/>
    </w:rPr>
  </w:style>
  <w:style w:type="character" w:styleId="HTMLChar1" w:customStyle="1">
    <w:name w:val="Προ-διαμορφωμένο HTML Char1"/>
    <w:uiPriority w:val="99"/>
    <w:semiHidden/>
    <w:qFormat/>
    <w:rsid w:val="0037683f"/>
    <w:rPr>
      <w:rFonts w:ascii="Courier New" w:hAnsi="Courier New" w:cs="Courier New"/>
      <w:lang w:val="en-GB" w:eastAsia="ar-SA"/>
    </w:rPr>
  </w:style>
  <w:style w:type="character" w:styleId="Char4" w:customStyle="1">
    <w:name w:val="Κείμενο σημείωσης τέλους Char"/>
    <w:qFormat/>
    <w:rsid w:val="009669f2"/>
    <w:rPr>
      <w:rFonts w:ascii="Calibri" w:hAnsi="Calibri" w:cs="Calibri"/>
      <w:lang w:val="en-GB" w:eastAsia="ar-SA"/>
    </w:rPr>
  </w:style>
  <w:style w:type="character" w:styleId="UnresolvedMention" w:customStyle="1">
    <w:name w:val="Unresolved Mention"/>
    <w:uiPriority w:val="99"/>
    <w:semiHidden/>
    <w:unhideWhenUsed/>
    <w:qFormat/>
    <w:rsid w:val="0049092a"/>
    <w:rPr>
      <w:color w:val="605E5C"/>
      <w:shd w:fill="E1DFDD" w:val="clear"/>
    </w:rPr>
  </w:style>
  <w:style w:type="character" w:styleId="2Char" w:customStyle="1">
    <w:name w:val="Επικεφαλίδα 2 Char"/>
    <w:uiPriority w:val="9"/>
    <w:qFormat/>
    <w:rsid w:val="00e20e70"/>
    <w:rPr>
      <w:rFonts w:ascii="Arial" w:hAnsi="Arial" w:cs="Arial"/>
      <w:b/>
      <w:color w:val="002060"/>
      <w:sz w:val="24"/>
      <w:szCs w:val="22"/>
      <w:lang w:val="en-GB" w:eastAsia="ar-SA"/>
    </w:rPr>
  </w:style>
  <w:style w:type="character" w:styleId="Style21">
    <w:name w:val="Προεπιλεγμένη γραμματοσειρά"/>
    <w:qFormat/>
    <w:rPr/>
  </w:style>
  <w:style w:type="character" w:styleId="Style22">
    <w:name w:val="Έντονη έμφαση"/>
    <w:basedOn w:val="Style21"/>
    <w:qFormat/>
    <w:rPr>
      <w:b/>
      <w:bCs/>
    </w:rPr>
  </w:style>
  <w:style w:type="character" w:styleId="Style23">
    <w:name w:val="Αριθμός σελίδας"/>
    <w:rPr>
      <w:rFonts w:cs="Times New Roman"/>
    </w:rPr>
  </w:style>
  <w:style w:type="paragraph" w:styleId="Style24" w:customStyle="1">
    <w:name w:val="Επικεφαλίδα"/>
    <w:basedOn w:val="Normal"/>
    <w:next w:val="Style25"/>
    <w:qFormat/>
    <w:pPr>
      <w:keepNext w:val="true"/>
      <w:spacing w:before="240" w:after="120"/>
    </w:pPr>
    <w:rPr>
      <w:rFonts w:ascii="Liberation Sans" w:hAnsi="Liberation Sans" w:eastAsia="Microsoft YaHei" w:cs="Mangal"/>
      <w:sz w:val="28"/>
      <w:szCs w:val="28"/>
    </w:rPr>
  </w:style>
  <w:style w:type="paragraph" w:styleId="Style25">
    <w:name w:val="Body Text"/>
    <w:basedOn w:val="Normal"/>
    <w:pPr>
      <w:spacing w:before="0" w:after="240"/>
    </w:pPr>
    <w:rPr/>
  </w:style>
  <w:style w:type="paragraph" w:styleId="Style26">
    <w:name w:val="List"/>
    <w:basedOn w:val="Style25"/>
    <w:pPr/>
    <w:rPr>
      <w:rFonts w:cs="Mangal"/>
    </w:rPr>
  </w:style>
  <w:style w:type="paragraph" w:styleId="Style27">
    <w:name w:val="Caption"/>
    <w:basedOn w:val="Normal"/>
    <w:qFormat/>
    <w:pPr>
      <w:suppressLineNumbers/>
      <w:spacing w:before="120" w:after="120"/>
    </w:pPr>
    <w:rPr>
      <w:rFonts w:cs="Arial"/>
      <w:i/>
      <w:iCs/>
      <w:sz w:val="24"/>
      <w:szCs w:val="24"/>
    </w:rPr>
  </w:style>
  <w:style w:type="paragraph" w:styleId="Style28" w:customStyle="1">
    <w:name w:val="Ευρετήριο"/>
    <w:basedOn w:val="Normal"/>
    <w:qFormat/>
    <w:pPr>
      <w:suppressLineNumbers/>
    </w:pPr>
    <w:rPr>
      <w:rFonts w:cs="Mangal"/>
    </w:rPr>
  </w:style>
  <w:style w:type="paragraph" w:styleId="44" w:customStyle="1">
    <w:name w:val="Λεζάντα4"/>
    <w:basedOn w:val="Normal"/>
    <w:qFormat/>
    <w:pPr>
      <w:suppressLineNumbers/>
      <w:spacing w:before="120" w:after="120"/>
    </w:pPr>
    <w:rPr>
      <w:rFonts w:cs="Mangal"/>
      <w:i/>
      <w:iCs/>
      <w:sz w:val="24"/>
    </w:rPr>
  </w:style>
  <w:style w:type="paragraph" w:styleId="WW2" w:customStyle="1">
    <w:name w:val="WW-Λεζάντα"/>
    <w:basedOn w:val="Normal"/>
    <w:qFormat/>
    <w:pPr>
      <w:suppressLineNumbers/>
      <w:spacing w:before="120" w:after="120"/>
    </w:pPr>
    <w:rPr>
      <w:rFonts w:cs="Mangal"/>
      <w:i/>
      <w:iCs/>
      <w:sz w:val="24"/>
    </w:rPr>
  </w:style>
  <w:style w:type="paragraph" w:styleId="WWCaption" w:customStyle="1">
    <w:name w:val="WW-Caption"/>
    <w:basedOn w:val="Normal"/>
    <w:qFormat/>
    <w:pPr>
      <w:suppressLineNumbers/>
      <w:spacing w:before="120" w:after="120"/>
    </w:pPr>
    <w:rPr>
      <w:rFonts w:cs="Mangal"/>
      <w:i/>
      <w:iCs/>
      <w:sz w:val="24"/>
    </w:rPr>
  </w:style>
  <w:style w:type="paragraph" w:styleId="WWCaption1" w:customStyle="1">
    <w:name w:val="WW-Caption1"/>
    <w:basedOn w:val="Normal"/>
    <w:qFormat/>
    <w:pPr>
      <w:suppressLineNumbers/>
      <w:spacing w:before="120" w:after="120"/>
    </w:pPr>
    <w:rPr>
      <w:rFonts w:cs="Mangal"/>
      <w:i/>
      <w:iCs/>
      <w:sz w:val="24"/>
    </w:rPr>
  </w:style>
  <w:style w:type="paragraph" w:styleId="34" w:customStyle="1">
    <w:name w:val="Λεζάντα3"/>
    <w:basedOn w:val="Normal"/>
    <w:qFormat/>
    <w:pPr>
      <w:suppressLineNumbers/>
      <w:spacing w:before="120" w:after="120"/>
    </w:pPr>
    <w:rPr>
      <w:rFonts w:cs="Mangal"/>
      <w:i/>
      <w:iCs/>
      <w:sz w:val="24"/>
    </w:rPr>
  </w:style>
  <w:style w:type="paragraph" w:styleId="WWCaption11" w:customStyle="1">
    <w:name w:val="WW-Caption11"/>
    <w:basedOn w:val="Normal"/>
    <w:qFormat/>
    <w:pPr>
      <w:suppressLineNumbers/>
      <w:spacing w:before="120" w:after="120"/>
    </w:pPr>
    <w:rPr>
      <w:rFonts w:cs="Mangal"/>
      <w:i/>
      <w:iCs/>
      <w:sz w:val="24"/>
    </w:rPr>
  </w:style>
  <w:style w:type="paragraph" w:styleId="WWCaption111" w:customStyle="1">
    <w:name w:val="WW-Caption111"/>
    <w:basedOn w:val="Normal"/>
    <w:qFormat/>
    <w:pPr>
      <w:suppressLineNumbers/>
      <w:spacing w:before="120" w:after="120"/>
    </w:pPr>
    <w:rPr>
      <w:rFonts w:cs="Mangal"/>
      <w:i/>
      <w:iCs/>
      <w:sz w:val="24"/>
    </w:rPr>
  </w:style>
  <w:style w:type="paragraph" w:styleId="WWCaption1111" w:customStyle="1">
    <w:name w:val="WW-Caption1111"/>
    <w:basedOn w:val="Normal"/>
    <w:qFormat/>
    <w:pPr>
      <w:suppressLineNumbers/>
      <w:spacing w:before="120" w:after="120"/>
    </w:pPr>
    <w:rPr>
      <w:rFonts w:cs="Mangal"/>
      <w:i/>
      <w:iCs/>
      <w:sz w:val="24"/>
    </w:rPr>
  </w:style>
  <w:style w:type="paragraph" w:styleId="WWCaption11111" w:customStyle="1">
    <w:name w:val="WW-Caption11111"/>
    <w:basedOn w:val="Normal"/>
    <w:qFormat/>
    <w:pPr>
      <w:suppressLineNumbers/>
      <w:spacing w:before="120" w:after="120"/>
    </w:pPr>
    <w:rPr>
      <w:rFonts w:cs="Mangal"/>
      <w:i/>
      <w:iCs/>
      <w:sz w:val="24"/>
    </w:rPr>
  </w:style>
  <w:style w:type="paragraph" w:styleId="25" w:customStyle="1">
    <w:name w:val="Λεζάντα2"/>
    <w:basedOn w:val="Normal"/>
    <w:qFormat/>
    <w:pPr>
      <w:suppressLineNumbers/>
      <w:spacing w:before="120" w:after="120"/>
    </w:pPr>
    <w:rPr>
      <w:rFonts w:cs="Mangal"/>
      <w:i/>
      <w:iCs/>
      <w:sz w:val="24"/>
    </w:rPr>
  </w:style>
  <w:style w:type="paragraph" w:styleId="Caption1" w:customStyle="1">
    <w:name w:val="Caption1"/>
    <w:basedOn w:val="Normal"/>
    <w:qFormat/>
    <w:pPr>
      <w:suppressLineNumbers/>
      <w:spacing w:before="120" w:after="120"/>
    </w:pPr>
    <w:rPr>
      <w:rFonts w:cs="Mangal"/>
      <w:i/>
      <w:iCs/>
      <w:sz w:val="24"/>
    </w:rPr>
  </w:style>
  <w:style w:type="paragraph" w:styleId="WWCaption111111" w:customStyle="1">
    <w:name w:val="WW-Caption111111"/>
    <w:basedOn w:val="Normal"/>
    <w:qFormat/>
    <w:pPr>
      <w:suppressLineNumbers/>
      <w:spacing w:before="120" w:after="120"/>
    </w:pPr>
    <w:rPr>
      <w:rFonts w:cs="Mangal"/>
      <w:i/>
      <w:iCs/>
      <w:sz w:val="24"/>
    </w:rPr>
  </w:style>
  <w:style w:type="paragraph" w:styleId="WWCaption1111111" w:customStyle="1">
    <w:name w:val="WW-Caption1111111"/>
    <w:basedOn w:val="Normal"/>
    <w:qFormat/>
    <w:pPr>
      <w:suppressLineNumbers/>
      <w:spacing w:before="120" w:after="120"/>
    </w:pPr>
    <w:rPr>
      <w:rFonts w:cs="Mangal"/>
      <w:i/>
      <w:iCs/>
      <w:sz w:val="24"/>
    </w:rPr>
  </w:style>
  <w:style w:type="paragraph" w:styleId="WWCaption11111111" w:customStyle="1">
    <w:name w:val="WW-Caption11111111"/>
    <w:basedOn w:val="Normal"/>
    <w:qFormat/>
    <w:pPr>
      <w:suppressLineNumbers/>
      <w:spacing w:before="120" w:after="120"/>
    </w:pPr>
    <w:rPr>
      <w:rFonts w:cs="Mangal"/>
      <w:i/>
      <w:iCs/>
      <w:sz w:val="24"/>
    </w:rPr>
  </w:style>
  <w:style w:type="paragraph" w:styleId="WWCaption111111111" w:customStyle="1">
    <w:name w:val="WW-Caption111111111"/>
    <w:basedOn w:val="Normal"/>
    <w:qFormat/>
    <w:pPr>
      <w:suppressLineNumbers/>
      <w:spacing w:before="120" w:after="120"/>
    </w:pPr>
    <w:rPr>
      <w:rFonts w:cs="Mangal"/>
      <w:i/>
      <w:iCs/>
      <w:sz w:val="24"/>
    </w:rPr>
  </w:style>
  <w:style w:type="paragraph" w:styleId="WWCaption1111111111" w:customStyle="1">
    <w:name w:val="WW-Caption1111111111"/>
    <w:basedOn w:val="Normal"/>
    <w:qFormat/>
    <w:pPr>
      <w:suppressLineNumbers/>
      <w:spacing w:before="120" w:after="120"/>
    </w:pPr>
    <w:rPr>
      <w:rFonts w:cs="Mangal"/>
      <w:i/>
      <w:iCs/>
      <w:sz w:val="24"/>
    </w:rPr>
  </w:style>
  <w:style w:type="paragraph" w:styleId="WWCaption11111111111" w:customStyle="1">
    <w:name w:val="WW-Caption11111111111"/>
    <w:basedOn w:val="Normal"/>
    <w:qFormat/>
    <w:pPr>
      <w:suppressLineNumbers/>
      <w:spacing w:before="120" w:after="120"/>
    </w:pPr>
    <w:rPr>
      <w:rFonts w:cs="Mangal"/>
      <w:i/>
      <w:iCs/>
      <w:sz w:val="24"/>
    </w:rPr>
  </w:style>
  <w:style w:type="paragraph" w:styleId="WWCaption111111111111" w:customStyle="1">
    <w:name w:val="WW-Caption111111111111"/>
    <w:basedOn w:val="Normal"/>
    <w:qFormat/>
    <w:pPr>
      <w:suppressLineNumbers/>
      <w:spacing w:before="120" w:after="120"/>
    </w:pPr>
    <w:rPr>
      <w:rFonts w:cs="Mangal"/>
      <w:i/>
      <w:iCs/>
      <w:sz w:val="24"/>
    </w:rPr>
  </w:style>
  <w:style w:type="paragraph" w:styleId="WWCaption1111111111111" w:customStyle="1">
    <w:name w:val="WW-Caption1111111111111"/>
    <w:basedOn w:val="Normal"/>
    <w:qFormat/>
    <w:pPr>
      <w:suppressLineNumbers/>
      <w:spacing w:before="120" w:after="120"/>
    </w:pPr>
    <w:rPr>
      <w:rFonts w:cs="Mangal"/>
      <w:i/>
      <w:iCs/>
      <w:sz w:val="24"/>
    </w:rPr>
  </w:style>
  <w:style w:type="paragraph" w:styleId="WWCaption11111111111111" w:customStyle="1">
    <w:name w:val="WW-Caption11111111111111"/>
    <w:basedOn w:val="Normal"/>
    <w:qFormat/>
    <w:pPr>
      <w:suppressLineNumbers/>
      <w:spacing w:before="120" w:after="120"/>
    </w:pPr>
    <w:rPr>
      <w:rFonts w:cs="Mangal"/>
      <w:i/>
      <w:iCs/>
      <w:sz w:val="24"/>
    </w:rPr>
  </w:style>
  <w:style w:type="paragraph" w:styleId="WWCaption111111111111111" w:customStyle="1">
    <w:name w:val="WW-Caption111111111111111"/>
    <w:basedOn w:val="Normal"/>
    <w:qFormat/>
    <w:pPr>
      <w:suppressLineNumbers/>
      <w:spacing w:before="120" w:after="120"/>
    </w:pPr>
    <w:rPr>
      <w:rFonts w:cs="Mangal"/>
      <w:i/>
      <w:iCs/>
      <w:sz w:val="24"/>
    </w:rPr>
  </w:style>
  <w:style w:type="paragraph" w:styleId="WWCaption1111111111111111" w:customStyle="1">
    <w:name w:val="WW-Caption1111111111111111"/>
    <w:basedOn w:val="Normal"/>
    <w:qFormat/>
    <w:pPr>
      <w:suppressLineNumbers/>
      <w:spacing w:before="120" w:after="120"/>
    </w:pPr>
    <w:rPr>
      <w:rFonts w:cs="Mangal"/>
      <w:i/>
      <w:iCs/>
      <w:sz w:val="24"/>
    </w:rPr>
  </w:style>
  <w:style w:type="paragraph" w:styleId="16" w:customStyle="1">
    <w:name w:val="Λεζάντα1"/>
    <w:basedOn w:val="Normal"/>
    <w:qFormat/>
    <w:pPr>
      <w:suppressLineNumbers/>
      <w:spacing w:before="120" w:after="120"/>
    </w:pPr>
    <w:rPr>
      <w:rFonts w:cs="Mangal"/>
      <w:i/>
      <w:iCs/>
      <w:sz w:val="24"/>
    </w:rPr>
  </w:style>
  <w:style w:type="paragraph" w:styleId="WWCaption11111111111111111" w:customStyle="1">
    <w:name w:val="WW-Caption11111111111111111"/>
    <w:basedOn w:val="Normal"/>
    <w:qFormat/>
    <w:pPr>
      <w:suppressLineNumbers/>
      <w:spacing w:before="120" w:after="120"/>
    </w:pPr>
    <w:rPr>
      <w:rFonts w:cs="Mangal"/>
      <w:i/>
      <w:iCs/>
      <w:sz w:val="24"/>
    </w:rPr>
  </w:style>
  <w:style w:type="paragraph" w:styleId="WWCaption111111111111111111" w:customStyle="1">
    <w:name w:val="WW-Caption111111111111111111"/>
    <w:basedOn w:val="Normal"/>
    <w:qFormat/>
    <w:pPr>
      <w:suppressLineNumbers/>
      <w:spacing w:before="120" w:after="120"/>
    </w:pPr>
    <w:rPr>
      <w:rFonts w:cs="Mangal"/>
      <w:i/>
      <w:iCs/>
      <w:sz w:val="24"/>
    </w:rPr>
  </w:style>
  <w:style w:type="paragraph" w:styleId="WWCaption1111111111111111111" w:customStyle="1">
    <w:name w:val="WW-Caption1111111111111111111"/>
    <w:basedOn w:val="Normal"/>
    <w:qFormat/>
    <w:pPr>
      <w:suppressLineNumbers/>
      <w:spacing w:before="120" w:after="120"/>
    </w:pPr>
    <w:rPr>
      <w:rFonts w:cs="Mangal"/>
      <w:i/>
      <w:iCs/>
      <w:sz w:val="24"/>
    </w:rPr>
  </w:style>
  <w:style w:type="paragraph" w:styleId="WWCaption11111111111111111111" w:customStyle="1">
    <w:name w:val="WW-Caption11111111111111111111"/>
    <w:basedOn w:val="Normal"/>
    <w:qFormat/>
    <w:pPr>
      <w:suppressLineNumbers/>
      <w:spacing w:before="120" w:after="120"/>
    </w:pPr>
    <w:rPr>
      <w:rFonts w:cs="Mangal"/>
      <w:i/>
      <w:iCs/>
      <w:sz w:val="24"/>
    </w:rPr>
  </w:style>
  <w:style w:type="paragraph" w:styleId="Bullet" w:customStyle="1">
    <w:name w:val="Bullet"/>
    <w:basedOn w:val="Normal"/>
    <w:qFormat/>
    <w:pPr>
      <w:numPr>
        <w:ilvl w:val="0"/>
        <w:numId w:val="4"/>
      </w:numPr>
      <w:spacing w:before="0" w:after="100"/>
    </w:pPr>
    <w:rPr>
      <w:rFonts w:eastAsia="MS Mincho"/>
      <w:lang w:val="en-US" w:eastAsia="ja-JP"/>
    </w:rPr>
  </w:style>
  <w:style w:type="paragraph" w:styleId="17" w:customStyle="1">
    <w:name w:val="Ημερομηνία1"/>
    <w:basedOn w:val="Normal"/>
    <w:next w:val="Normal"/>
    <w:qFormat/>
    <w:pPr>
      <w:spacing w:before="0" w:after="100"/>
    </w:pPr>
    <w:rPr>
      <w:rFonts w:eastAsia="MS Mincho"/>
      <w:lang w:val="en-US" w:eastAsia="ja-JP"/>
    </w:rPr>
  </w:style>
  <w:style w:type="paragraph" w:styleId="DocTitle" w:customStyle="1">
    <w:name w:val="Doc Title"/>
    <w:basedOn w:val="1"/>
    <w:qFormat/>
    <w:pPr/>
    <w:rPr/>
  </w:style>
  <w:style w:type="paragraph" w:styleId="Inserttext" w:customStyle="1">
    <w:name w:val="insert text"/>
    <w:basedOn w:val="Normal"/>
    <w:qFormat/>
    <w:pPr>
      <w:spacing w:before="0" w:after="100"/>
      <w:ind w:left="794" w:hanging="0"/>
    </w:pPr>
    <w:rPr>
      <w:rFonts w:eastAsia="MS Mincho"/>
      <w:lang w:val="en-US" w:eastAsia="ja-JP"/>
    </w:rPr>
  </w:style>
  <w:style w:type="paragraph" w:styleId="Style29">
    <w:name w:val="Κεφαλίδα και υποσέλιδο"/>
    <w:basedOn w:val="Normal"/>
    <w:qFormat/>
    <w:pPr/>
    <w:rPr/>
  </w:style>
  <w:style w:type="paragraph" w:styleId="Style30">
    <w:name w:val="Footer"/>
    <w:basedOn w:val="Normal"/>
    <w:pPr>
      <w:spacing w:before="0" w:after="100"/>
    </w:pPr>
    <w:rPr>
      <w:rFonts w:eastAsia="MS Mincho"/>
      <w:lang w:val="en-US" w:eastAsia="ja-JP"/>
    </w:rPr>
  </w:style>
  <w:style w:type="paragraph" w:styleId="Style31">
    <w:name w:val="Header"/>
    <w:basedOn w:val="Normal"/>
    <w:pPr/>
    <w:rPr/>
  </w:style>
  <w:style w:type="paragraph" w:styleId="26" w:customStyle="1">
    <w:name w:val="Κείμενο πλαισίου2"/>
    <w:basedOn w:val="Normal"/>
    <w:qFormat/>
    <w:pPr/>
    <w:rPr>
      <w:rFonts w:ascii="Tahoma" w:hAnsi="Tahoma" w:cs="Tahoma"/>
      <w:sz w:val="16"/>
      <w:szCs w:val="16"/>
    </w:rPr>
  </w:style>
  <w:style w:type="paragraph" w:styleId="27" w:customStyle="1">
    <w:name w:val="Κείμενο σχολίου2"/>
    <w:basedOn w:val="Normal"/>
    <w:qFormat/>
    <w:pPr/>
    <w:rPr>
      <w:sz w:val="20"/>
      <w:szCs w:val="20"/>
    </w:rPr>
  </w:style>
  <w:style w:type="paragraph" w:styleId="28" w:customStyle="1">
    <w:name w:val="Θέμα σχολίου2"/>
    <w:basedOn w:val="27"/>
    <w:next w:val="27"/>
    <w:qFormat/>
    <w:pPr/>
    <w:rPr>
      <w:b/>
      <w:bCs/>
    </w:rPr>
  </w:style>
  <w:style w:type="paragraph" w:styleId="29" w:customStyle="1">
    <w:name w:val="Αναθεώρηση2"/>
    <w:qFormat/>
    <w:pPr>
      <w:widowControl/>
      <w:suppressAutoHyphens w:val="true"/>
      <w:bidi w:val="0"/>
      <w:spacing w:before="0" w:after="0"/>
      <w:jc w:val="left"/>
    </w:pPr>
    <w:rPr>
      <w:rFonts w:ascii="Times New Roman" w:hAnsi="Times New Roman" w:eastAsia="Times New Roman" w:cs="Times New Roman"/>
      <w:color w:val="auto"/>
      <w:kern w:val="0"/>
      <w:sz w:val="24"/>
      <w:szCs w:val="24"/>
      <w:lang w:val="en-GB" w:eastAsia="ar-SA" w:bidi="ar-SA"/>
    </w:rPr>
  </w:style>
  <w:style w:type="paragraph" w:styleId="Western" w:customStyle="1">
    <w:name w:val="western"/>
    <w:basedOn w:val="Normal"/>
    <w:qFormat/>
    <w:pPr>
      <w:spacing w:before="280" w:after="200"/>
    </w:pPr>
    <w:rPr>
      <w:rFonts w:ascii="Arial Unicode MS" w:hAnsi="Arial Unicode MS" w:eastAsia="Arial Unicode MS" w:cs="Arial Unicode MS"/>
    </w:rPr>
  </w:style>
  <w:style w:type="paragraph" w:styleId="18" w:customStyle="1">
    <w:name w:val="Παράγραφος λίστας1"/>
    <w:basedOn w:val="Normal"/>
    <w:qFormat/>
    <w:pPr>
      <w:spacing w:before="0" w:after="200"/>
      <w:ind w:left="720" w:hanging="0"/>
    </w:pPr>
    <w:rPr/>
  </w:style>
  <w:style w:type="paragraph" w:styleId="Style32">
    <w:name w:val="Footnote Text"/>
    <w:basedOn w:val="Normal"/>
    <w:pPr>
      <w:spacing w:before="0" w:after="0"/>
      <w:ind w:left="425" w:hanging="425"/>
    </w:pPr>
    <w:rPr>
      <w:sz w:val="18"/>
      <w:szCs w:val="20"/>
      <w:lang w:val="en-IE"/>
    </w:rPr>
  </w:style>
  <w:style w:type="paragraph" w:styleId="19">
    <w:name w:val="TOC 1"/>
    <w:basedOn w:val="Normal"/>
    <w:next w:val="Normal"/>
    <w:uiPriority w:val="39"/>
    <w:pPr>
      <w:spacing w:before="120" w:after="120"/>
      <w:jc w:val="left"/>
    </w:pPr>
    <w:rPr>
      <w:b/>
      <w:bCs/>
      <w:caps/>
      <w:sz w:val="20"/>
      <w:szCs w:val="20"/>
    </w:rPr>
  </w:style>
  <w:style w:type="paragraph" w:styleId="210">
    <w:name w:val="TOC 2"/>
    <w:basedOn w:val="Normal"/>
    <w:next w:val="Normal"/>
    <w:uiPriority w:val="39"/>
    <w:pPr>
      <w:spacing w:before="0" w:after="0"/>
      <w:ind w:left="220" w:hanging="0"/>
      <w:jc w:val="left"/>
    </w:pPr>
    <w:rPr>
      <w:smallCaps/>
      <w:sz w:val="20"/>
      <w:szCs w:val="20"/>
    </w:rPr>
  </w:style>
  <w:style w:type="paragraph" w:styleId="35">
    <w:name w:val="TOC 3"/>
    <w:basedOn w:val="Normal"/>
    <w:next w:val="Normal"/>
    <w:uiPriority w:val="39"/>
    <w:pPr>
      <w:spacing w:before="0" w:after="0"/>
      <w:ind w:left="440" w:hanging="0"/>
      <w:jc w:val="left"/>
    </w:pPr>
    <w:rPr>
      <w:i/>
      <w:iCs/>
      <w:sz w:val="20"/>
      <w:szCs w:val="20"/>
    </w:rPr>
  </w:style>
  <w:style w:type="paragraph" w:styleId="45">
    <w:name w:val="TOC 4"/>
    <w:basedOn w:val="Normal"/>
    <w:next w:val="Normal"/>
    <w:uiPriority w:val="39"/>
    <w:pPr>
      <w:spacing w:before="0" w:after="0"/>
      <w:ind w:left="660" w:hanging="0"/>
      <w:jc w:val="left"/>
    </w:pPr>
    <w:rPr>
      <w:sz w:val="18"/>
      <w:szCs w:val="18"/>
    </w:rPr>
  </w:style>
  <w:style w:type="paragraph" w:styleId="52">
    <w:name w:val="TOC 5"/>
    <w:basedOn w:val="Normal"/>
    <w:next w:val="Normal"/>
    <w:uiPriority w:val="39"/>
    <w:pPr>
      <w:spacing w:before="0" w:after="0"/>
      <w:ind w:left="880" w:hanging="0"/>
      <w:jc w:val="left"/>
    </w:pPr>
    <w:rPr>
      <w:sz w:val="18"/>
      <w:szCs w:val="18"/>
    </w:rPr>
  </w:style>
  <w:style w:type="paragraph" w:styleId="6">
    <w:name w:val="TOC 6"/>
    <w:basedOn w:val="Normal"/>
    <w:next w:val="Normal"/>
    <w:uiPriority w:val="39"/>
    <w:pPr>
      <w:spacing w:before="0" w:after="0"/>
      <w:ind w:left="1100" w:hanging="0"/>
      <w:jc w:val="left"/>
    </w:pPr>
    <w:rPr>
      <w:sz w:val="18"/>
      <w:szCs w:val="18"/>
    </w:rPr>
  </w:style>
  <w:style w:type="paragraph" w:styleId="7">
    <w:name w:val="TOC 7"/>
    <w:basedOn w:val="Normal"/>
    <w:next w:val="Normal"/>
    <w:uiPriority w:val="39"/>
    <w:pPr>
      <w:spacing w:before="0" w:after="0"/>
      <w:ind w:left="1320" w:hanging="0"/>
      <w:jc w:val="left"/>
    </w:pPr>
    <w:rPr>
      <w:sz w:val="18"/>
      <w:szCs w:val="18"/>
    </w:rPr>
  </w:style>
  <w:style w:type="paragraph" w:styleId="8">
    <w:name w:val="TOC 8"/>
    <w:basedOn w:val="Normal"/>
    <w:next w:val="Normal"/>
    <w:uiPriority w:val="39"/>
    <w:pPr>
      <w:spacing w:before="0" w:after="0"/>
      <w:ind w:left="1540" w:hanging="0"/>
      <w:jc w:val="left"/>
    </w:pPr>
    <w:rPr>
      <w:sz w:val="18"/>
      <w:szCs w:val="18"/>
    </w:rPr>
  </w:style>
  <w:style w:type="paragraph" w:styleId="9">
    <w:name w:val="TOC 9"/>
    <w:basedOn w:val="Normal"/>
    <w:next w:val="Normal"/>
    <w:uiPriority w:val="39"/>
    <w:pPr>
      <w:spacing w:before="0" w:after="0"/>
      <w:ind w:left="1760" w:hanging="0"/>
      <w:jc w:val="left"/>
    </w:pPr>
    <w:rPr>
      <w:sz w:val="18"/>
      <w:szCs w:val="18"/>
    </w:rPr>
  </w:style>
  <w:style w:type="paragraph" w:styleId="Style110" w:customStyle="1">
    <w:name w:val="Style1"/>
    <w:basedOn w:val="DocTitle"/>
    <w:qFormat/>
    <w:pPr>
      <w:pageBreakBefore w:val="false"/>
      <w:pBdr>
        <w:top w:val="single" w:sz="20" w:space="1" w:color="000080"/>
        <w:left w:val="single" w:sz="20" w:space="4" w:color="000080"/>
        <w:bottom w:val="single" w:sz="20" w:space="1" w:color="000080"/>
        <w:right w:val="single" w:sz="20" w:space="4" w:color="000080"/>
      </w:pBdr>
      <w:jc w:val="center"/>
    </w:pPr>
    <w:rPr>
      <w:rFonts w:ascii="Calibri" w:hAnsi="Calibri" w:cs="Calibri"/>
      <w:sz w:val="40"/>
      <w:szCs w:val="40"/>
      <w:lang w:val="el-GR"/>
    </w:rPr>
  </w:style>
  <w:style w:type="paragraph" w:styleId="Contents" w:customStyle="1">
    <w:name w:val="Contents"/>
    <w:basedOn w:val="1"/>
    <w:qFormat/>
    <w:pPr/>
    <w:rPr>
      <w:rFonts w:ascii="Calibri" w:hAnsi="Calibri" w:cs="Calibri"/>
      <w:lang w:val="el-GR"/>
    </w:rPr>
  </w:style>
  <w:style w:type="paragraph" w:styleId="Style33">
    <w:name w:val="Endnote Text"/>
    <w:basedOn w:val="Normal"/>
    <w:link w:val="Char4"/>
    <w:pPr/>
    <w:rPr>
      <w:sz w:val="20"/>
      <w:szCs w:val="20"/>
    </w:rPr>
  </w:style>
  <w:style w:type="paragraph" w:styleId="Default" w:customStyle="1">
    <w:name w:val="Default"/>
    <w:qFormat/>
    <w:pPr>
      <w:widowControl w:val="false"/>
      <w:suppressAutoHyphens w:val="true"/>
      <w:bidi w:val="0"/>
      <w:spacing w:before="0" w:after="0"/>
      <w:jc w:val="left"/>
    </w:pPr>
    <w:rPr>
      <w:rFonts w:ascii="Cambria" w:hAnsi="Cambria" w:eastAsia="SimSun" w:cs="Mangal"/>
      <w:color w:val="000000"/>
      <w:kern w:val="0"/>
      <w:sz w:val="24"/>
      <w:szCs w:val="24"/>
      <w:lang w:val="el-GR" w:eastAsia="hi-IN" w:bidi="hi-IN"/>
    </w:rPr>
  </w:style>
  <w:style w:type="paragraph" w:styleId="Style34" w:customStyle="1">
    <w:name w:val="Προμορφοποιημένο κείμενο"/>
    <w:basedOn w:val="Normal"/>
    <w:qFormat/>
    <w:pPr/>
    <w:rPr/>
  </w:style>
  <w:style w:type="paragraph" w:styleId="Style35">
    <w:name w:val="Body Text Indent"/>
    <w:basedOn w:val="Normal"/>
    <w:pPr>
      <w:ind w:firstLine="1134"/>
    </w:pPr>
    <w:rPr>
      <w:rFonts w:ascii="Arial" w:hAnsi="Arial" w:cs="Arial"/>
    </w:rPr>
  </w:style>
  <w:style w:type="paragraph" w:styleId="Normalwithoutspacing" w:customStyle="1">
    <w:name w:val="normal_without_spacing"/>
    <w:basedOn w:val="Normal"/>
    <w:qFormat/>
    <w:pPr>
      <w:spacing w:before="0" w:after="60"/>
    </w:pPr>
    <w:rPr>
      <w:lang w:val="el-GR"/>
    </w:rPr>
  </w:style>
  <w:style w:type="paragraph" w:styleId="Foothanging" w:customStyle="1">
    <w:name w:val="foot_hanging"/>
    <w:basedOn w:val="Style32"/>
    <w:qFormat/>
    <w:pPr>
      <w:ind w:left="426" w:hanging="426"/>
    </w:pPr>
    <w:rPr>
      <w:szCs w:val="18"/>
    </w:rPr>
  </w:style>
  <w:style w:type="paragraph" w:styleId="HTML2" w:customStyle="1">
    <w:name w:val="Προ-διαμορφωμένο HTML2"/>
    <w:basedOn w:val="Normal"/>
    <w:qFormat/>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false"/>
      <w:spacing w:before="0" w:after="0"/>
      <w:jc w:val="left"/>
    </w:pPr>
    <w:rPr>
      <w:rFonts w:ascii="Courier New" w:hAnsi="Courier New" w:cs="Courier New"/>
      <w:sz w:val="20"/>
      <w:szCs w:val="20"/>
      <w:lang w:val="el-GR"/>
    </w:rPr>
  </w:style>
  <w:style w:type="paragraph" w:styleId="LOnormal" w:customStyle="1">
    <w:name w:val="LO-normal"/>
    <w:qFormat/>
    <w:pPr>
      <w:widowControl/>
      <w:suppressAutoHyphens w:val="true"/>
      <w:bidi w:val="0"/>
      <w:spacing w:lineRule="auto" w:line="276" w:before="0" w:after="0"/>
      <w:jc w:val="left"/>
    </w:pPr>
    <w:rPr>
      <w:rFonts w:ascii="Arial" w:hAnsi="Arial" w:eastAsia="Arial" w:cs="Arial"/>
      <w:color w:val="000000"/>
      <w:kern w:val="0"/>
      <w:sz w:val="22"/>
      <w:szCs w:val="22"/>
      <w:lang w:val="el-GR" w:eastAsia="ar-SA" w:bidi="ar-SA"/>
    </w:rPr>
  </w:style>
  <w:style w:type="paragraph" w:styleId="311" w:customStyle="1">
    <w:name w:val="Σώμα κείμενου με εσοχή 31"/>
    <w:basedOn w:val="Normal"/>
    <w:qFormat/>
    <w:pPr>
      <w:suppressAutoHyphens w:val="false"/>
      <w:spacing w:lineRule="auto" w:line="312"/>
      <w:ind w:left="283" w:hanging="0"/>
    </w:pPr>
    <w:rPr>
      <w:rFonts w:cs="Times New Roman"/>
      <w:sz w:val="16"/>
      <w:szCs w:val="16"/>
    </w:rPr>
  </w:style>
  <w:style w:type="paragraph" w:styleId="110" w:customStyle="1">
    <w:name w:val="Χωρίς διάστιχο1"/>
    <w:qFormat/>
    <w:pPr>
      <w:widowControl/>
      <w:suppressAutoHyphens w:val="true"/>
      <w:bidi w:val="0"/>
      <w:spacing w:before="0" w:after="0"/>
      <w:jc w:val="both"/>
    </w:pPr>
    <w:rPr>
      <w:rFonts w:ascii="Calibri" w:hAnsi="Calibri" w:eastAsia="Times New Roman" w:cs="Calibri"/>
      <w:color w:val="auto"/>
      <w:kern w:val="0"/>
      <w:sz w:val="22"/>
      <w:szCs w:val="24"/>
      <w:lang w:val="en-GB" w:eastAsia="ar-SA" w:bidi="ar-SA"/>
    </w:rPr>
  </w:style>
  <w:style w:type="paragraph" w:styleId="Style36" w:customStyle="1">
    <w:name w:val="Περιεχόμενα πίνακα"/>
    <w:basedOn w:val="Normal"/>
    <w:qFormat/>
    <w:pPr>
      <w:suppressLineNumbers/>
    </w:pPr>
    <w:rPr/>
  </w:style>
  <w:style w:type="paragraph" w:styleId="Style37" w:customStyle="1">
    <w:name w:val="Επικεφαλίδα πίνακα"/>
    <w:basedOn w:val="Style36"/>
    <w:qFormat/>
    <w:pPr>
      <w:jc w:val="center"/>
    </w:pPr>
    <w:rPr>
      <w:b/>
      <w:bCs/>
    </w:rPr>
  </w:style>
  <w:style w:type="paragraph" w:styleId="Footers" w:customStyle="1">
    <w:name w:val="footers"/>
    <w:basedOn w:val="Foothanging"/>
    <w:qFormat/>
    <w:pPr/>
    <w:rPr/>
  </w:style>
  <w:style w:type="paragraph" w:styleId="Standard" w:customStyle="1">
    <w:name w:val="Standard"/>
    <w:qFormat/>
    <w:pPr>
      <w:widowControl w:val="false"/>
      <w:suppressAutoHyphens w:val="true"/>
      <w:bidi w:val="0"/>
      <w:spacing w:before="0" w:after="0"/>
      <w:jc w:val="left"/>
      <w:textAlignment w:val="baseline"/>
    </w:pPr>
    <w:rPr>
      <w:rFonts w:ascii="Times New Roman" w:hAnsi="Times New Roman" w:eastAsia="SimSun" w:cs="Lucida Sans"/>
      <w:color w:val="auto"/>
      <w:kern w:val="2"/>
      <w:sz w:val="24"/>
      <w:szCs w:val="24"/>
      <w:lang w:val="el-GR" w:eastAsia="hi-IN" w:bidi="hi-IN"/>
    </w:rPr>
  </w:style>
  <w:style w:type="paragraph" w:styleId="Textbody" w:customStyle="1">
    <w:name w:val="Text body"/>
    <w:basedOn w:val="Standard"/>
    <w:qFormat/>
    <w:pPr>
      <w:spacing w:before="0" w:after="120"/>
    </w:pPr>
    <w:rPr/>
  </w:style>
  <w:style w:type="paragraph" w:styleId="Footnote" w:customStyle="1">
    <w:name w:val="Footnote"/>
    <w:basedOn w:val="Standard"/>
    <w:qFormat/>
    <w:pPr>
      <w:suppressLineNumbers/>
      <w:ind w:left="283" w:hanging="283"/>
    </w:pPr>
    <w:rPr>
      <w:sz w:val="20"/>
      <w:szCs w:val="20"/>
    </w:rPr>
  </w:style>
  <w:style w:type="paragraph" w:styleId="312" w:customStyle="1">
    <w:name w:val="Σώμα κείμενου 31"/>
    <w:basedOn w:val="Normal"/>
    <w:qFormat/>
    <w:pPr/>
    <w:rPr>
      <w:sz w:val="16"/>
      <w:szCs w:val="16"/>
    </w:rPr>
  </w:style>
  <w:style w:type="paragraph" w:styleId="Fooot" w:customStyle="1">
    <w:name w:val="fooot"/>
    <w:basedOn w:val="Footers"/>
    <w:qFormat/>
    <w:pPr/>
    <w:rPr/>
  </w:style>
  <w:style w:type="paragraph" w:styleId="111" w:customStyle="1">
    <w:name w:val="Κείμενο πλαισίου1"/>
    <w:basedOn w:val="Normal"/>
    <w:qFormat/>
    <w:pPr>
      <w:spacing w:before="0" w:after="0"/>
    </w:pPr>
    <w:rPr>
      <w:rFonts w:ascii="Tahoma" w:hAnsi="Tahoma" w:cs="Tahoma"/>
      <w:sz w:val="16"/>
      <w:szCs w:val="16"/>
    </w:rPr>
  </w:style>
  <w:style w:type="paragraph" w:styleId="112" w:customStyle="1">
    <w:name w:val="Κείμενο σχολίου1"/>
    <w:basedOn w:val="Normal"/>
    <w:qFormat/>
    <w:pPr/>
    <w:rPr>
      <w:sz w:val="20"/>
      <w:szCs w:val="20"/>
    </w:rPr>
  </w:style>
  <w:style w:type="paragraph" w:styleId="113" w:customStyle="1">
    <w:name w:val="Θέμα σχολίου1"/>
    <w:basedOn w:val="112"/>
    <w:next w:val="112"/>
    <w:qFormat/>
    <w:pPr/>
    <w:rPr>
      <w:b/>
      <w:bCs/>
    </w:rPr>
  </w:style>
  <w:style w:type="paragraph" w:styleId="HTML1" w:customStyle="1">
    <w:name w:val="Προ-διαμορφωμένο HTML1"/>
    <w:basedOn w:val="Normal"/>
    <w:qFormat/>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false"/>
      <w:spacing w:before="0" w:after="0"/>
      <w:jc w:val="left"/>
    </w:pPr>
    <w:rPr>
      <w:rFonts w:ascii="Courier New" w:hAnsi="Courier New" w:cs="Courier New"/>
      <w:sz w:val="20"/>
      <w:szCs w:val="20"/>
      <w:lang w:val="en-US"/>
    </w:rPr>
  </w:style>
  <w:style w:type="paragraph" w:styleId="114" w:customStyle="1">
    <w:name w:val="Αναθεώρηση1"/>
    <w:qFormat/>
    <w:pPr>
      <w:widowControl/>
      <w:suppressAutoHyphens w:val="true"/>
      <w:bidi w:val="0"/>
      <w:spacing w:before="0" w:after="0"/>
      <w:jc w:val="left"/>
    </w:pPr>
    <w:rPr>
      <w:rFonts w:ascii="Calibri" w:hAnsi="Calibri" w:eastAsia="Times New Roman" w:cs="Calibri"/>
      <w:color w:val="auto"/>
      <w:kern w:val="0"/>
      <w:sz w:val="22"/>
      <w:szCs w:val="24"/>
      <w:lang w:val="en-GB" w:eastAsia="ar-SA" w:bidi="ar-SA"/>
    </w:rPr>
  </w:style>
  <w:style w:type="paragraph" w:styleId="211" w:customStyle="1">
    <w:name w:val="Λίστα με κουκκίδες 21"/>
    <w:basedOn w:val="Normal"/>
    <w:qFormat/>
    <w:pPr>
      <w:numPr>
        <w:ilvl w:val="0"/>
        <w:numId w:val="2"/>
      </w:numPr>
      <w:suppressAutoHyphens w:val="false"/>
      <w:spacing w:lineRule="auto" w:line="360" w:before="0" w:after="0"/>
    </w:pPr>
    <w:rPr>
      <w:rFonts w:ascii="Trebuchet MS" w:hAnsi="Trebuchet MS" w:cs="Times New Roman"/>
      <w:szCs w:val="20"/>
      <w:lang w:val="en-US"/>
    </w:rPr>
  </w:style>
  <w:style w:type="paragraph" w:styleId="10" w:customStyle="1">
    <w:name w:val="Περιεχόμενα 10"/>
    <w:basedOn w:val="Style28"/>
    <w:qFormat/>
    <w:pPr>
      <w:tabs>
        <w:tab w:val="clear" w:pos="720"/>
        <w:tab w:val="right" w:pos="7091" w:leader="dot"/>
      </w:tabs>
      <w:ind w:left="2547" w:hanging="0"/>
    </w:pPr>
    <w:rPr/>
  </w:style>
  <w:style w:type="paragraph" w:styleId="Style38" w:customStyle="1">
    <w:name w:val="Οριζόντια γραμμή"/>
    <w:basedOn w:val="Normal"/>
    <w:next w:val="Style25"/>
    <w:qFormat/>
    <w:pPr>
      <w:suppressLineNumbers/>
      <w:spacing w:before="0" w:after="283"/>
    </w:pPr>
    <w:rPr>
      <w:sz w:val="12"/>
      <w:szCs w:val="12"/>
    </w:rPr>
  </w:style>
  <w:style w:type="paragraph" w:styleId="212" w:customStyle="1">
    <w:name w:val="Σώμα κείμενου 21"/>
    <w:basedOn w:val="Normal"/>
    <w:qFormat/>
    <w:pPr>
      <w:overflowPunct w:val="true"/>
      <w:spacing w:before="0" w:after="0"/>
      <w:textAlignment w:val="baseline"/>
    </w:pPr>
    <w:rPr>
      <w:rFonts w:ascii="Arial" w:hAnsi="Arial" w:cs="Arial"/>
      <w:szCs w:val="20"/>
      <w:lang w:val="el-GR"/>
    </w:rPr>
  </w:style>
  <w:style w:type="paragraph" w:styleId="Para1" w:customStyle="1">
    <w:name w:val="para-1"/>
    <w:basedOn w:val="Normal"/>
    <w:qFormat/>
    <w:pPr>
      <w:tabs>
        <w:tab w:val="clear" w:pos="720"/>
        <w:tab w:val="left" w:pos="1021" w:leader="none"/>
        <w:tab w:val="left" w:pos="1588" w:leader="none"/>
        <w:tab w:val="left" w:pos="2155" w:leader="none"/>
        <w:tab w:val="left" w:pos="2722" w:leader="none"/>
        <w:tab w:val="left" w:pos="3289" w:leader="none"/>
      </w:tabs>
      <w:spacing w:before="0" w:after="0"/>
      <w:ind w:left="1021" w:hanging="1021"/>
    </w:pPr>
    <w:rPr>
      <w:rFonts w:ascii="Arial" w:hAnsi="Arial" w:cs="Arial"/>
      <w:spacing w:val="5"/>
      <w:szCs w:val="20"/>
      <w:lang w:val="el-GR"/>
    </w:rPr>
  </w:style>
  <w:style w:type="paragraph" w:styleId="101" w:customStyle="1">
    <w:name w:val="Κατάλογος περιεχομένων 10"/>
    <w:basedOn w:val="Style28"/>
    <w:qFormat/>
    <w:pPr>
      <w:tabs>
        <w:tab w:val="clear" w:pos="720"/>
        <w:tab w:val="right" w:pos="7091" w:leader="dot"/>
      </w:tabs>
      <w:ind w:left="2547" w:hanging="0"/>
    </w:pPr>
    <w:rPr/>
  </w:style>
  <w:style w:type="paragraph" w:styleId="BalloonText">
    <w:name w:val="Balloon Text"/>
    <w:basedOn w:val="Normal"/>
    <w:link w:val="Char11"/>
    <w:uiPriority w:val="99"/>
    <w:semiHidden/>
    <w:unhideWhenUsed/>
    <w:qFormat/>
    <w:rsid w:val="009e5776"/>
    <w:pPr>
      <w:spacing w:before="0" w:after="0"/>
    </w:pPr>
    <w:rPr>
      <w:rFonts w:ascii="Segoe UI" w:hAnsi="Segoe UI" w:cs="Times New Roman"/>
      <w:sz w:val="18"/>
      <w:szCs w:val="18"/>
    </w:rPr>
  </w:style>
  <w:style w:type="paragraph" w:styleId="Annotationtext">
    <w:name w:val="annotation text"/>
    <w:basedOn w:val="Normal"/>
    <w:link w:val="Char12"/>
    <w:uiPriority w:val="99"/>
    <w:unhideWhenUsed/>
    <w:qFormat/>
    <w:rsid w:val="009e5776"/>
    <w:pPr/>
    <w:rPr>
      <w:rFonts w:cs="Times New Roman"/>
      <w:sz w:val="20"/>
      <w:szCs w:val="20"/>
    </w:rPr>
  </w:style>
  <w:style w:type="paragraph" w:styleId="Annotationsubject">
    <w:name w:val="annotation subject"/>
    <w:basedOn w:val="Annotationtext"/>
    <w:next w:val="Annotationtext"/>
    <w:link w:val="Char13"/>
    <w:uiPriority w:val="99"/>
    <w:semiHidden/>
    <w:unhideWhenUsed/>
    <w:qFormat/>
    <w:rsid w:val="009e5776"/>
    <w:pPr/>
    <w:rPr>
      <w:b/>
      <w:bCs/>
    </w:rPr>
  </w:style>
  <w:style w:type="paragraph" w:styleId="Revision">
    <w:name w:val="Revision"/>
    <w:uiPriority w:val="99"/>
    <w:semiHidden/>
    <w:qFormat/>
    <w:rsid w:val="000f3fce"/>
    <w:pPr>
      <w:widowControl/>
      <w:suppressAutoHyphens w:val="true"/>
      <w:bidi w:val="0"/>
      <w:spacing w:before="0" w:after="0"/>
      <w:jc w:val="left"/>
    </w:pPr>
    <w:rPr>
      <w:rFonts w:ascii="Calibri" w:hAnsi="Calibri" w:eastAsia="Times New Roman" w:cs="Calibri"/>
      <w:color w:val="auto"/>
      <w:kern w:val="0"/>
      <w:sz w:val="22"/>
      <w:szCs w:val="24"/>
      <w:lang w:val="en-GB" w:eastAsia="ar-SA" w:bidi="ar-SA"/>
    </w:rPr>
  </w:style>
  <w:style w:type="paragraph" w:styleId="HTMLPreformatted">
    <w:name w:val="HTML Preformatted"/>
    <w:basedOn w:val="Normal"/>
    <w:link w:val="HTMLChar"/>
    <w:uiPriority w:val="99"/>
    <w:unhideWhenUsed/>
    <w:qFormat/>
    <w:rsid w:val="0037683f"/>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false"/>
      <w:spacing w:before="0" w:after="0"/>
      <w:jc w:val="left"/>
    </w:pPr>
    <w:rPr>
      <w:rFonts w:ascii="Courier New" w:hAnsi="Courier New" w:cs="Times New Roman"/>
      <w:sz w:val="20"/>
      <w:szCs w:val="20"/>
      <w:lang w:val="x-none" w:eastAsia="x-none"/>
    </w:rPr>
  </w:style>
  <w:style w:type="paragraph" w:styleId="ListParagraph">
    <w:name w:val="List Paragraph"/>
    <w:basedOn w:val="Normal"/>
    <w:uiPriority w:val="34"/>
    <w:qFormat/>
    <w:rsid w:val="00292883"/>
    <w:pPr>
      <w:suppressAutoHyphens w:val="false"/>
      <w:spacing w:before="0" w:after="0"/>
      <w:ind w:left="720" w:hanging="0"/>
      <w:contextualSpacing/>
      <w:jc w:val="left"/>
    </w:pPr>
    <w:rPr>
      <w:rFonts w:ascii="CG Times" w:hAnsi="CG Times" w:cs="Times New Roman"/>
      <w:sz w:val="20"/>
      <w:szCs w:val="20"/>
      <w:lang w:val="en-US" w:eastAsia="el-GR"/>
    </w:rPr>
  </w:style>
  <w:style w:type="paragraph" w:styleId="WW21">
    <w:name w:val="WW-Σώμα κείμενου 2"/>
    <w:basedOn w:val="Normal"/>
    <w:qFormat/>
    <w:pPr>
      <w:suppressAutoHyphens w:val="true"/>
    </w:pPr>
    <w:rPr>
      <w:rFonts w:ascii="Arial" w:hAnsi="Arial" w:cs="Arial"/>
      <w:szCs w:val="20"/>
    </w:rPr>
  </w:style>
  <w:style w:type="paragraph" w:styleId="Style39">
    <w:name w:val="Παράγραφος λίστας"/>
    <w:basedOn w:val="Normal"/>
    <w:qFormat/>
    <w:pPr>
      <w:ind w:left="720" w:hanging="0"/>
    </w:pPr>
    <w:rPr/>
  </w:style>
  <w:style w:type="paragraph" w:styleId="LONormal1">
    <w:name w:val="LO-Normal1"/>
    <w:qFormat/>
    <w:pPr>
      <w:widowControl/>
      <w:suppressAutoHyphens w:val="true"/>
      <w:bidi w:val="0"/>
      <w:spacing w:before="0" w:after="0"/>
      <w:jc w:val="left"/>
    </w:pPr>
    <w:rPr>
      <w:rFonts w:ascii="Arial" w:hAnsi="Arial" w:eastAsia="Times New Roman" w:cs="Arial"/>
      <w:color w:val="000000"/>
      <w:kern w:val="0"/>
      <w:sz w:val="24"/>
      <w:szCs w:val="24"/>
      <w:lang w:val="el-GR" w:eastAsia="el-GR" w:bidi="ar-SA"/>
    </w:rPr>
  </w:style>
  <w:style w:type="paragraph" w:styleId="Style40">
    <w:name w:val="Περιεχόμενα λίστας"/>
    <w:basedOn w:val="Normal"/>
    <w:qFormat/>
    <w:pPr>
      <w:ind w:left="567" w:hanging="0"/>
    </w:pPr>
    <w:rPr/>
  </w:style>
  <w:style w:type="paragraph" w:styleId="Style41">
    <w:name w:val="Subtitle"/>
    <w:basedOn w:val="Style24"/>
    <w:next w:val="Style25"/>
    <w:qFormat/>
    <w:pPr>
      <w:spacing w:before="60" w:after="120"/>
      <w:jc w:val="center"/>
    </w:pPr>
    <w:rPr>
      <w:sz w:val="36"/>
      <w:szCs w:val="36"/>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promitheus.gov.gr/" TargetMode="External"/><Relationship Id="rId3" Type="http://schemas.openxmlformats.org/officeDocument/2006/relationships/hyperlink" Target="http://et.diavgeia.gov.gr/" TargetMode="External"/><Relationship Id="rId4" Type="http://schemas.openxmlformats.org/officeDocument/2006/relationships/hyperlink" Target="http://et.diavgeia.gov.gr/" TargetMode="External"/><Relationship Id="rId5" Type="http://schemas.openxmlformats.org/officeDocument/2006/relationships/hyperlink" Target="http://www.promitheus.gov.gr/" TargetMode="External"/><Relationship Id="rId6" Type="http://schemas.openxmlformats.org/officeDocument/2006/relationships/hyperlink" Target="mailto:epanorthotika@eaadhsy.gr" TargetMode="External"/><Relationship Id="rId7" Type="http://schemas.openxmlformats.org/officeDocument/2006/relationships/hyperlink" Target="http://www.hsppa.gr/" TargetMode="External"/><Relationship Id="rId8" Type="http://schemas.openxmlformats.org/officeDocument/2006/relationships/hyperlink" Target="http://www.eaadhsy.gr/n4412/art79a" TargetMode="External"/><Relationship Id="rId9" Type="http://schemas.openxmlformats.org/officeDocument/2006/relationships/header" Target="header1.xml"/><Relationship Id="rId10" Type="http://schemas.openxmlformats.org/officeDocument/2006/relationships/footer" Target="footer1.xml"/><Relationship Id="rId11" Type="http://schemas.openxmlformats.org/officeDocument/2006/relationships/footnotes" Target="footnotes.xml"/><Relationship Id="rId12" Type="http://schemas.openxmlformats.org/officeDocument/2006/relationships/numbering" Target="numbering.xml"/><Relationship Id="rId13" Type="http://schemas.openxmlformats.org/officeDocument/2006/relationships/fontTable" Target="fontTable.xml"/><Relationship Id="rId14" Type="http://schemas.openxmlformats.org/officeDocument/2006/relationships/settings" Target="settings.xml"/><Relationship Id="rId15" Type="http://schemas.openxmlformats.org/officeDocument/2006/relationships/theme" Target="theme/theme1.xml"/><Relationship Id="rId16" Type="http://schemas.openxmlformats.org/officeDocument/2006/relationships/customXml" Target="../customXml/item1.xml"/>
</Relationships>
</file>

<file path=word/_rels/footnotes.xml.rels><?xml version="1.0" encoding="UTF-8"?>
<Relationships xmlns="http://schemas.openxmlformats.org/package/2006/relationships"><Relationship Id="rId1" Type="http://schemas.openxmlformats.org/officeDocument/2006/relationships/hyperlink" Target="https://espd.eprocurement.gov.gr/" TargetMode="External"/><Relationship Id="rId2" Type="http://schemas.openxmlformats.org/officeDocument/2006/relationships/hyperlink" Target="http://www.promitheus.gov.gr/" TargetMode="External"/><Relationship Id="rId3" Type="http://schemas.openxmlformats.org/officeDocument/2006/relationships/hyperlink" Target="https://portal.eprocurement.gov.gr/webcenter/portal/TestPortal" TargetMode="External"/><Relationship Id="rId4" Type="http://schemas.openxmlformats.org/officeDocument/2006/relationships/hyperlink" Target="https://eur-lex.europa.eu/legal-content/EL/TXT/HTML/?uri=CELEX:32016R0007R(01)&amp;from=EL" TargetMode="External"/><Relationship Id="rId5" Type="http://schemas.openxmlformats.org/officeDocument/2006/relationships/hyperlink" Target="https://www.taxheaven.gr/laws/view/index/law/4412/year/2016/article/221" TargetMode="Externa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61F4EF-DCC5-4AFA-8967-86DCFEFA03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1230</TotalTime>
  <Application>LibreOffice/7.3.3.2$Windows_X86_64 LibreOffice_project/d1d0ea68f081ee2800a922cac8f79445e4603348</Application>
  <AppVersion>15.0000</AppVersion>
  <Pages>112</Pages>
  <Words>35383</Words>
  <Characters>212135</Characters>
  <CharactersWithSpaces>245488</CharactersWithSpaces>
  <Paragraphs>3090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2023-06-06T16:50:00Z</dcterms:created>
  <dc:creator>eaadhsy</dc:creator>
  <dc:description/>
  <dc:language>el-GR</dc:language>
  <cp:lastModifiedBy/>
  <cp:lastPrinted>2024-10-08T10:32:10Z</cp:lastPrinted>
  <dcterms:modified xsi:type="dcterms:W3CDTF">2024-10-08T10:38:27Z</dcterms:modified>
  <cp:revision>183</cp:revision>
  <dc:subject/>
  <dc:title/>
</cp:coreProperties>
</file>

<file path=docProps/custom.xml><?xml version="1.0" encoding="utf-8"?>
<Properties xmlns="http://schemas.openxmlformats.org/officeDocument/2006/custom-properties" xmlns:vt="http://schemas.openxmlformats.org/officeDocument/2006/docPropsVTypes"/>
</file>