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gif" ContentType="image/gi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09" w:type="dxa"/>
        <w:jc w:val="left"/>
        <w:tblInd w:w="-5" w:type="dxa"/>
        <w:tblCellMar>
          <w:top w:w="0" w:type="dxa"/>
          <w:left w:w="80" w:type="dxa"/>
          <w:bottom w:w="0" w:type="dxa"/>
          <w:right w:w="80" w:type="dxa"/>
        </w:tblCellMar>
        <w:tblLook w:firstRow="1" w:noVBand="1" w:lastRow="0" w:firstColumn="1" w:lastColumn="0" w:noHBand="0" w:val="04a0"/>
      </w:tblPr>
      <w:tblGrid>
        <w:gridCol w:w="1276"/>
        <w:gridCol w:w="284"/>
        <w:gridCol w:w="3123"/>
        <w:gridCol w:w="284"/>
        <w:gridCol w:w="845"/>
        <w:gridCol w:w="4197"/>
      </w:tblGrid>
      <w:tr>
        <w:trPr>
          <w:trHeight w:val="2438" w:hRule="exact"/>
        </w:trPr>
        <w:tc>
          <w:tcPr>
            <w:tcW w:w="4683" w:type="dxa"/>
            <w:gridSpan w:val="3"/>
            <w:tcBorders/>
            <w:shd w:color="auto" w:fill="auto" w:val="clear"/>
          </w:tcPr>
          <w:p>
            <w:pPr>
              <w:pStyle w:val="Normal"/>
              <w:rPr>
                <w:rFonts w:cs="Times New Roman"/>
                <w:sz w:val="22"/>
                <w:szCs w:val="22"/>
              </w:rPr>
            </w:pPr>
            <w:r>
              <w:rPr/>
              <w:drawing>
                <wp:inline distT="0" distB="0" distL="0" distR="0">
                  <wp:extent cx="669925" cy="638175"/>
                  <wp:effectExtent l="0" t="0" r="0" b="0"/>
                  <wp:docPr id="1"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
                          <pic:cNvPicPr>
                            <a:picLocks noChangeAspect="1" noChangeArrowheads="1"/>
                          </pic:cNvPicPr>
                        </pic:nvPicPr>
                        <pic:blipFill>
                          <a:blip r:embed="rId2"/>
                          <a:stretch>
                            <a:fillRect/>
                          </a:stretch>
                        </pic:blipFill>
                        <pic:spPr bwMode="auto">
                          <a:xfrm>
                            <a:off x="0" y="0"/>
                            <a:ext cx="669925" cy="638175"/>
                          </a:xfrm>
                          <a:prstGeom prst="rect">
                            <a:avLst/>
                          </a:prstGeom>
                        </pic:spPr>
                      </pic:pic>
                    </a:graphicData>
                  </a:graphic>
                </wp:inline>
              </w:drawing>
            </w:r>
          </w:p>
          <w:p>
            <w:pPr>
              <w:pStyle w:val="Normal"/>
              <w:rPr>
                <w:rFonts w:cs="Times New Roman"/>
                <w:lang w:val="el-GR"/>
              </w:rPr>
            </w:pPr>
            <w:r>
              <w:rPr>
                <w:rFonts w:cs="Times New Roman"/>
                <w:lang w:val="el-GR"/>
              </w:rPr>
              <w:t>ΕΛΛΗΝΙΚΗ ΔΗΜΟΚΡΑΤΙΑ</w:t>
            </w:r>
          </w:p>
          <w:p>
            <w:pPr>
              <w:pStyle w:val="Normal"/>
              <w:rPr>
                <w:rFonts w:cs="Times New Roman"/>
                <w:lang w:val="el-GR"/>
              </w:rPr>
            </w:pPr>
            <w:r>
              <w:rPr>
                <w:rFonts w:cs="Times New Roman"/>
                <w:lang w:val="el-GR"/>
              </w:rPr>
              <w:t>ΔΗΜΟΣ ΚΑΡΔΙΤΣΑΣ</w:t>
            </w:r>
          </w:p>
          <w:p>
            <w:pPr>
              <w:pStyle w:val="Normal"/>
              <w:rPr>
                <w:rFonts w:cs="Times New Roman"/>
                <w:b/>
                <w:b/>
                <w:bCs/>
                <w:lang w:val="el-GR"/>
              </w:rPr>
            </w:pPr>
            <w:r>
              <w:rPr>
                <w:rFonts w:cs="Times New Roman"/>
                <w:b/>
                <w:bCs/>
                <w:lang w:val="el-GR"/>
              </w:rPr>
              <w:t>Δ/νση Προγραμματισμού, Πληροφορικής, Διαφάνειας &amp; Αγροτικής Ανάπτυξης</w:t>
            </w:r>
          </w:p>
          <w:p>
            <w:pPr>
              <w:pStyle w:val="Normal"/>
              <w:rPr>
                <w:rFonts w:cs="Times New Roman"/>
                <w:b/>
                <w:b/>
                <w:bCs/>
                <w:lang w:val="el-GR"/>
              </w:rPr>
            </w:pPr>
            <w:r>
              <w:rPr>
                <w:rFonts w:cs="Times New Roman"/>
                <w:b/>
                <w:bCs/>
                <w:lang w:val="el-GR"/>
              </w:rPr>
              <w:t>Τμήμα Αγροτικής Ανάπτυξης</w:t>
            </w:r>
          </w:p>
          <w:p>
            <w:pPr>
              <w:pStyle w:val="Style14"/>
              <w:rPr>
                <w:rFonts w:ascii="Times New Roman" w:hAnsi="Times New Roman" w:cs="Times New Roman"/>
                <w:sz w:val="22"/>
                <w:szCs w:val="22"/>
              </w:rPr>
            </w:pPr>
            <w:r>
              <w:rPr>
                <w:rFonts w:cs="Times New Roman" w:ascii="Times New Roman" w:hAnsi="Times New Roman"/>
                <w:sz w:val="22"/>
                <w:szCs w:val="22"/>
              </w:rPr>
            </w:r>
          </w:p>
          <w:p>
            <w:pPr>
              <w:pStyle w:val="Style14"/>
              <w:rPr>
                <w:rFonts w:ascii="Times New Roman" w:hAnsi="Times New Roman" w:cs="Times New Roman"/>
                <w:sz w:val="22"/>
                <w:szCs w:val="22"/>
              </w:rPr>
            </w:pPr>
            <w:r>
              <w:rPr>
                <w:rFonts w:cs="Times New Roman" w:ascii="Times New Roman" w:hAnsi="Times New Roman"/>
                <w:sz w:val="22"/>
                <w:szCs w:val="22"/>
              </w:rPr>
            </w:r>
          </w:p>
        </w:tc>
        <w:tc>
          <w:tcPr>
            <w:tcW w:w="284" w:type="dxa"/>
            <w:vMerge w:val="restart"/>
            <w:tcBorders/>
            <w:shd w:color="auto" w:fill="auto" w:val="clear"/>
            <w:vAlign w:val="center"/>
          </w:tcPr>
          <w:p>
            <w:pPr>
              <w:pStyle w:val="Normal"/>
              <w:rPr>
                <w:rFonts w:cs="Times New Roman"/>
                <w:sz w:val="22"/>
                <w:szCs w:val="22"/>
                <w:lang w:val="el-GR"/>
              </w:rPr>
            </w:pPr>
            <w:r>
              <w:rPr>
                <w:rFonts w:cs="Times New Roman"/>
                <w:sz w:val="22"/>
                <w:szCs w:val="22"/>
                <w:lang w:val="el-GR"/>
              </w:rPr>
            </w:r>
          </w:p>
        </w:tc>
        <w:tc>
          <w:tcPr>
            <w:tcW w:w="5042" w:type="dxa"/>
            <w:gridSpan w:val="2"/>
            <w:tcBorders/>
            <w:shd w:color="auto" w:fill="auto" w:val="clear"/>
            <w:vAlign w:val="center"/>
          </w:tcPr>
          <w:p>
            <w:pPr>
              <w:pStyle w:val="Normal"/>
              <w:rPr>
                <w:rFonts w:cs="Times New Roman"/>
                <w:sz w:val="22"/>
                <w:szCs w:val="22"/>
              </w:rPr>
            </w:pPr>
            <w:r>
              <w:rPr>
                <w:rFonts w:cs="Times New Roman"/>
                <w:sz w:val="22"/>
                <w:szCs w:val="22"/>
              </w:rPr>
            </w:r>
          </w:p>
        </w:tc>
      </w:tr>
      <w:tr>
        <w:trPr>
          <w:trHeight w:val="587" w:hRule="atLeast"/>
        </w:trPr>
        <w:tc>
          <w:tcPr>
            <w:tcW w:w="1276" w:type="dxa"/>
            <w:tcBorders/>
            <w:shd w:color="auto" w:fill="auto" w:val="clear"/>
            <w:tcMar>
              <w:top w:w="80" w:type="dxa"/>
              <w:bottom w:w="80" w:type="dxa"/>
            </w:tcMar>
          </w:tcPr>
          <w:p>
            <w:pPr>
              <w:pStyle w:val="Style14"/>
              <w:rPr>
                <w:rFonts w:ascii="Times New Roman" w:hAnsi="Times New Roman" w:eastAsia="American Typewriter" w:cs="Times New Roman"/>
                <w:color w:val="auto"/>
                <w:sz w:val="18"/>
                <w:szCs w:val="18"/>
              </w:rPr>
            </w:pPr>
            <w:r>
              <w:rPr>
                <w:rFonts w:cs="Times New Roman" w:ascii="Times New Roman" w:hAnsi="Times New Roman"/>
                <w:color w:val="auto"/>
                <w:sz w:val="18"/>
                <w:szCs w:val="18"/>
              </w:rPr>
              <w:t>Ταχ. Δ/νση</w:t>
            </w:r>
          </w:p>
          <w:p>
            <w:pPr>
              <w:pStyle w:val="Style14"/>
              <w:rPr>
                <w:rFonts w:ascii="Times New Roman" w:hAnsi="Times New Roman" w:eastAsia="American Typewriter" w:cs="Times New Roman"/>
                <w:color w:val="auto"/>
                <w:sz w:val="18"/>
                <w:szCs w:val="18"/>
              </w:rPr>
            </w:pPr>
            <w:r>
              <w:rPr>
                <w:rFonts w:cs="Times New Roman" w:ascii="Times New Roman" w:hAnsi="Times New Roman"/>
                <w:color w:val="auto"/>
                <w:sz w:val="18"/>
                <w:szCs w:val="18"/>
              </w:rPr>
              <w:t xml:space="preserve">Πληροφορίες </w:t>
            </w:r>
          </w:p>
          <w:p>
            <w:pPr>
              <w:pStyle w:val="Style14"/>
              <w:rPr>
                <w:rFonts w:ascii="Times New Roman" w:hAnsi="Times New Roman" w:eastAsia="American Typewriter" w:cs="Times New Roman"/>
                <w:color w:val="auto"/>
                <w:sz w:val="18"/>
                <w:szCs w:val="18"/>
              </w:rPr>
            </w:pPr>
            <w:r>
              <w:rPr>
                <w:rFonts w:cs="Times New Roman" w:ascii="Times New Roman" w:hAnsi="Times New Roman"/>
                <w:color w:val="auto"/>
                <w:sz w:val="18"/>
                <w:szCs w:val="18"/>
              </w:rPr>
              <w:t>Τηλέφωνο</w:t>
            </w:r>
          </w:p>
          <w:p>
            <w:pPr>
              <w:pStyle w:val="Style14"/>
              <w:rPr>
                <w:rFonts w:ascii="Times New Roman" w:hAnsi="Times New Roman" w:cs="Times New Roman"/>
                <w:color w:val="auto"/>
                <w:sz w:val="22"/>
                <w:szCs w:val="22"/>
              </w:rPr>
            </w:pPr>
            <w:r>
              <w:rPr>
                <w:rFonts w:cs="Times New Roman" w:ascii="Times New Roman" w:hAnsi="Times New Roman"/>
                <w:color w:val="auto"/>
                <w:sz w:val="18"/>
                <w:szCs w:val="18"/>
                <w:lang w:val="en-US"/>
              </w:rPr>
              <w:t>e</w:t>
            </w:r>
            <w:r>
              <w:rPr>
                <w:rFonts w:cs="Times New Roman" w:ascii="Times New Roman" w:hAnsi="Times New Roman"/>
                <w:color w:val="auto"/>
                <w:sz w:val="18"/>
                <w:szCs w:val="18"/>
              </w:rPr>
              <w:t>-</w:t>
            </w:r>
            <w:r>
              <w:rPr>
                <w:rFonts w:cs="Times New Roman" w:ascii="Times New Roman" w:hAnsi="Times New Roman"/>
                <w:color w:val="auto"/>
                <w:sz w:val="18"/>
                <w:szCs w:val="18"/>
                <w:lang w:val="en-US"/>
              </w:rPr>
              <w:t>mail</w:t>
            </w:r>
          </w:p>
        </w:tc>
        <w:tc>
          <w:tcPr>
            <w:tcW w:w="284" w:type="dxa"/>
            <w:tcBorders/>
            <w:shd w:color="auto" w:fill="auto" w:val="clear"/>
            <w:tcMar>
              <w:left w:w="108" w:type="dxa"/>
              <w:right w:w="108" w:type="dxa"/>
            </w:tcMar>
          </w:tcPr>
          <w:p>
            <w:pPr>
              <w:pStyle w:val="Style14"/>
              <w:rPr>
                <w:rFonts w:ascii="Times New Roman" w:hAnsi="Times New Roman" w:eastAsia="Avenir Next" w:cs="Times New Roman"/>
                <w:color w:val="auto"/>
                <w:sz w:val="18"/>
                <w:szCs w:val="18"/>
              </w:rPr>
            </w:pPr>
            <w:r>
              <w:rPr>
                <w:rFonts w:cs="Times New Roman" w:ascii="Times New Roman" w:hAnsi="Times New Roman"/>
                <w:color w:val="auto"/>
                <w:sz w:val="18"/>
                <w:szCs w:val="18"/>
              </w:rPr>
              <w:t>:</w:t>
            </w:r>
          </w:p>
          <w:p>
            <w:pPr>
              <w:pStyle w:val="Style14"/>
              <w:rPr>
                <w:rFonts w:ascii="Times New Roman" w:hAnsi="Times New Roman" w:eastAsia="Avenir Next" w:cs="Times New Roman"/>
                <w:color w:val="auto"/>
                <w:sz w:val="18"/>
                <w:szCs w:val="18"/>
              </w:rPr>
            </w:pPr>
            <w:r>
              <w:rPr>
                <w:rFonts w:cs="Times New Roman" w:ascii="Times New Roman" w:hAnsi="Times New Roman"/>
                <w:color w:val="auto"/>
                <w:sz w:val="18"/>
                <w:szCs w:val="18"/>
              </w:rPr>
              <w:t>:</w:t>
            </w:r>
          </w:p>
          <w:p>
            <w:pPr>
              <w:pStyle w:val="Style14"/>
              <w:rPr>
                <w:rFonts w:ascii="Times New Roman" w:hAnsi="Times New Roman" w:eastAsia="Avenir Next" w:cs="Times New Roman"/>
                <w:color w:val="auto"/>
                <w:sz w:val="18"/>
                <w:szCs w:val="18"/>
              </w:rPr>
            </w:pPr>
            <w:r>
              <w:rPr>
                <w:rFonts w:cs="Times New Roman" w:ascii="Times New Roman" w:hAnsi="Times New Roman"/>
                <w:color w:val="auto"/>
                <w:sz w:val="18"/>
                <w:szCs w:val="18"/>
              </w:rPr>
              <w:t>:</w:t>
            </w:r>
          </w:p>
          <w:p>
            <w:pPr>
              <w:pStyle w:val="Style14"/>
              <w:rPr>
                <w:rFonts w:ascii="Times New Roman" w:hAnsi="Times New Roman" w:cs="Times New Roman"/>
                <w:color w:val="auto"/>
                <w:sz w:val="22"/>
                <w:szCs w:val="22"/>
              </w:rPr>
            </w:pPr>
            <w:r>
              <w:rPr>
                <w:rFonts w:cs="Times New Roman" w:ascii="Times New Roman" w:hAnsi="Times New Roman"/>
                <w:color w:val="auto"/>
                <w:sz w:val="18"/>
                <w:szCs w:val="18"/>
              </w:rPr>
              <w:t>:</w:t>
            </w:r>
          </w:p>
        </w:tc>
        <w:tc>
          <w:tcPr>
            <w:tcW w:w="3123" w:type="dxa"/>
            <w:tcBorders/>
            <w:shd w:color="auto" w:fill="auto" w:val="clear"/>
            <w:tcMar>
              <w:left w:w="108" w:type="dxa"/>
              <w:right w:w="108" w:type="dxa"/>
            </w:tcMar>
          </w:tcPr>
          <w:p>
            <w:pPr>
              <w:pStyle w:val="Style14"/>
              <w:rPr>
                <w:rFonts w:ascii="Times New Roman" w:hAnsi="Times New Roman" w:eastAsia="American Typewriter" w:cs="Times New Roman"/>
                <w:color w:val="auto"/>
                <w:sz w:val="18"/>
                <w:szCs w:val="18"/>
              </w:rPr>
            </w:pPr>
            <w:r>
              <w:rPr>
                <w:rFonts w:cs="Times New Roman" w:ascii="Times New Roman" w:hAnsi="Times New Roman"/>
                <w:color w:val="auto"/>
                <w:sz w:val="18"/>
                <w:szCs w:val="18"/>
              </w:rPr>
              <w:t>Καρδίτσα 43100, Καρδίτσα</w:t>
            </w:r>
          </w:p>
          <w:p>
            <w:pPr>
              <w:pStyle w:val="Style14"/>
              <w:rPr>
                <w:rFonts w:ascii="Times New Roman" w:hAnsi="Times New Roman" w:eastAsia="American Typewriter" w:cs="Times New Roman"/>
                <w:color w:val="auto"/>
                <w:sz w:val="18"/>
                <w:szCs w:val="18"/>
              </w:rPr>
            </w:pPr>
            <w:r>
              <w:rPr>
                <w:rStyle w:val="InternetLink"/>
                <w:rFonts w:eastAsia="American Typewriter" w:cs="Times New Roman" w:ascii="Times New Roman" w:hAnsi="Times New Roman"/>
                <w:color w:val="auto"/>
                <w:sz w:val="18"/>
                <w:szCs w:val="18"/>
                <w:u w:val="none" w:color="000000"/>
              </w:rPr>
              <w:t>Σκόνδρα Μ.</w:t>
            </w:r>
          </w:p>
          <w:p>
            <w:pPr>
              <w:pStyle w:val="Style14"/>
              <w:rPr>
                <w:rFonts w:ascii="Times New Roman" w:hAnsi="Times New Roman" w:eastAsia="American Typewriter" w:cs="Times New Roman"/>
                <w:color w:val="auto"/>
                <w:sz w:val="18"/>
                <w:szCs w:val="18"/>
              </w:rPr>
            </w:pPr>
            <w:r>
              <w:rPr>
                <w:rStyle w:val="InternetLink"/>
                <w:rFonts w:eastAsia="American Typewriter" w:cs="Times New Roman" w:ascii="Times New Roman" w:hAnsi="Times New Roman"/>
                <w:color w:val="auto"/>
                <w:sz w:val="18"/>
                <w:szCs w:val="18"/>
                <w:u w:val="none" w:color="000000"/>
              </w:rPr>
              <w:t>24413 5</w:t>
            </w:r>
            <w:r>
              <w:rPr>
                <w:rStyle w:val="InternetLink"/>
                <w:rFonts w:eastAsia="American Typewriter" w:cs="Times New Roman" w:ascii="Times New Roman" w:hAnsi="Times New Roman"/>
                <w:color w:val="auto"/>
                <w:sz w:val="18"/>
                <w:szCs w:val="18"/>
                <w:u w:val="none" w:color="000000"/>
                <w:lang w:val="en-US"/>
              </w:rPr>
              <w:t>0089</w:t>
            </w:r>
          </w:p>
          <w:p>
            <w:pPr>
              <w:pStyle w:val="Style14"/>
              <w:rPr>
                <w:rFonts w:ascii="Times New Roman" w:hAnsi="Times New Roman" w:eastAsia="American Typewriter" w:cs="Times New Roman"/>
                <w:color w:val="auto"/>
                <w:sz w:val="18"/>
                <w:szCs w:val="18"/>
              </w:rPr>
            </w:pPr>
            <w:r>
              <w:rPr>
                <w:rStyle w:val="InternetLink"/>
                <w:rFonts w:eastAsia="American Typewriter" w:cs="Times New Roman" w:ascii="Times New Roman" w:hAnsi="Times New Roman"/>
                <w:color w:val="auto"/>
                <w:sz w:val="18"/>
                <w:szCs w:val="18"/>
                <w:u w:val="none" w:color="000000"/>
                <w:lang w:val="en-US"/>
              </w:rPr>
              <w:t>m.skondra@dimoskarditsas.gov.gr</w:t>
            </w:r>
          </w:p>
        </w:tc>
        <w:tc>
          <w:tcPr>
            <w:tcW w:w="284" w:type="dxa"/>
            <w:vMerge w:val="continue"/>
            <w:tcBorders/>
            <w:shd w:color="auto" w:fill="auto" w:val="clear"/>
            <w:tcMar>
              <w:top w:w="80" w:type="dxa"/>
              <w:bottom w:w="80" w:type="dxa"/>
            </w:tcMar>
            <w:vAlign w:val="center"/>
          </w:tcPr>
          <w:p>
            <w:pPr>
              <w:pStyle w:val="Normal"/>
              <w:rPr>
                <w:rFonts w:cs="Times New Roman"/>
                <w:sz w:val="22"/>
                <w:szCs w:val="22"/>
                <w:lang w:val="el-GR"/>
              </w:rPr>
            </w:pPr>
            <w:r>
              <w:rPr>
                <w:rFonts w:cs="Times New Roman"/>
                <w:sz w:val="22"/>
                <w:szCs w:val="22"/>
                <w:lang w:val="el-GR"/>
              </w:rPr>
            </w:r>
          </w:p>
        </w:tc>
        <w:tc>
          <w:tcPr>
            <w:tcW w:w="5042" w:type="dxa"/>
            <w:gridSpan w:val="2"/>
            <w:tcBorders/>
            <w:shd w:color="auto" w:fill="auto" w:val="clear"/>
            <w:tcMar>
              <w:top w:w="80" w:type="dxa"/>
              <w:bottom w:w="80" w:type="dxa"/>
            </w:tcMar>
            <w:vAlign w:val="center"/>
          </w:tcPr>
          <w:p>
            <w:pPr>
              <w:pStyle w:val="Style14"/>
              <w:rPr>
                <w:rFonts w:ascii="Times New Roman" w:hAnsi="Times New Roman" w:eastAsia="American Typewriter" w:cs="Times New Roman"/>
                <w:sz w:val="22"/>
                <w:szCs w:val="22"/>
              </w:rPr>
            </w:pPr>
            <w:r>
              <w:rPr>
                <w:rFonts w:cs="Times New Roman" w:ascii="Times New Roman" w:hAnsi="Times New Roman"/>
                <w:sz w:val="22"/>
                <w:szCs w:val="22"/>
              </w:rPr>
              <w:t xml:space="preserve">Καρδίτσα   </w:t>
            </w:r>
            <w:r>
              <w:rPr>
                <w:rFonts w:eastAsia="American Typewriter" w:cs="Times New Roman" w:ascii="Times New Roman" w:hAnsi="Times New Roman"/>
                <w:b/>
                <w:bCs/>
                <w:sz w:val="22"/>
                <w:szCs w:val="22"/>
                <w:lang w:val="en-US"/>
              </w:rPr>
              <w:t>27</w:t>
            </w:r>
            <w:r>
              <w:rPr>
                <w:rFonts w:eastAsia="American Typewriter" w:cs="Times New Roman" w:ascii="Times New Roman" w:hAnsi="Times New Roman"/>
                <w:b/>
                <w:bCs/>
                <w:sz w:val="22"/>
                <w:szCs w:val="22"/>
                <w:lang w:val="en-US"/>
              </w:rPr>
              <w:t>-02-202</w:t>
            </w:r>
            <w:r>
              <w:rPr>
                <w:rFonts w:eastAsia="American Typewriter" w:cs="Times New Roman" w:ascii="Times New Roman" w:hAnsi="Times New Roman"/>
                <w:b/>
                <w:bCs/>
                <w:sz w:val="22"/>
                <w:szCs w:val="22"/>
                <w:lang w:val="el-GR"/>
              </w:rPr>
              <w:t>4</w:t>
            </w:r>
          </w:p>
          <w:p>
            <w:pPr>
              <w:pStyle w:val="Style14"/>
              <w:rPr>
                <w:rFonts w:ascii="Times New Roman" w:hAnsi="Times New Roman" w:cs="Times New Roman"/>
                <w:sz w:val="22"/>
                <w:szCs w:val="22"/>
              </w:rPr>
            </w:pPr>
            <w:r>
              <w:rPr>
                <w:rFonts w:cs="Times New Roman" w:ascii="Times New Roman" w:hAnsi="Times New Roman"/>
                <w:sz w:val="22"/>
                <w:szCs w:val="22"/>
              </w:rPr>
              <w:t xml:space="preserve">Αρ. Πρωτ.  </w:t>
            </w:r>
            <w:r>
              <w:rPr>
                <w:rFonts w:cs="Times New Roman" w:ascii="Times New Roman" w:hAnsi="Times New Roman"/>
                <w:b/>
                <w:bCs/>
                <w:sz w:val="22"/>
                <w:szCs w:val="22"/>
                <w:lang w:val="en-US"/>
              </w:rPr>
              <w:t>6827</w:t>
            </w:r>
          </w:p>
        </w:tc>
      </w:tr>
      <w:tr>
        <w:trPr>
          <w:trHeight w:val="912" w:hRule="atLeast"/>
        </w:trPr>
        <w:tc>
          <w:tcPr>
            <w:tcW w:w="4683" w:type="dxa"/>
            <w:gridSpan w:val="3"/>
            <w:tcBorders/>
            <w:shd w:color="auto" w:fill="auto" w:val="clear"/>
            <w:tcMar>
              <w:left w:w="108" w:type="dxa"/>
              <w:right w:w="108" w:type="dxa"/>
            </w:tcMar>
          </w:tcPr>
          <w:p>
            <w:pPr>
              <w:pStyle w:val="Normal"/>
              <w:rPr>
                <w:rFonts w:cs="Times New Roman"/>
                <w:sz w:val="22"/>
                <w:szCs w:val="22"/>
                <w:lang w:val="el-GR"/>
              </w:rPr>
            </w:pPr>
            <w:r>
              <w:rPr>
                <w:rFonts w:cs="Times New Roman"/>
                <w:sz w:val="22"/>
                <w:szCs w:val="22"/>
                <w:lang w:val="el-GR"/>
              </w:rPr>
            </w:r>
          </w:p>
        </w:tc>
        <w:tc>
          <w:tcPr>
            <w:tcW w:w="284" w:type="dxa"/>
            <w:vMerge w:val="continue"/>
            <w:tcBorders/>
            <w:shd w:color="auto" w:fill="auto" w:val="clear"/>
            <w:tcMar>
              <w:top w:w="80" w:type="dxa"/>
              <w:bottom w:w="80" w:type="dxa"/>
            </w:tcMar>
          </w:tcPr>
          <w:p>
            <w:pPr>
              <w:pStyle w:val="Normal"/>
              <w:rPr>
                <w:rFonts w:cs="Times New Roman"/>
                <w:sz w:val="22"/>
                <w:szCs w:val="22"/>
                <w:lang w:val="el-GR"/>
              </w:rPr>
            </w:pPr>
            <w:r>
              <w:rPr>
                <w:rFonts w:cs="Times New Roman"/>
                <w:sz w:val="22"/>
                <w:szCs w:val="22"/>
                <w:lang w:val="el-GR"/>
              </w:rPr>
            </w:r>
          </w:p>
        </w:tc>
        <w:tc>
          <w:tcPr>
            <w:tcW w:w="845" w:type="dxa"/>
            <w:tcBorders/>
            <w:shd w:color="auto" w:fill="auto" w:val="clear"/>
            <w:tcMar>
              <w:top w:w="80" w:type="dxa"/>
              <w:bottom w:w="80" w:type="dxa"/>
            </w:tcMar>
          </w:tcPr>
          <w:p>
            <w:pPr>
              <w:pStyle w:val="Style14"/>
              <w:rPr>
                <w:rFonts w:ascii="Times New Roman" w:hAnsi="Times New Roman" w:cs="Times New Roman"/>
                <w:b/>
                <w:b/>
                <w:bCs/>
                <w:sz w:val="22"/>
                <w:szCs w:val="22"/>
              </w:rPr>
            </w:pPr>
            <w:r>
              <w:rPr>
                <w:rFonts w:cs="Times New Roman" w:ascii="Times New Roman" w:hAnsi="Times New Roman"/>
                <w:b/>
                <w:bCs/>
                <w:sz w:val="22"/>
                <w:szCs w:val="22"/>
              </w:rPr>
            </w:r>
          </w:p>
        </w:tc>
        <w:tc>
          <w:tcPr>
            <w:tcW w:w="4197" w:type="dxa"/>
            <w:tcBorders/>
            <w:shd w:color="auto" w:fill="auto" w:val="clear"/>
            <w:tcMar>
              <w:top w:w="80" w:type="dxa"/>
              <w:bottom w:w="80" w:type="dxa"/>
            </w:tcMar>
          </w:tcPr>
          <w:p>
            <w:pPr>
              <w:pStyle w:val="Style14"/>
              <w:rPr>
                <w:rFonts w:ascii="Times New Roman" w:hAnsi="Times New Roman" w:cs="Times New Roman"/>
                <w:sz w:val="20"/>
                <w:szCs w:val="20"/>
              </w:rPr>
            </w:pPr>
            <w:r>
              <w:rPr>
                <w:rFonts w:cs="Times New Roman" w:ascii="Times New Roman" w:hAnsi="Times New Roman"/>
                <w:sz w:val="20"/>
                <w:szCs w:val="20"/>
              </w:rPr>
            </w:r>
          </w:p>
        </w:tc>
      </w:tr>
    </w:tbl>
    <w:p>
      <w:pPr>
        <w:pStyle w:val="Normal"/>
        <w:jc w:val="right"/>
        <w:rPr>
          <w:rFonts w:eastAsia="Avenir Next" w:cs="Times New Roman"/>
          <w:i/>
          <w:i/>
          <w:lang w:val="el-GR"/>
        </w:rPr>
      </w:pPr>
      <w:r>
        <w:rPr>
          <w:rFonts w:eastAsia="Avenir Next" w:cs="Times New Roman"/>
          <w:i/>
          <w:lang w:val="el-GR"/>
        </w:rPr>
      </w:r>
    </w:p>
    <w:p>
      <w:pPr>
        <w:pStyle w:val="Normal"/>
        <w:jc w:val="center"/>
        <w:rPr>
          <w:rFonts w:eastAsia="Avenir Next" w:cs="Times New Roman"/>
          <w:u w:val="single"/>
          <w:lang w:val="el-GR"/>
        </w:rPr>
      </w:pPr>
      <w:r>
        <w:rPr>
          <w:rFonts w:eastAsia="Avenir Next" w:cs="Times New Roman"/>
          <w:u w:val="single" w:color="000000"/>
          <w:lang w:val="el-GR"/>
        </w:rPr>
      </w:r>
    </w:p>
    <w:p>
      <w:pPr>
        <w:pStyle w:val="Normal"/>
        <w:jc w:val="center"/>
        <w:rPr>
          <w:rFonts w:eastAsia="Avenir Next" w:cs="Times New Roman"/>
          <w:u w:val="single"/>
          <w:lang w:val="el-GR"/>
        </w:rPr>
      </w:pPr>
      <w:r>
        <w:rPr>
          <w:rFonts w:eastAsia="Avenir Next" w:cs="Times New Roman"/>
          <w:u w:val="single" w:color="000000"/>
          <w:lang w:val="el-GR"/>
        </w:rPr>
      </w:r>
    </w:p>
    <w:p>
      <w:pPr>
        <w:pStyle w:val="Normal"/>
        <w:jc w:val="center"/>
        <w:rPr>
          <w:rFonts w:eastAsia="Avenir Next" w:cs="Times New Roman"/>
          <w:u w:val="single"/>
          <w:lang w:val="el-GR"/>
        </w:rPr>
      </w:pPr>
      <w:r>
        <w:rPr>
          <w:rFonts w:eastAsia="Avenir Next" w:cs="Times New Roman"/>
          <w:b/>
          <w:bCs/>
          <w:lang w:val="el-GR" w:eastAsia="en-US"/>
        </w:rPr>
        <w:t>ΠΡΟΣΚΛΗΣΗ ΕΚΔΗΛΩΣΗΣ ΕΝΔΙΑΦΕΡΟΝΤΟΣ</w:t>
      </w:r>
    </w:p>
    <w:p>
      <w:pPr>
        <w:pStyle w:val="Normal"/>
        <w:jc w:val="center"/>
        <w:rPr>
          <w:rFonts w:eastAsia="Avenir Next" w:cs="Times New Roman"/>
          <w:u w:val="single"/>
          <w:lang w:val="el-GR"/>
        </w:rPr>
      </w:pPr>
      <w:r>
        <w:rPr>
          <w:rFonts w:eastAsia="Avenir Next" w:cs="Times New Roman"/>
          <w:b/>
          <w:bCs/>
          <w:lang w:val="el-GR" w:eastAsia="en-US"/>
        </w:rPr>
        <w:t xml:space="preserve"> </w:t>
      </w:r>
      <w:r>
        <w:rPr>
          <w:rFonts w:eastAsia="Avenir Next" w:cs="Times New Roman"/>
          <w:b/>
          <w:bCs/>
          <w:lang w:val="el-GR" w:eastAsia="en-US"/>
        </w:rPr>
        <w:t>ΓΙΑ ΠΡΟΜΗΘΕΙΑ ΖΩΟΤΡΟΦΩΝ ΤΟΥ ΔΗΜΟΥ ΚΑΡΔΙΤΣΑΣ ΕΤΟΥΣ 2024</w:t>
      </w:r>
      <w:r>
        <w:rPr>
          <w:rFonts w:eastAsia="Avenir Next" w:cs="Times New Roman"/>
          <w:b/>
          <w:lang w:val="el-GR" w:eastAsia="en-US"/>
        </w:rPr>
        <w:t xml:space="preserve"> </w:t>
      </w:r>
      <w:r>
        <w:rPr>
          <w:rFonts w:eastAsia="Avenir Next" w:cs="Times New Roman"/>
          <w:b/>
          <w:lang w:val="el-GR"/>
        </w:rPr>
        <w:t xml:space="preserve"> </w:t>
      </w:r>
    </w:p>
    <w:p>
      <w:pPr>
        <w:pStyle w:val="Normal"/>
        <w:jc w:val="both"/>
        <w:rPr>
          <w:rFonts w:eastAsia="Avenir Next" w:cs="Times New Roman"/>
          <w:u w:val="single"/>
          <w:lang w:val="el-GR"/>
        </w:rPr>
      </w:pPr>
      <w:r>
        <w:rPr>
          <w:rFonts w:eastAsia="Avenir Next" w:cs="Times New Roman"/>
          <w:u w:val="single" w:color="000000"/>
          <w:lang w:val="el-GR"/>
        </w:rPr>
      </w:r>
    </w:p>
    <w:p>
      <w:pPr>
        <w:pStyle w:val="Normal"/>
        <w:jc w:val="both"/>
        <w:rPr/>
      </w:pPr>
      <w:r>
        <w:rPr>
          <w:bCs/>
          <w:sz w:val="20"/>
          <w:szCs w:val="20"/>
          <w:lang w:val="el-GR"/>
        </w:rPr>
        <w:t>Ο Δήμος Καρδίτσας ενδιαφέρεται να προβεί στην απευθείας ανάθεση της προμήθειας ζωοτροφών για τα αδέσποτα ζώα για το έτος 2024.</w:t>
      </w:r>
      <w:r>
        <w:rPr>
          <w:sz w:val="20"/>
          <w:szCs w:val="20"/>
          <w:lang w:val="el-GR"/>
        </w:rPr>
        <w:t xml:space="preserve"> </w:t>
      </w:r>
    </w:p>
    <w:p>
      <w:pPr>
        <w:pStyle w:val="Normal"/>
        <w:jc w:val="both"/>
        <w:rPr>
          <w:sz w:val="20"/>
          <w:szCs w:val="20"/>
          <w:lang w:val="el-GR"/>
        </w:rPr>
      </w:pPr>
      <w:r>
        <w:rPr>
          <w:sz w:val="20"/>
          <w:szCs w:val="20"/>
          <w:lang w:val="el-GR"/>
        </w:rPr>
        <w:t xml:space="preserve">Παρακαλούμε να μας αποστείλετε σχετική προσφορά για την ανωτέρω προμήθεια μέχρι την </w:t>
      </w:r>
      <w:r>
        <w:rPr>
          <w:sz w:val="20"/>
          <w:szCs w:val="20"/>
          <w:lang w:val="en-US"/>
        </w:rPr>
        <w:t>04</w:t>
      </w:r>
      <w:r>
        <w:rPr>
          <w:sz w:val="20"/>
          <w:szCs w:val="20"/>
          <w:lang w:val="el-GR"/>
        </w:rPr>
        <w:t>/0</w:t>
      </w:r>
      <w:r>
        <w:rPr>
          <w:sz w:val="20"/>
          <w:szCs w:val="20"/>
          <w:lang w:val="en-US"/>
        </w:rPr>
        <w:t>3</w:t>
      </w:r>
      <w:r>
        <w:rPr>
          <w:sz w:val="20"/>
          <w:szCs w:val="20"/>
          <w:lang w:val="el-GR"/>
        </w:rPr>
        <w:t xml:space="preserve">/2024 </w:t>
      </w:r>
      <w:r>
        <w:rPr>
          <w:sz w:val="20"/>
          <w:szCs w:val="20"/>
          <w:lang w:val="el-GR"/>
        </w:rPr>
        <w:t xml:space="preserve">ημέρα </w:t>
      </w:r>
      <w:r>
        <w:rPr>
          <w:sz w:val="20"/>
          <w:szCs w:val="20"/>
          <w:lang w:val="el-GR"/>
        </w:rPr>
        <w:t xml:space="preserve">Δευτέρα </w:t>
      </w:r>
      <w:r>
        <w:rPr>
          <w:sz w:val="20"/>
          <w:szCs w:val="20"/>
          <w:lang w:val="el-GR"/>
        </w:rPr>
        <w:t xml:space="preserve">και ώρα </w:t>
      </w:r>
      <w:r>
        <w:rPr>
          <w:sz w:val="20"/>
          <w:szCs w:val="20"/>
          <w:lang w:val="en-US"/>
        </w:rPr>
        <w:t>1</w:t>
      </w:r>
      <w:r>
        <w:rPr>
          <w:sz w:val="20"/>
          <w:szCs w:val="20"/>
          <w:lang w:val="en-US"/>
        </w:rPr>
        <w:t>4</w:t>
      </w:r>
      <w:r>
        <w:rPr>
          <w:sz w:val="20"/>
          <w:szCs w:val="20"/>
          <w:lang w:val="en-US"/>
        </w:rPr>
        <w:t>.00</w:t>
      </w:r>
      <w:r>
        <w:rPr>
          <w:sz w:val="20"/>
          <w:szCs w:val="20"/>
          <w:lang w:val="el-GR"/>
        </w:rPr>
        <w:t xml:space="preserve"> μ.μ.</w:t>
      </w:r>
      <w:r>
        <w:rPr>
          <w:sz w:val="20"/>
          <w:szCs w:val="20"/>
          <w:highlight w:val="yellow"/>
          <w:lang w:val="el-GR"/>
        </w:rPr>
        <w:t xml:space="preserve"> </w:t>
      </w:r>
    </w:p>
    <w:p>
      <w:pPr>
        <w:pStyle w:val="Normal"/>
        <w:jc w:val="both"/>
        <w:rPr>
          <w:sz w:val="20"/>
          <w:szCs w:val="20"/>
          <w:lang w:val="el-GR"/>
        </w:rPr>
      </w:pPr>
      <w:r>
        <w:rPr>
          <w:sz w:val="20"/>
          <w:szCs w:val="20"/>
          <w:lang w:val="el-GR"/>
        </w:rPr>
      </w:r>
    </w:p>
    <w:p>
      <w:pPr>
        <w:pStyle w:val="Normal"/>
        <w:jc w:val="both"/>
        <w:rPr/>
      </w:pPr>
      <w:r>
        <w:rPr>
          <w:sz w:val="20"/>
          <w:szCs w:val="20"/>
          <w:lang w:val="el-GR"/>
        </w:rPr>
        <w:t>Οι ενδιαφερόμενοι μπορούν να απευθύνονται στο Δήμο Καρδίτσας,</w:t>
      </w:r>
      <w:r>
        <w:rPr>
          <w:color w:val="000000"/>
          <w:sz w:val="20"/>
          <w:szCs w:val="20"/>
          <w:lang w:val="el-GR"/>
        </w:rPr>
        <w:t xml:space="preserve"> Δ/νση Προγραμματισμού, Πληροφορικής, Διαφάνειας &amp; Αγροτικής Ανάπτυξης,  Τμήμα Αγροτικής Ανάπτυξης (τηλ. 24413 50089, 50005</w:t>
      </w:r>
      <w:r>
        <w:rPr>
          <w:sz w:val="20"/>
          <w:szCs w:val="20"/>
          <w:lang w:val="el-GR"/>
        </w:rPr>
        <w:t>), για να παραλάβουν τις σχετικές προδιαγραφές, το έντυπο οικονομικής προσφοράς  και κάθε άλλη πληροφορία για την παραπάνω προμήθεια.</w:t>
      </w:r>
    </w:p>
    <w:p>
      <w:pPr>
        <w:pStyle w:val="Normal"/>
        <w:jc w:val="both"/>
        <w:rPr>
          <w:sz w:val="20"/>
          <w:szCs w:val="20"/>
        </w:rPr>
      </w:pPr>
      <w:r>
        <w:rPr>
          <w:sz w:val="20"/>
          <w:szCs w:val="20"/>
          <w:lang w:val="el-GR"/>
        </w:rPr>
        <w:t>Για την αξιολόγηση των προσφορών λαμβάνονται υπόψη τα παρακάτω:</w:t>
      </w:r>
    </w:p>
    <w:p>
      <w:pPr>
        <w:pStyle w:val="TextBody"/>
        <w:jc w:val="both"/>
        <w:rPr>
          <w:sz w:val="20"/>
          <w:szCs w:val="20"/>
        </w:rPr>
      </w:pPr>
      <w:r>
        <w:rPr>
          <w:sz w:val="20"/>
          <w:szCs w:val="20"/>
          <w:lang w:val="el-GR"/>
        </w:rPr>
        <w:t>Τα δικαιολογητικά συμμετοχής που θα κατατεθούν μαζί με την προσφορά είναι</w:t>
      </w:r>
      <w:r>
        <w:rPr>
          <w:sz w:val="20"/>
          <w:szCs w:val="20"/>
        </w:rPr>
        <w:t>:</w:t>
      </w:r>
    </w:p>
    <w:p>
      <w:pPr>
        <w:pStyle w:val="TextBody"/>
        <w:jc w:val="both"/>
        <w:rPr>
          <w:sz w:val="20"/>
          <w:szCs w:val="20"/>
        </w:rPr>
      </w:pPr>
      <w:r>
        <w:rPr>
          <w:b/>
          <w:bCs/>
          <w:sz w:val="20"/>
          <w:szCs w:val="20"/>
        </w:rPr>
        <w:t>Α</w:t>
      </w:r>
      <w:r>
        <w:rPr>
          <w:sz w:val="20"/>
          <w:szCs w:val="20"/>
        </w:rPr>
        <w:t xml:space="preserve">. </w:t>
      </w:r>
      <w:r>
        <w:rPr>
          <w:sz w:val="20"/>
          <w:szCs w:val="20"/>
          <w:lang w:val="el-GR"/>
        </w:rPr>
        <w:t xml:space="preserve">Υπεύθυνη Δήλωση του </w:t>
      </w:r>
      <w:r>
        <w:rPr>
          <w:sz w:val="20"/>
          <w:szCs w:val="20"/>
        </w:rPr>
        <w:t xml:space="preserve">Ν. 1599/1986 </w:t>
      </w:r>
      <w:r>
        <w:rPr>
          <w:sz w:val="20"/>
          <w:szCs w:val="20"/>
          <w:lang w:val="el-GR"/>
        </w:rPr>
        <w:t>υπογεγραμμένη από</w:t>
      </w:r>
      <w:r>
        <w:rPr>
          <w:sz w:val="20"/>
          <w:szCs w:val="20"/>
        </w:rPr>
        <w:t>:</w:t>
      </w:r>
    </w:p>
    <w:p>
      <w:pPr>
        <w:pStyle w:val="TextBody"/>
        <w:jc w:val="both"/>
        <w:rPr>
          <w:sz w:val="20"/>
          <w:szCs w:val="20"/>
          <w:lang w:val="el-GR"/>
        </w:rPr>
      </w:pPr>
      <w:r>
        <w:rPr>
          <w:sz w:val="20"/>
          <w:szCs w:val="20"/>
          <w:lang w:val="el-GR"/>
        </w:rPr>
        <w:t>Τα φυσικά πρόσωπα</w:t>
      </w:r>
    </w:p>
    <w:p>
      <w:pPr>
        <w:pStyle w:val="TextBody"/>
        <w:jc w:val="both"/>
        <w:rPr>
          <w:sz w:val="20"/>
          <w:szCs w:val="20"/>
        </w:rPr>
      </w:pPr>
      <w:r>
        <w:rPr>
          <w:sz w:val="20"/>
          <w:szCs w:val="20"/>
          <w:lang w:val="el-GR"/>
        </w:rPr>
        <w:t>Τους ομόρρυθμους εταίρους και διαχειριστές Ο.Ε. και Ε.Ε., τ</w:t>
      </w:r>
      <w:r>
        <w:rPr>
          <w:sz w:val="20"/>
          <w:szCs w:val="20"/>
        </w:rPr>
        <w:t xml:space="preserve">ους </w:t>
      </w:r>
      <w:r>
        <w:rPr>
          <w:sz w:val="20"/>
          <w:szCs w:val="20"/>
          <w:lang w:val="el-GR"/>
        </w:rPr>
        <w:t>διαχειριστές  Ε.Π.Ε. και Ι.Κ.Ε.</w:t>
      </w:r>
    </w:p>
    <w:p>
      <w:pPr>
        <w:pStyle w:val="TextBody"/>
        <w:jc w:val="both"/>
        <w:rPr>
          <w:sz w:val="20"/>
          <w:szCs w:val="20"/>
          <w:lang w:val="el-GR"/>
        </w:rPr>
      </w:pPr>
      <w:r>
        <w:rPr>
          <w:sz w:val="20"/>
          <w:szCs w:val="20"/>
          <w:lang w:val="el-GR"/>
        </w:rPr>
        <w:t xml:space="preserve">Στις περιπτώσεις ανωνύμων εταιρειών (Α.Ε.), τον Διευθύνοντα Σύμβουλο, καθώς και όλα τα μέλη του Διοικητικού Συμβουλίου. </w:t>
      </w:r>
    </w:p>
    <w:p>
      <w:pPr>
        <w:pStyle w:val="TextBody"/>
        <w:jc w:val="both"/>
        <w:rPr>
          <w:sz w:val="20"/>
          <w:szCs w:val="20"/>
          <w:lang w:val="el-GR"/>
        </w:rPr>
      </w:pPr>
      <w:r>
        <w:rPr>
          <w:sz w:val="20"/>
          <w:szCs w:val="20"/>
          <w:lang w:val="el-GR"/>
        </w:rPr>
        <w:t xml:space="preserve">Στις περιπτώσεις ΝΠΔΔ &amp; ΝΠΙΔ, ο Πρόεδρος του Διοικητικού Συμβουλίου, όπου να δηλώνεται ότι: </w:t>
      </w:r>
    </w:p>
    <w:p>
      <w:pPr>
        <w:pStyle w:val="TextBody"/>
        <w:jc w:val="both"/>
        <w:rPr>
          <w:sz w:val="20"/>
          <w:szCs w:val="20"/>
        </w:rPr>
      </w:pPr>
      <w:r>
        <w:rPr>
          <w:sz w:val="20"/>
          <w:szCs w:val="20"/>
          <w:lang w:val="el-GR"/>
        </w:rPr>
        <w:t>Έχουν λάβει γνώση των όρων των τεχνικών προδιαγραφών, της συγγραφής υποχρεώσεων και του ενδεικτικού προϋπολογισμού της παροχής και συμφωνούν με αυτούς</w:t>
      </w:r>
      <w:r>
        <w:rPr>
          <w:sz w:val="20"/>
          <w:szCs w:val="20"/>
        </w:rPr>
        <w:t>.</w:t>
      </w:r>
    </w:p>
    <w:p>
      <w:pPr>
        <w:pStyle w:val="TextBody"/>
        <w:jc w:val="both"/>
        <w:rPr>
          <w:sz w:val="20"/>
          <w:szCs w:val="20"/>
        </w:rPr>
      </w:pPr>
      <w:r>
        <w:rPr>
          <w:sz w:val="20"/>
          <w:szCs w:val="20"/>
          <w:lang w:val="el-GR"/>
        </w:rPr>
        <w:t xml:space="preserve">Δεν έχουν συμμετάσχει σε εγκληματική οργάνωση, σε δωροδοκία, σε απάτη, σε τρομοκρατικά  εγκλήματα ή εγκλήματα συνδεόμενα με τρομοκρατικές δραστηριότητες, σε νομιμοποίηση εσόδων από παράνομες δραστηριότητες ή χρηματοδότηση της τρομοκρατίας όπως αυτά ορίζονται στις αποφάσεις-πλαίσια </w:t>
      </w:r>
      <w:r>
        <w:rPr>
          <w:sz w:val="20"/>
          <w:szCs w:val="20"/>
        </w:rPr>
        <w:t xml:space="preserve"> 2008/841/ΔΕΥ, (ΕΕ L 300 της 11.11.2008 σ.42), (ΕΕ C 195 της 25.6.1997, σ. 1),2003/568/ΔΕΥ, (ΕΕ L 192 της 31.7.2003, σ. 54), 2803/2000 (Α’ 48), (ΕΕ C 316 της 27.11.1995, σ. 48),2002/475/ΔΕΥ (ΕΕ L 309 της 25.11.2005, σ. 15), 2011/36/ΕΕ, </w:t>
      </w:r>
      <w:r>
        <w:rPr>
          <w:sz w:val="20"/>
          <w:szCs w:val="20"/>
          <w:lang w:val="el-GR"/>
        </w:rPr>
        <w:t>Συμβουλίου</w:t>
      </w:r>
      <w:r>
        <w:rPr>
          <w:sz w:val="20"/>
          <w:szCs w:val="20"/>
        </w:rPr>
        <w:t xml:space="preserve"> (ΕΕ L 101 της 15.4.2011, σ. 1), 2011, σ. 1), </w:t>
      </w:r>
      <w:r>
        <w:rPr>
          <w:sz w:val="20"/>
          <w:szCs w:val="20"/>
          <w:lang w:val="el-GR"/>
        </w:rPr>
        <w:t xml:space="preserve">η οποία ενσωματώθηκε στην εθνική νομοθεσία με το </w:t>
      </w:r>
      <w:r>
        <w:rPr>
          <w:sz w:val="20"/>
          <w:szCs w:val="20"/>
        </w:rPr>
        <w:t xml:space="preserve">ν. 4198/2013 </w:t>
      </w:r>
      <w:r>
        <w:rPr>
          <w:sz w:val="20"/>
          <w:szCs w:val="20"/>
          <w:lang w:val="el-GR"/>
        </w:rPr>
        <w:t>αντίστοιχα</w:t>
      </w:r>
      <w:r>
        <w:rPr>
          <w:sz w:val="20"/>
          <w:szCs w:val="20"/>
        </w:rPr>
        <w:t>.</w:t>
      </w:r>
    </w:p>
    <w:p>
      <w:pPr>
        <w:pStyle w:val="TextBody"/>
        <w:jc w:val="both"/>
        <w:rPr>
          <w:sz w:val="20"/>
          <w:szCs w:val="20"/>
          <w:lang w:val="el-GR"/>
        </w:rPr>
      </w:pPr>
      <w:r>
        <w:rPr>
          <w:sz w:val="20"/>
          <w:szCs w:val="20"/>
          <w:lang w:val="el-GR"/>
        </w:rPr>
        <w:t xml:space="preserve">Δεν έχουν καταδικαστεί για αδίκημα σχετικό με την άσκηση της επαγγελματικής τους δραστηριότητας. </w:t>
      </w:r>
    </w:p>
    <w:p>
      <w:pPr>
        <w:pStyle w:val="TextBody"/>
        <w:jc w:val="both"/>
        <w:rPr>
          <w:sz w:val="20"/>
          <w:szCs w:val="20"/>
        </w:rPr>
      </w:pPr>
      <w:r>
        <w:rPr>
          <w:b/>
          <w:bCs/>
          <w:sz w:val="20"/>
          <w:szCs w:val="20"/>
        </w:rPr>
        <w:t>Β.</w:t>
      </w:r>
      <w:r>
        <w:rPr>
          <w:sz w:val="20"/>
          <w:szCs w:val="20"/>
        </w:rPr>
        <w:t xml:space="preserve"> </w:t>
      </w:r>
      <w:r>
        <w:rPr>
          <w:sz w:val="20"/>
          <w:szCs w:val="20"/>
          <w:lang w:val="el-GR"/>
        </w:rPr>
        <w:t>Ασφαλιστική ενημερότητα</w:t>
      </w:r>
    </w:p>
    <w:p>
      <w:pPr>
        <w:pStyle w:val="TextBody"/>
        <w:jc w:val="both"/>
        <w:rPr>
          <w:sz w:val="20"/>
          <w:szCs w:val="20"/>
        </w:rPr>
      </w:pPr>
      <w:r>
        <w:rPr>
          <w:b/>
          <w:bCs/>
          <w:sz w:val="20"/>
          <w:szCs w:val="20"/>
        </w:rPr>
        <w:t>Γ.</w:t>
      </w:r>
      <w:r>
        <w:rPr>
          <w:sz w:val="20"/>
          <w:szCs w:val="20"/>
        </w:rPr>
        <w:t xml:space="preserve"> </w:t>
      </w:r>
      <w:r>
        <w:rPr>
          <w:sz w:val="20"/>
          <w:szCs w:val="20"/>
          <w:lang w:val="el-GR"/>
        </w:rPr>
        <w:t>Φορολογική ενημερότητα</w:t>
      </w:r>
    </w:p>
    <w:p>
      <w:pPr>
        <w:pStyle w:val="TextBody"/>
        <w:jc w:val="both"/>
        <w:rPr>
          <w:sz w:val="20"/>
          <w:szCs w:val="20"/>
        </w:rPr>
      </w:pPr>
      <w:r>
        <w:rPr>
          <w:b/>
          <w:bCs/>
          <w:sz w:val="20"/>
          <w:szCs w:val="20"/>
        </w:rPr>
        <w:t>Δ.</w:t>
      </w:r>
      <w:r>
        <w:rPr>
          <w:sz w:val="20"/>
          <w:szCs w:val="20"/>
        </w:rPr>
        <w:t xml:space="preserve"> </w:t>
      </w:r>
      <w:r>
        <w:rPr>
          <w:sz w:val="20"/>
          <w:szCs w:val="20"/>
          <w:lang w:val="el-GR"/>
        </w:rPr>
        <w:t>Πιστοποιητικό του οικείου Επαγγελματικού Επιμελητηρίου, σε ισχύ στο οποίο θα πιστοποιείται</w:t>
      </w:r>
      <w:r>
        <w:rPr>
          <w:sz w:val="20"/>
          <w:szCs w:val="20"/>
        </w:rPr>
        <w:t xml:space="preserve"> η </w:t>
      </w:r>
      <w:r>
        <w:rPr>
          <w:sz w:val="20"/>
          <w:szCs w:val="20"/>
          <w:lang w:val="el-GR"/>
        </w:rPr>
        <w:t xml:space="preserve">εγγραφή τους και το ειδικό επάγγελμά τους. </w:t>
      </w:r>
    </w:p>
    <w:p>
      <w:pPr>
        <w:pStyle w:val="TextBody"/>
        <w:jc w:val="both"/>
        <w:rPr>
          <w:sz w:val="20"/>
          <w:szCs w:val="20"/>
        </w:rPr>
      </w:pPr>
      <w:r>
        <w:rPr>
          <w:b/>
          <w:bCs/>
          <w:sz w:val="20"/>
          <w:szCs w:val="20"/>
        </w:rPr>
        <w:t>Ε.</w:t>
      </w:r>
      <w:r>
        <w:rPr>
          <w:sz w:val="20"/>
          <w:szCs w:val="20"/>
        </w:rPr>
        <w:t xml:space="preserve"> </w:t>
      </w:r>
      <w:r>
        <w:rPr>
          <w:sz w:val="20"/>
          <w:szCs w:val="20"/>
          <w:lang w:val="el-GR"/>
        </w:rPr>
        <w:t xml:space="preserve">Σε περίπτωση Εταιρίας, Καταστατικό και ορισμός διαχειριστή. </w:t>
      </w:r>
    </w:p>
    <w:p>
      <w:pPr>
        <w:pStyle w:val="TextBody"/>
        <w:jc w:val="both"/>
        <w:rPr>
          <w:sz w:val="20"/>
          <w:szCs w:val="20"/>
          <w:lang w:val="el-GR"/>
        </w:rPr>
      </w:pPr>
      <w:r>
        <w:rPr>
          <w:sz w:val="20"/>
          <w:szCs w:val="20"/>
          <w:lang w:val="el-GR"/>
        </w:rPr>
        <w:t xml:space="preserve">Η οικονομική προσφορά των συμμετεχόντων, στην οποία θα αναγράφονται αναλυτικά οι τιμές στο έντυπο οικονομικής προσφοράς. </w:t>
      </w:r>
    </w:p>
    <w:p>
      <w:pPr>
        <w:pStyle w:val="TextBody"/>
        <w:jc w:val="both"/>
        <w:rPr>
          <w:sz w:val="20"/>
          <w:szCs w:val="20"/>
        </w:rPr>
      </w:pPr>
      <w:r>
        <w:rPr>
          <w:sz w:val="20"/>
          <w:szCs w:val="20"/>
        </w:rPr>
        <w:t xml:space="preserve">Η </w:t>
      </w:r>
      <w:r>
        <w:rPr>
          <w:sz w:val="20"/>
          <w:szCs w:val="20"/>
          <w:lang w:val="el-GR"/>
        </w:rPr>
        <w:t xml:space="preserve">τήρηση των τεχνικών προδιαγραφών όπως θα προκύψει με την κατάθεση τεχνικής προσφοράς. </w:t>
      </w:r>
    </w:p>
    <w:p>
      <w:pPr>
        <w:pStyle w:val="TextBody"/>
        <w:jc w:val="both"/>
        <w:rPr>
          <w:sz w:val="20"/>
          <w:szCs w:val="20"/>
          <w:lang w:val="el-GR"/>
        </w:rPr>
      </w:pPr>
      <w:r>
        <w:rPr>
          <w:sz w:val="20"/>
          <w:szCs w:val="20"/>
          <w:lang w:val="el-GR"/>
        </w:rPr>
        <w:t xml:space="preserve">Προσφορά που είναι αόριστη και ανεπίδεκτη εκτίμησης απορρίπτεται. </w:t>
      </w:r>
    </w:p>
    <w:p>
      <w:pPr>
        <w:pStyle w:val="TextBody"/>
        <w:jc w:val="both"/>
        <w:rPr>
          <w:sz w:val="20"/>
          <w:szCs w:val="20"/>
          <w:lang w:val="el-GR"/>
        </w:rPr>
      </w:pPr>
      <w:r>
        <w:rPr>
          <w:sz w:val="20"/>
          <w:szCs w:val="20"/>
          <w:lang w:val="el-GR"/>
        </w:rPr>
        <w:t xml:space="preserve">Προσφορά που παρουσιάζει ουσιώδεις αποκλίσεις από τους όρους και τις τεχνικές προδιαγραφές απορρίπτεται. </w:t>
      </w:r>
    </w:p>
    <w:p>
      <w:pPr>
        <w:pStyle w:val="TextBody"/>
        <w:jc w:val="both"/>
        <w:rPr>
          <w:sz w:val="20"/>
          <w:szCs w:val="20"/>
          <w:lang w:val="el-GR"/>
        </w:rPr>
      </w:pPr>
      <w:r>
        <w:rPr>
          <w:sz w:val="20"/>
          <w:szCs w:val="20"/>
          <w:lang w:val="el-GR"/>
        </w:rPr>
        <w:t xml:space="preserve">Προσφορά που θέτει όρο αναπροσαρμογής των τιμών, ή άλλους όρους κρίνεται ως απαράδεκτη. </w:t>
      </w:r>
    </w:p>
    <w:p>
      <w:pPr>
        <w:pStyle w:val="TextBody"/>
        <w:jc w:val="both"/>
        <w:rPr>
          <w:sz w:val="20"/>
          <w:szCs w:val="20"/>
        </w:rPr>
      </w:pPr>
      <w:r>
        <w:rPr>
          <w:sz w:val="20"/>
          <w:szCs w:val="20"/>
          <w:lang w:val="el-GR"/>
        </w:rPr>
        <w:t>Η κατακύρωση της προμήθειας θα γίνει με απόφαση του αρμοδίου οργάνου. Κατά το στάδιο της κατακύρωσης και πριν τη λήψη της απόφασης κατακύρωσης, δύνανται να ζητηθούν επιπλέον ποινικά μητρώα και πιστοποιητικά ότι οι υποψήφιοι ανάδοχοι δεν τελούν υπό πτώχευση, πτωχευτικό συμβιβασμό ή υπό αναγκαστική διαχείριση ή ότι δεν έχουν υπαχθεί σε διαδικασία</w:t>
      </w:r>
      <w:r>
        <w:rPr>
          <w:sz w:val="20"/>
          <w:szCs w:val="20"/>
        </w:rPr>
        <w:t xml:space="preserve"> </w:t>
      </w:r>
      <w:r>
        <w:rPr>
          <w:sz w:val="20"/>
          <w:szCs w:val="20"/>
          <w:lang w:val="el-GR"/>
        </w:rPr>
        <w:t>εξυγίανσης.</w:t>
      </w:r>
    </w:p>
    <w:p>
      <w:pPr>
        <w:pStyle w:val="Normal"/>
        <w:jc w:val="both"/>
        <w:rPr>
          <w:sz w:val="20"/>
          <w:szCs w:val="20"/>
        </w:rPr>
      </w:pPr>
      <w:r>
        <w:rPr>
          <w:rFonts w:eastAsia="Arial"/>
          <w:sz w:val="20"/>
          <w:szCs w:val="20"/>
          <w:lang w:val="el-GR"/>
        </w:rPr>
        <w:t xml:space="preserve">Η προμήθεια </w:t>
      </w:r>
      <w:r>
        <w:rPr>
          <w:sz w:val="20"/>
          <w:szCs w:val="20"/>
          <w:lang w:val="el-GR"/>
        </w:rPr>
        <w:t xml:space="preserve">θα ανατεθεί στους έχοντες την καλύτερη οικονομική προσφορά. </w:t>
      </w:r>
    </w:p>
    <w:p>
      <w:pPr>
        <w:pStyle w:val="Normal"/>
        <w:jc w:val="both"/>
        <w:rPr>
          <w:lang w:val="el-GR"/>
        </w:rPr>
      </w:pPr>
      <w:r>
        <w:rPr>
          <w:lang w:val="el-GR"/>
        </w:rPr>
      </w:r>
    </w:p>
    <w:p>
      <w:pPr>
        <w:pStyle w:val="Normal"/>
        <w:jc w:val="both"/>
        <w:rPr>
          <w:sz w:val="20"/>
          <w:szCs w:val="20"/>
          <w:lang w:val="el-GR"/>
        </w:rPr>
      </w:pPr>
      <w:r>
        <w:rPr>
          <w:sz w:val="20"/>
          <w:szCs w:val="20"/>
          <w:lang w:val="el-GR"/>
        </w:rPr>
      </w:r>
    </w:p>
    <w:p>
      <w:pPr>
        <w:pStyle w:val="Normal"/>
        <w:jc w:val="both"/>
        <w:rPr>
          <w:sz w:val="20"/>
          <w:szCs w:val="20"/>
          <w:lang w:val="el-GR" w:eastAsia="en-US"/>
        </w:rPr>
      </w:pPr>
      <w:r>
        <w:rPr>
          <w:sz w:val="20"/>
          <w:szCs w:val="20"/>
          <w:lang w:val="el-GR" w:eastAsia="en-US"/>
        </w:rPr>
      </w:r>
    </w:p>
    <w:p>
      <w:pPr>
        <w:pStyle w:val="Normal"/>
        <w:jc w:val="both"/>
        <w:rPr>
          <w:rFonts w:eastAsia="Avenir Next" w:cs="Times New Roman"/>
          <w:u w:val="single"/>
          <w:lang w:val="el-GR"/>
        </w:rPr>
      </w:pPr>
      <w:r>
        <w:rPr>
          <w:rFonts w:eastAsia="Avenir Next" w:cs="Times New Roman"/>
          <w:u w:val="single" w:color="000000"/>
          <w:lang w:val="el-GR"/>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spacing w:lineRule="auto" w:line="360"/>
        <w:rPr>
          <w:rFonts w:cs="Times New Roman"/>
          <w:lang w:val="el-GR" w:eastAsia="el-GR"/>
        </w:rPr>
      </w:pPr>
      <w:r>
        <w:rPr>
          <w:rFonts w:cs="Times New Roman"/>
          <w:lang w:val="el-GR" w:eastAsia="el-GR"/>
        </w:rPr>
      </w:r>
    </w:p>
    <w:p>
      <w:pPr>
        <w:pStyle w:val="Normal"/>
        <w:suppressAutoHyphens w:val="false"/>
        <w:ind w:left="540" w:hanging="0"/>
        <w:rPr>
          <w:rFonts w:eastAsia="Times New Roman" w:cs="Times New Roman"/>
          <w:color w:val="auto"/>
          <w:lang w:val="el-GR" w:eastAsia="el-GR"/>
        </w:rPr>
      </w:pPr>
      <w:r>
        <w:rPr>
          <w:rFonts w:eastAsia="Times New Roman" w:cs="Times New Roman"/>
          <w:color w:val="auto"/>
          <w:lang w:val="el-GR" w:eastAsia="el-GR"/>
        </w:rPr>
      </w:r>
    </w:p>
    <w:tbl>
      <w:tblPr>
        <w:tblStyle w:val="TableGrid"/>
        <w:tblW w:w="9907" w:type="dxa"/>
        <w:jc w:val="left"/>
        <w:tblInd w:w="0" w:type="dxa"/>
        <w:tblCellMar>
          <w:top w:w="0" w:type="dxa"/>
          <w:left w:w="108" w:type="dxa"/>
          <w:bottom w:w="0" w:type="dxa"/>
          <w:right w:w="108" w:type="dxa"/>
        </w:tblCellMar>
        <w:tblLook w:firstRow="1" w:noVBand="1" w:lastRow="0" w:firstColumn="1" w:lastColumn="0" w:noHBand="0" w:val="04a0"/>
      </w:tblPr>
      <w:tblGrid>
        <w:gridCol w:w="4953"/>
        <w:gridCol w:w="4953"/>
      </w:tblGrid>
      <w:tr>
        <w:trPr/>
        <w:tc>
          <w:tcPr>
            <w:tcW w:w="4953" w:type="dxa"/>
            <w:tcBorders>
              <w:top w:val="nil"/>
              <w:left w:val="nil"/>
              <w:bottom w:val="nil"/>
              <w:right w:val="nil"/>
            </w:tcBorders>
          </w:tcPr>
          <w:p>
            <w:pPr>
              <w:pStyle w:val="Normal"/>
              <w:suppressAutoHyphens w:val="false"/>
              <w:jc w:val="both"/>
              <w:rPr>
                <w:rFonts w:eastAsia="Times New Roman" w:cs="Times New Roman"/>
                <w:color w:val="auto"/>
                <w:lang w:val="el-GR" w:eastAsia="el-GR"/>
              </w:rPr>
            </w:pPr>
            <w:r>
              <w:rPr>
                <w:rFonts w:eastAsia="Times New Roman" w:cs="Times New Roman"/>
                <w:color w:val="auto"/>
                <w:lang w:val="el-GR" w:eastAsia="el-GR"/>
              </w:rPr>
            </w:r>
          </w:p>
        </w:tc>
        <w:tc>
          <w:tcPr>
            <w:tcW w:w="4953" w:type="dxa"/>
            <w:tcBorders>
              <w:top w:val="nil"/>
              <w:left w:val="nil"/>
              <w:bottom w:val="nil"/>
              <w:right w:val="nil"/>
            </w:tcBorders>
          </w:tcPr>
          <w:p>
            <w:pPr>
              <w:pStyle w:val="Normal"/>
              <w:suppressAutoHyphens w:val="false"/>
              <w:jc w:val="center"/>
              <w:rPr>
                <w:rFonts w:eastAsia="Times New Roman" w:cs="Times New Roman"/>
                <w:color w:val="auto"/>
                <w:lang w:val="el-GR" w:eastAsia="el-GR"/>
              </w:rPr>
            </w:pPr>
            <w:r>
              <w:rPr>
                <w:rFonts w:eastAsia="Times New Roman" w:cs="Times New Roman"/>
                <w:color w:val="auto"/>
                <w:lang w:val="el-GR" w:eastAsia="el-GR"/>
              </w:rPr>
              <w:t>Ο  ΔΗΜΑΡΧΟΣ</w:t>
            </w:r>
          </w:p>
        </w:tc>
      </w:tr>
      <w:tr>
        <w:trPr/>
        <w:tc>
          <w:tcPr>
            <w:tcW w:w="4953" w:type="dxa"/>
            <w:tcBorders>
              <w:top w:val="nil"/>
              <w:left w:val="nil"/>
              <w:bottom w:val="nil"/>
              <w:right w:val="nil"/>
            </w:tcBorders>
          </w:tcPr>
          <w:p>
            <w:pPr>
              <w:pStyle w:val="Normal"/>
              <w:suppressAutoHyphens w:val="false"/>
              <w:jc w:val="both"/>
              <w:rPr>
                <w:rFonts w:eastAsia="Times New Roman" w:cs="Times New Roman"/>
                <w:color w:val="auto"/>
                <w:lang w:val="el-GR" w:eastAsia="el-GR"/>
              </w:rPr>
            </w:pPr>
            <w:r>
              <w:rPr>
                <w:rFonts w:eastAsia="Times New Roman" w:cs="Times New Roman"/>
                <w:color w:val="auto"/>
                <w:lang w:val="el-GR" w:eastAsia="el-GR"/>
              </w:rPr>
            </w:r>
          </w:p>
        </w:tc>
        <w:tc>
          <w:tcPr>
            <w:tcW w:w="4953" w:type="dxa"/>
            <w:tcBorders>
              <w:top w:val="nil"/>
              <w:left w:val="nil"/>
              <w:bottom w:val="nil"/>
              <w:right w:val="nil"/>
            </w:tcBorders>
          </w:tcPr>
          <w:p>
            <w:pPr>
              <w:pStyle w:val="Normal"/>
              <w:suppressAutoHyphens w:val="false"/>
              <w:jc w:val="center"/>
              <w:rPr>
                <w:rFonts w:eastAsia="Times New Roman" w:cs="Times New Roman"/>
                <w:color w:val="auto"/>
                <w:lang w:val="el-GR" w:eastAsia="el-GR"/>
              </w:rPr>
            </w:pPr>
            <w:r>
              <w:rPr>
                <w:rFonts w:eastAsia="Times New Roman" w:cs="Times New Roman"/>
                <w:color w:val="auto"/>
                <w:lang w:val="el-GR" w:eastAsia="el-GR"/>
              </w:rPr>
            </w:r>
          </w:p>
          <w:p>
            <w:pPr>
              <w:pStyle w:val="Normal"/>
              <w:suppressAutoHyphens w:val="false"/>
              <w:jc w:val="center"/>
              <w:rPr>
                <w:rFonts w:eastAsia="Times New Roman" w:cs="Times New Roman"/>
                <w:color w:val="auto"/>
                <w:lang w:val="el-GR" w:eastAsia="el-GR"/>
              </w:rPr>
            </w:pPr>
            <w:r>
              <w:rPr>
                <w:rFonts w:eastAsia="Times New Roman" w:cs="Times New Roman"/>
                <w:color w:val="auto"/>
                <w:lang w:val="el-GR" w:eastAsia="el-GR"/>
              </w:rPr>
            </w:r>
          </w:p>
          <w:p>
            <w:pPr>
              <w:pStyle w:val="Normal"/>
              <w:suppressAutoHyphens w:val="false"/>
              <w:jc w:val="center"/>
              <w:rPr>
                <w:rFonts w:eastAsia="Times New Roman" w:cs="Times New Roman"/>
                <w:color w:val="auto"/>
                <w:lang w:val="el-GR" w:eastAsia="el-GR"/>
              </w:rPr>
            </w:pPr>
            <w:r>
              <w:rPr>
                <w:rFonts w:eastAsia="Times New Roman" w:cs="Times New Roman"/>
                <w:color w:val="auto"/>
                <w:lang w:val="el-GR" w:eastAsia="el-GR"/>
              </w:rPr>
            </w:r>
          </w:p>
        </w:tc>
      </w:tr>
      <w:tr>
        <w:trPr/>
        <w:tc>
          <w:tcPr>
            <w:tcW w:w="4953" w:type="dxa"/>
            <w:tcBorders>
              <w:top w:val="nil"/>
              <w:left w:val="nil"/>
              <w:bottom w:val="nil"/>
              <w:right w:val="nil"/>
            </w:tcBorders>
          </w:tcPr>
          <w:p>
            <w:pPr>
              <w:pStyle w:val="ListParagraph"/>
              <w:suppressAutoHyphens w:val="false"/>
              <w:jc w:val="both"/>
              <w:rPr>
                <w:rFonts w:eastAsia="Times New Roman" w:cs="Times New Roman"/>
                <w:color w:val="auto"/>
                <w:lang w:val="el-GR" w:eastAsia="el-GR"/>
              </w:rPr>
            </w:pPr>
            <w:r>
              <w:rPr>
                <w:rFonts w:eastAsia="Times New Roman" w:cs="Times New Roman"/>
                <w:color w:val="auto"/>
                <w:lang w:val="el-GR" w:eastAsia="el-GR"/>
              </w:rPr>
            </w:r>
          </w:p>
        </w:tc>
        <w:tc>
          <w:tcPr>
            <w:tcW w:w="4953" w:type="dxa"/>
            <w:tcBorders>
              <w:top w:val="nil"/>
              <w:left w:val="nil"/>
              <w:bottom w:val="nil"/>
              <w:right w:val="nil"/>
            </w:tcBorders>
          </w:tcPr>
          <w:p>
            <w:pPr>
              <w:pStyle w:val="Normal"/>
              <w:suppressAutoHyphens w:val="false"/>
              <w:jc w:val="center"/>
              <w:rPr>
                <w:rFonts w:eastAsia="Times New Roman" w:cs="Times New Roman"/>
                <w:color w:val="auto"/>
                <w:lang w:val="el-GR" w:eastAsia="el-GR"/>
              </w:rPr>
            </w:pPr>
            <w:r>
              <w:rPr>
                <w:rFonts w:eastAsia="Times New Roman" w:cs="Times New Roman"/>
                <w:color w:val="auto"/>
                <w:lang w:val="el-GR" w:eastAsia="el-GR"/>
              </w:rPr>
              <w:t>ΤΣΙΑΚΟΣ  ΒΑΣΙΛΕΙΟΣ</w:t>
            </w:r>
          </w:p>
        </w:tc>
      </w:tr>
    </w:tbl>
    <w:p>
      <w:pPr>
        <w:pStyle w:val="Normal"/>
        <w:suppressAutoHyphens w:val="false"/>
        <w:jc w:val="both"/>
        <w:rPr>
          <w:rFonts w:eastAsia="Times New Roman" w:cs="Times New Roman"/>
          <w:color w:val="auto"/>
          <w:lang w:val="el-GR" w:eastAsia="el-GR"/>
        </w:rPr>
      </w:pPr>
      <w:r>
        <w:rPr/>
      </w:r>
    </w:p>
    <w:sectPr>
      <w:headerReference w:type="default" r:id="rId3"/>
      <w:footerReference w:type="default" r:id="rId4"/>
      <w:type w:val="nextPage"/>
      <w:pgSz w:w="11906" w:h="16838"/>
      <w:pgMar w:left="1134" w:right="850"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Arial Unicode MS">
    <w:charset w:val="00"/>
    <w:family w:val="roman"/>
    <w:pitch w:val="variable"/>
  </w:font>
  <w:font w:name="Ubuntu">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jc w:val="right"/>
      <w:rPr>
        <w:rFonts w:ascii="Ubuntu" w:hAnsi="Ubuntu"/>
        <w:b/>
        <w:b/>
        <w:i/>
        <w:i/>
        <w:sz w:val="18"/>
        <w:szCs w:val="18"/>
      </w:rPr>
    </w:pPr>
    <w:r>
      <w:rPr>
        <w:rFonts w:ascii="Ubuntu" w:hAnsi="Ubuntu"/>
        <w:b/>
        <w:i/>
        <w:sz w:val="18"/>
        <w:szCs w:val="18"/>
      </w:rPr>
      <w:fldChar w:fldCharType="begin"/>
    </w:r>
    <w:r>
      <w:rPr>
        <w:sz w:val="18"/>
        <w:i/>
        <w:b/>
        <w:szCs w:val="18"/>
        <w:rFonts w:ascii="Ubuntu" w:hAnsi="Ubuntu"/>
      </w:rPr>
      <w:instrText> PAGE </w:instrText>
    </w:r>
    <w:r>
      <w:rPr>
        <w:sz w:val="18"/>
        <w:i/>
        <w:b/>
        <w:szCs w:val="18"/>
        <w:rFonts w:ascii="Ubuntu" w:hAnsi="Ubuntu"/>
      </w:rPr>
      <w:fldChar w:fldCharType="separate"/>
    </w:r>
    <w:r>
      <w:rPr>
        <w:sz w:val="18"/>
        <w:i/>
        <w:b/>
        <w:szCs w:val="18"/>
        <w:rFonts w:ascii="Ubuntu" w:hAnsi="Ubuntu"/>
      </w:rPr>
      <w:t>2</w:t>
    </w:r>
    <w:r>
      <w:rPr>
        <w:sz w:val="18"/>
        <w:i/>
        <w:b/>
        <w:szCs w:val="18"/>
        <w:rFonts w:ascii="Ubuntu" w:hAnsi="Ubuntu"/>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6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l-GR" w:eastAsia="el-G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Arial Unicode MS" w:cs="Arial Unicode MS"/>
      <w:color w:val="000000"/>
      <w:kern w:val="0"/>
      <w:sz w:val="24"/>
      <w:szCs w:val="24"/>
      <w:u w:val="none" w:color="000000"/>
      <w:lang w:val="en-US" w:eastAsia="en-US" w:bidi="ar-SA"/>
    </w:rPr>
  </w:style>
  <w:style w:type="character" w:styleId="DefaultParagraphFont" w:default="1">
    <w:name w:val="Default Paragraph Font"/>
    <w:uiPriority w:val="1"/>
    <w:semiHidden/>
    <w:unhideWhenUsed/>
    <w:qFormat/>
    <w:rPr/>
  </w:style>
  <w:style w:type="character" w:styleId="InternetLink">
    <w:name w:val="Hyperlink"/>
    <w:rPr>
      <w:u w:val="single"/>
    </w:rPr>
  </w:style>
  <w:style w:type="character" w:styleId="Hyperlink0" w:customStyle="1">
    <w:name w:val="Hyperlink.0"/>
    <w:basedOn w:val="InternetLink"/>
    <w:qFormat/>
    <w:rPr>
      <w:u w:val="single"/>
    </w:rPr>
  </w:style>
  <w:style w:type="character" w:styleId="BalloonTextChar" w:customStyle="1">
    <w:name w:val="Balloon Text Char"/>
    <w:basedOn w:val="DefaultParagraphFont"/>
    <w:link w:val="BalloonText"/>
    <w:uiPriority w:val="99"/>
    <w:semiHidden/>
    <w:qFormat/>
    <w:rsid w:val="00e0286e"/>
    <w:rPr>
      <w:rFonts w:ascii="Segoe UI" w:hAnsi="Segoe UI" w:cs="Segoe UI"/>
      <w:color w:val="000000"/>
      <w:sz w:val="18"/>
      <w:szCs w:val="18"/>
      <w:u w:val="none" w:color="000000"/>
      <w:lang w:val="en-US" w:eastAsia="en-US"/>
    </w:rPr>
  </w:style>
  <w:style w:type="character" w:styleId="HeaderChar" w:customStyle="1">
    <w:name w:val="Header Char"/>
    <w:basedOn w:val="DefaultParagraphFont"/>
    <w:link w:val="Header"/>
    <w:uiPriority w:val="99"/>
    <w:qFormat/>
    <w:rsid w:val="00306432"/>
    <w:rPr>
      <w:rFonts w:cs="Arial Unicode MS"/>
      <w:color w:val="000000"/>
      <w:sz w:val="24"/>
      <w:szCs w:val="24"/>
      <w:u w:val="none" w:color="000000"/>
      <w:lang w:val="en-US" w:eastAsia="en-US"/>
    </w:rPr>
  </w:style>
  <w:style w:type="character" w:styleId="FooterChar" w:customStyle="1">
    <w:name w:val="Footer Char"/>
    <w:basedOn w:val="DefaultParagraphFont"/>
    <w:link w:val="Footer"/>
    <w:uiPriority w:val="99"/>
    <w:qFormat/>
    <w:rsid w:val="00306432"/>
    <w:rPr>
      <w:rFonts w:cs="Arial Unicode MS"/>
      <w:color w:val="000000"/>
      <w:sz w:val="24"/>
      <w:szCs w:val="24"/>
      <w:u w:val="none" w:color="000000"/>
      <w:lang w:val="en-US" w:eastAsia="en-US"/>
    </w:rPr>
  </w:style>
  <w:style w:type="character" w:styleId="VisitedInternetLink">
    <w:name w:val="FollowedHyperlink"/>
    <w:basedOn w:val="DefaultParagraphFont"/>
    <w:uiPriority w:val="99"/>
    <w:semiHidden/>
    <w:unhideWhenUsed/>
    <w:rsid w:val="0060734b"/>
    <w:rPr>
      <w:color w:val="FF00FF"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Footer" w:customStyle="1">
    <w:name w:val="Header &amp; Footer"/>
    <w:qFormat/>
    <w:pPr>
      <w:widowControl/>
      <w:tabs>
        <w:tab w:val="clear" w:pos="720"/>
        <w:tab w:val="right" w:pos="9020" w:leader="none"/>
      </w:tabs>
      <w:bidi w:val="0"/>
      <w:spacing w:before="0" w:after="0"/>
      <w:jc w:val="left"/>
    </w:pPr>
    <w:rPr>
      <w:rFonts w:ascii="Helvetica" w:hAnsi="Helvetica" w:eastAsia="Arial Unicode MS" w:cs="Arial Unicode MS"/>
      <w:color w:val="000000"/>
      <w:kern w:val="0"/>
      <w:sz w:val="24"/>
      <w:szCs w:val="24"/>
      <w:lang w:val="el-GR" w:eastAsia="el-GR" w:bidi="ar-SA"/>
    </w:rPr>
  </w:style>
  <w:style w:type="paragraph" w:styleId="Style14" w:customStyle="1">
    <w:name w:val="Περιεχόμενα πίνακα"/>
    <w:qFormat/>
    <w:pPr>
      <w:widowControl/>
      <w:suppressAutoHyphens w:val="true"/>
      <w:bidi w:val="0"/>
      <w:spacing w:before="0" w:after="0"/>
      <w:jc w:val="left"/>
    </w:pPr>
    <w:rPr>
      <w:rFonts w:ascii="Arial Unicode MS" w:hAnsi="Arial Unicode MS" w:eastAsia="Arial Unicode MS" w:cs="Arial Unicode MS"/>
      <w:color w:val="000000"/>
      <w:kern w:val="0"/>
      <w:sz w:val="24"/>
      <w:szCs w:val="24"/>
      <w:u w:val="none" w:color="000000"/>
      <w:lang w:val="el-GR" w:eastAsia="el-GR" w:bidi="ar-SA"/>
    </w:rPr>
  </w:style>
  <w:style w:type="paragraph" w:styleId="BalloonText">
    <w:name w:val="Balloon Text"/>
    <w:basedOn w:val="Normal"/>
    <w:link w:val="BalloonTextChar"/>
    <w:uiPriority w:val="99"/>
    <w:semiHidden/>
    <w:unhideWhenUsed/>
    <w:qFormat/>
    <w:rsid w:val="00e0286e"/>
    <w:pPr/>
    <w:rPr>
      <w:rFonts w:ascii="Segoe UI" w:hAnsi="Segoe UI" w:cs="Segoe UI"/>
      <w:sz w:val="18"/>
      <w:szCs w:val="18"/>
    </w:rPr>
  </w:style>
  <w:style w:type="paragraph" w:styleId="NormalWeb">
    <w:name w:val="Normal (Web)"/>
    <w:basedOn w:val="Normal"/>
    <w:uiPriority w:val="99"/>
    <w:semiHidden/>
    <w:unhideWhenUsed/>
    <w:qFormat/>
    <w:rsid w:val="002556c8"/>
    <w:pPr>
      <w:suppressAutoHyphens w:val="false"/>
      <w:spacing w:beforeAutospacing="1" w:afterAutospacing="1"/>
    </w:pPr>
    <w:rPr>
      <w:rFonts w:eastAsia="Times New Roman" w:cs="Times New Roman"/>
      <w:color w:val="auto"/>
      <w:lang w:val="el-GR" w:eastAsia="el-GR"/>
    </w:rPr>
  </w:style>
  <w:style w:type="paragraph" w:styleId="ListParagraph">
    <w:name w:val="List Paragraph"/>
    <w:basedOn w:val="Normal"/>
    <w:uiPriority w:val="34"/>
    <w:qFormat/>
    <w:rsid w:val="002556c8"/>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306432"/>
    <w:pPr>
      <w:tabs>
        <w:tab w:val="clear" w:pos="720"/>
        <w:tab w:val="center" w:pos="4153" w:leader="none"/>
        <w:tab w:val="right" w:pos="8306" w:leader="none"/>
      </w:tabs>
    </w:pPr>
    <w:rPr/>
  </w:style>
  <w:style w:type="paragraph" w:styleId="Footer">
    <w:name w:val="Footer"/>
    <w:basedOn w:val="Normal"/>
    <w:link w:val="FooterChar"/>
    <w:uiPriority w:val="99"/>
    <w:unhideWhenUsed/>
    <w:rsid w:val="00306432"/>
    <w:pPr>
      <w:tabs>
        <w:tab w:val="clear" w:pos="720"/>
        <w:tab w:val="center" w:pos="4153" w:leader="none"/>
        <w:tab w:val="right" w:pos="8306" w:leader="none"/>
      </w:tabs>
    </w:pPr>
    <w:rPr/>
  </w:style>
  <w:style w:type="numbering" w:styleId="NoList" w:default="1">
    <w:name w:val="No List"/>
    <w:uiPriority w:val="99"/>
    <w:semiHidden/>
    <w:unhideWhenUsed/>
    <w:qFormat/>
  </w:style>
  <w:style w:type="numbering" w:styleId="Bullet" w:customStyle="1">
    <w:name w:val="Bullet"/>
    <w:qFormat/>
    <w:rsid w:val="00130c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cf265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F9E82-27F7-4F1B-A406-48113C76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_Πρότυπο υπηρεσιακό έγγραφο με νέο λογότυπο.dotx</Template>
  <TotalTime>668</TotalTime>
  <Application>LibreOffice/6.4.0.3$Windows_X86_64 LibreOffice_project/b0a288ab3d2d4774cb44b62f04d5d28733ac6df8</Application>
  <Pages>2</Pages>
  <Words>494</Words>
  <Characters>3058</Characters>
  <CharactersWithSpaces>3532</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2021-04-12T04:48:00Z</dcterms:created>
  <dc:creator>Microsoft Office User</dc:creator>
  <dc:description/>
  <dc:language>el-GR</dc:language>
  <cp:lastModifiedBy/>
  <cp:lastPrinted>2021-05-25T10:24:00Z</cp:lastPrinted>
  <dcterms:modified xsi:type="dcterms:W3CDTF">2024-02-27T12:50:28Z</dcterms:modified>
  <cp:revision>122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